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C4201" w14:textId="07B07F31" w:rsidR="008661C4" w:rsidRPr="00F1520B" w:rsidRDefault="008661C4" w:rsidP="003C144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1520B">
        <w:rPr>
          <w:rFonts w:ascii="Times New Roman" w:hAnsi="Times New Roman"/>
          <w:b/>
          <w:sz w:val="24"/>
          <w:szCs w:val="24"/>
        </w:rPr>
        <w:t xml:space="preserve">Paziņojums par līdzdalības iespējām </w:t>
      </w:r>
      <w:r w:rsidR="00792892">
        <w:rPr>
          <w:rFonts w:ascii="Times New Roman" w:hAnsi="Times New Roman"/>
          <w:b/>
          <w:sz w:val="24"/>
          <w:szCs w:val="24"/>
        </w:rPr>
        <w:t xml:space="preserve">MK </w:t>
      </w:r>
      <w:r w:rsidRPr="00F1520B">
        <w:rPr>
          <w:rFonts w:ascii="Times New Roman" w:hAnsi="Times New Roman"/>
          <w:b/>
          <w:sz w:val="24"/>
          <w:szCs w:val="24"/>
        </w:rPr>
        <w:t>noteikumu projekta “</w:t>
      </w:r>
      <w:r w:rsidR="00792892" w:rsidRPr="00792892">
        <w:rPr>
          <w:rFonts w:ascii="Times New Roman" w:hAnsi="Times New Roman"/>
          <w:b/>
          <w:sz w:val="24"/>
          <w:szCs w:val="24"/>
        </w:rPr>
        <w:t>Noteikumi par rīcību ar administratīvo pārkāpumu lietās izņemto mantu un dokumentiem</w:t>
      </w:r>
      <w:r w:rsidRPr="00F1520B">
        <w:rPr>
          <w:rFonts w:ascii="Times New Roman" w:hAnsi="Times New Roman"/>
          <w:b/>
          <w:sz w:val="24"/>
          <w:szCs w:val="24"/>
        </w:rPr>
        <w:t>” izstrādes procesā</w:t>
      </w:r>
    </w:p>
    <w:p w14:paraId="084CDFFB" w14:textId="77777777" w:rsidR="008661C4" w:rsidRPr="00F1520B" w:rsidRDefault="008661C4" w:rsidP="008661C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87"/>
        <w:gridCol w:w="3819"/>
        <w:gridCol w:w="9447"/>
      </w:tblGrid>
      <w:tr w:rsidR="008661C4" w:rsidRPr="00F1520B" w14:paraId="41193B36" w14:textId="77777777" w:rsidTr="00F33CE6">
        <w:trPr>
          <w:trHeight w:val="10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395BD5" w14:textId="77777777" w:rsidR="008661C4" w:rsidRPr="00F1520B" w:rsidRDefault="008661C4" w:rsidP="00F33CE6">
            <w:pPr>
              <w:spacing w:before="100" w:beforeAutospacing="1" w:after="100" w:afterAutospacing="1" w:line="105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4B4F7" w14:textId="77777777" w:rsidR="008661C4" w:rsidRPr="00F1520B" w:rsidRDefault="008661C4" w:rsidP="00F33CE6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Dokumenta veids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F33F6" w14:textId="77777777" w:rsidR="008661C4" w:rsidRPr="00F1520B" w:rsidRDefault="008661C4" w:rsidP="00F33CE6">
            <w:pPr>
              <w:spacing w:after="0" w:line="105" w:lineRule="atLeas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Noteikumu projekts.</w:t>
            </w:r>
          </w:p>
        </w:tc>
      </w:tr>
      <w:tr w:rsidR="008661C4" w:rsidRPr="00F1520B" w14:paraId="3DF5D212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014E1A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1DF9DC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Dokumenta nosaukums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075287" w14:textId="45E53A06" w:rsidR="008661C4" w:rsidRPr="00F1520B" w:rsidRDefault="003C1441" w:rsidP="0079289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hAnsi="Times New Roman"/>
                <w:bCs/>
                <w:sz w:val="24"/>
                <w:szCs w:val="24"/>
              </w:rPr>
              <w:t xml:space="preserve">Ministru kabineta </w:t>
            </w:r>
            <w:r w:rsidR="00792892">
              <w:rPr>
                <w:rFonts w:ascii="Times New Roman" w:hAnsi="Times New Roman"/>
                <w:bCs/>
                <w:sz w:val="24"/>
                <w:szCs w:val="24"/>
              </w:rPr>
              <w:t xml:space="preserve">noteikumu projekts </w:t>
            </w:r>
            <w:r w:rsidRPr="00F1520B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  <w:r w:rsidR="00792892" w:rsidRPr="00792892">
              <w:rPr>
                <w:rFonts w:ascii="Times New Roman" w:hAnsi="Times New Roman"/>
                <w:bCs/>
                <w:sz w:val="24"/>
                <w:szCs w:val="24"/>
              </w:rPr>
              <w:t>Noteikumi par rīcību ar administratīvo pārkāpumu lietās izņemto mantu un dokumentiem</w:t>
            </w:r>
            <w:r w:rsidRPr="00F1520B">
              <w:rPr>
                <w:rFonts w:ascii="Times New Roman" w:hAnsi="Times New Roman"/>
                <w:bCs/>
                <w:sz w:val="24"/>
                <w:szCs w:val="24"/>
              </w:rPr>
              <w:t>”</w:t>
            </w:r>
            <w:r w:rsidR="008661C4" w:rsidRPr="00F1520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8661C4" w:rsidRPr="00F1520B" w14:paraId="328C571C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8CBE4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02AB05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Politikas joma un nozare vai teritorija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679358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Iekšlietu politika.</w:t>
            </w:r>
          </w:p>
        </w:tc>
      </w:tr>
      <w:tr w:rsidR="008661C4" w:rsidRPr="00F1520B" w14:paraId="6E3F2120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6933B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7B11E8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Dokumenta mērķgrupas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AB218" w14:textId="70924865" w:rsidR="008661C4" w:rsidRPr="00F1520B" w:rsidRDefault="008661C4" w:rsidP="008661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hAnsi="Times New Roman"/>
                <w:sz w:val="24"/>
                <w:szCs w:val="24"/>
              </w:rPr>
              <w:t xml:space="preserve">Personas, kurām </w:t>
            </w:r>
            <w:r w:rsidR="003C1441" w:rsidRPr="00F1520B">
              <w:rPr>
                <w:rFonts w:ascii="Times New Roman" w:hAnsi="Times New Roman"/>
                <w:sz w:val="24"/>
                <w:szCs w:val="24"/>
              </w:rPr>
              <w:t>administratīvā pārkāpuma liet</w:t>
            </w:r>
            <w:r w:rsidR="00FB7A9B">
              <w:rPr>
                <w:rFonts w:ascii="Times New Roman" w:hAnsi="Times New Roman"/>
                <w:sz w:val="24"/>
                <w:szCs w:val="24"/>
              </w:rPr>
              <w:t>as ietvaros izņemta manta vai dokumenti</w:t>
            </w:r>
            <w:r w:rsidR="00F152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61C4" w:rsidRPr="00F1520B" w14:paraId="4EB8946C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E6C3BC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FC78E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F36380" w14:textId="27323FFC" w:rsidR="006D14FB" w:rsidRPr="00A118BE" w:rsidRDefault="006D14FB" w:rsidP="006C5C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118BE">
              <w:rPr>
                <w:rFonts w:ascii="Times New Roman" w:eastAsia="Times New Roman" w:hAnsi="Times New Roman"/>
                <w:bCs/>
                <w:sz w:val="24"/>
                <w:szCs w:val="24"/>
              </w:rPr>
              <w:t>Projekta mērķis ir noteikt kārtību</w:t>
            </w:r>
            <w:r w:rsidR="00FE3E2B">
              <w:rPr>
                <w:rFonts w:ascii="Times New Roman" w:eastAsia="Times New Roman" w:hAnsi="Times New Roman"/>
                <w:bCs/>
                <w:sz w:val="24"/>
                <w:szCs w:val="24"/>
              </w:rPr>
              <w:t>,</w:t>
            </w:r>
            <w:r w:rsidR="00FE3E2B" w:rsidRPr="00A118B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kādā</w:t>
            </w:r>
            <w:r w:rsidRPr="00A118BE">
              <w:rPr>
                <w:rFonts w:ascii="Times New Roman" w:eastAsia="Times New Roman" w:hAnsi="Times New Roman"/>
                <w:bCs/>
                <w:sz w:val="24"/>
                <w:szCs w:val="24"/>
              </w:rPr>
              <w:t>:</w:t>
            </w:r>
          </w:p>
          <w:p w14:paraId="503D09D4" w14:textId="4DCD693C" w:rsidR="006D14FB" w:rsidRPr="00A118BE" w:rsidRDefault="006D14FB" w:rsidP="006D14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11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tiek nodota glabāšanā administratīvo pārkāpumu lietās izņemtā manta, </w:t>
            </w:r>
          </w:p>
          <w:p w14:paraId="50AEEC3F" w14:textId="4B11546F" w:rsidR="006D14FB" w:rsidRPr="00A118BE" w:rsidRDefault="006D14FB" w:rsidP="006D14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11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atbilstoši amatpersonas, kura izskata administratīvā pārkāpuma lietu, pieņemtajam lēmumam, izņemtā manta tiek atdota to īpašniekam, realizēt</w:t>
            </w:r>
            <w:r w:rsidR="006C5C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a</w:t>
            </w:r>
            <w:r w:rsidRPr="00A11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vai iznīcināta.</w:t>
            </w:r>
          </w:p>
          <w:p w14:paraId="61AA0BBF" w14:textId="72E0F5E5" w:rsidR="006D14FB" w:rsidRPr="00A118BE" w:rsidRDefault="006D14FB" w:rsidP="006D14F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11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tiek noteikti un segti izdevumi, kas saistīti ar izņemtās mantas nodošanu glabāšanā, glabāšanu, realizāciju un iznīcināšanu;</w:t>
            </w:r>
          </w:p>
          <w:p w14:paraId="52C77EA2" w14:textId="3C55E15C" w:rsidR="00E20D2E" w:rsidRPr="00370120" w:rsidRDefault="006D14FB" w:rsidP="0037012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118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īpašniekam tiek atgriezta saskaņā ar lēmumu administratīvā pārkāpumu lietā </w:t>
            </w:r>
            <w:r w:rsidRPr="00A118BE">
              <w:rPr>
                <w:rFonts w:ascii="Times New Roman" w:hAnsi="Times New Roman" w:cs="Times New Roman"/>
                <w:sz w:val="24"/>
                <w:szCs w:val="24"/>
              </w:rPr>
              <w:t>samaksātā summa, atlīdzināta mantas vērtība vai manta aizvietota ar citu atbilstošu mantu, gadījumos ja administratīvā pārkāpuma lieta tiek izbeigta, atceļot pieņemto lēmumu, kā arī izņemtā manta ir bijusi iznīcināta.</w:t>
            </w:r>
          </w:p>
          <w:p w14:paraId="0BC2E42F" w14:textId="4AB604C5" w:rsidR="00BC18FA" w:rsidRPr="00124E18" w:rsidRDefault="00D07E0D" w:rsidP="00BC18FA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Projekts ir izstrādāts, lai iestādes, kuru kompetencē ir administratīvo pārkāpumu liet</w:t>
            </w:r>
            <w:r w:rsidR="0066326F">
              <w:rPr>
                <w:rFonts w:ascii="Times New Roman" w:hAnsi="Times New Roman"/>
                <w:sz w:val="24"/>
                <w:szCs w:val="24"/>
              </w:rPr>
              <w:t>u izskatīšanu un mantas izņemšana, varētu piemērot Administratīvās atbildības likum</w:t>
            </w:r>
            <w:r w:rsidR="00D013E4">
              <w:rPr>
                <w:rFonts w:ascii="Times New Roman" w:hAnsi="Times New Roman"/>
                <w:sz w:val="24"/>
                <w:szCs w:val="24"/>
              </w:rPr>
              <w:t xml:space="preserve">ā ietvertās normas, kas attiecās uz mantu un dokumentu izņemšanu administratīvā pārkāpuma lietās, izņemto mantu glabāšanu, </w:t>
            </w:r>
            <w:r w:rsidR="00D05B5E">
              <w:rPr>
                <w:rFonts w:ascii="Times New Roman" w:hAnsi="Times New Roman"/>
                <w:sz w:val="24"/>
                <w:szCs w:val="24"/>
              </w:rPr>
              <w:t xml:space="preserve">realizāciju un iznīcināšanu. Ir paredzēts, ka </w:t>
            </w:r>
            <w:r w:rsidR="00E20D2E" w:rsidRPr="00F1520B">
              <w:rPr>
                <w:rFonts w:ascii="Times New Roman" w:hAnsi="Times New Roman"/>
                <w:sz w:val="24"/>
                <w:szCs w:val="24"/>
              </w:rPr>
              <w:t>projekt</w:t>
            </w:r>
            <w:r w:rsidR="00D05B5E">
              <w:rPr>
                <w:rFonts w:ascii="Times New Roman" w:hAnsi="Times New Roman"/>
                <w:sz w:val="24"/>
                <w:szCs w:val="24"/>
              </w:rPr>
              <w:t>s</w:t>
            </w:r>
            <w:r w:rsidR="00E20D2E" w:rsidRPr="00F1520B">
              <w:rPr>
                <w:rFonts w:ascii="Times New Roman" w:hAnsi="Times New Roman"/>
                <w:sz w:val="24"/>
                <w:szCs w:val="24"/>
              </w:rPr>
              <w:t xml:space="preserve"> spēkā stā</w:t>
            </w:r>
            <w:r w:rsidR="00D05B5E">
              <w:rPr>
                <w:rFonts w:ascii="Times New Roman" w:hAnsi="Times New Roman"/>
                <w:sz w:val="24"/>
                <w:szCs w:val="24"/>
              </w:rPr>
              <w:t xml:space="preserve">sies vienlaikus ar Administratīvās atbildības likumu - </w:t>
            </w:r>
            <w:r w:rsidR="00E20D2E" w:rsidRPr="00F1520B">
              <w:rPr>
                <w:rFonts w:ascii="Times New Roman" w:hAnsi="Times New Roman"/>
                <w:sz w:val="24"/>
                <w:szCs w:val="24"/>
              </w:rPr>
              <w:t>20</w:t>
            </w:r>
            <w:r w:rsidR="00D05B5E">
              <w:rPr>
                <w:rFonts w:ascii="Times New Roman" w:hAnsi="Times New Roman"/>
                <w:sz w:val="24"/>
                <w:szCs w:val="24"/>
              </w:rPr>
              <w:t>20</w:t>
            </w:r>
            <w:r w:rsidR="00E20D2E" w:rsidRPr="00F1520B">
              <w:rPr>
                <w:rFonts w:ascii="Times New Roman" w:hAnsi="Times New Roman"/>
                <w:sz w:val="24"/>
                <w:szCs w:val="24"/>
              </w:rPr>
              <w:t xml:space="preserve">.gada </w:t>
            </w:r>
            <w:r w:rsidR="003C1441" w:rsidRPr="00F1520B">
              <w:rPr>
                <w:rFonts w:ascii="Times New Roman" w:hAnsi="Times New Roman"/>
                <w:sz w:val="24"/>
                <w:szCs w:val="24"/>
              </w:rPr>
              <w:t>1</w:t>
            </w:r>
            <w:r w:rsidR="00E20D2E" w:rsidRPr="00F1520B">
              <w:rPr>
                <w:rFonts w:ascii="Times New Roman" w:hAnsi="Times New Roman"/>
                <w:sz w:val="24"/>
                <w:szCs w:val="24"/>
              </w:rPr>
              <w:t>.</w:t>
            </w:r>
            <w:r w:rsidR="00D05B5E">
              <w:rPr>
                <w:rFonts w:ascii="Times New Roman" w:hAnsi="Times New Roman"/>
                <w:sz w:val="24"/>
                <w:szCs w:val="24"/>
              </w:rPr>
              <w:t>janvārī</w:t>
            </w:r>
            <w:r w:rsidR="00D54675" w:rsidRPr="00F1520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BC18FA" w:rsidRPr="00F1520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B710EB" w:rsidRPr="00F1520B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661C4" w:rsidRPr="00F1520B" w14:paraId="1DCFB70A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22D9AA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050DD9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F1156C" w14:textId="4AD41C98" w:rsidR="008661C4" w:rsidRPr="00F1520B" w:rsidRDefault="008661C4" w:rsidP="00D546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Noteikumu projektu </w:t>
            </w:r>
            <w:r w:rsidR="00AC02E8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ir plānots iesniegt </w:t>
            </w:r>
            <w:r w:rsidR="00D05B5E">
              <w:rPr>
                <w:rFonts w:ascii="Times New Roman" w:eastAsia="Times New Roman" w:hAnsi="Times New Roman"/>
                <w:sz w:val="24"/>
                <w:szCs w:val="24"/>
              </w:rPr>
              <w:t>izskatīšanai Ministru kabinetā</w:t>
            </w:r>
            <w:r w:rsidR="00AC02E8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54675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2019.gada </w:t>
            </w:r>
            <w:r w:rsidR="00AC02E8" w:rsidRPr="00F1520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E20D2E" w:rsidRPr="00F1520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05B5E">
              <w:rPr>
                <w:rFonts w:ascii="Times New Roman" w:eastAsia="Times New Roman" w:hAnsi="Times New Roman"/>
                <w:sz w:val="24"/>
                <w:szCs w:val="24"/>
              </w:rPr>
              <w:t>septembrī.</w:t>
            </w:r>
          </w:p>
        </w:tc>
      </w:tr>
      <w:tr w:rsidR="008661C4" w:rsidRPr="00F1520B" w14:paraId="12DD580D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ADB633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33ABE0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Dokumenti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5990C" w14:textId="395396CD" w:rsidR="008661C4" w:rsidRPr="00F1520B" w:rsidRDefault="00E20D2E" w:rsidP="00E20D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Noteikumu projekts</w:t>
            </w:r>
            <w:r w:rsidR="00D05B5E">
              <w:rPr>
                <w:rFonts w:ascii="Times New Roman" w:eastAsia="Times New Roman" w:hAnsi="Times New Roman"/>
                <w:sz w:val="24"/>
                <w:szCs w:val="24"/>
              </w:rPr>
              <w:t>, tā pielikumi</w:t>
            </w: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 un</w:t>
            </w:r>
            <w:r w:rsidR="008661C4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="008661C4" w:rsidRPr="00F1520B">
                <w:rPr>
                  <w:rStyle w:val="Hyperlink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anotācija</w:t>
              </w:r>
            </w:hyperlink>
          </w:p>
        </w:tc>
      </w:tr>
      <w:tr w:rsidR="008661C4" w:rsidRPr="00F1520B" w14:paraId="49870D79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879368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2EEED2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CD9AA" w14:textId="77777777" w:rsidR="008661C4" w:rsidRPr="00F1520B" w:rsidRDefault="008661C4" w:rsidP="00F33C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hAnsi="Times New Roman"/>
                <w:sz w:val="24"/>
                <w:szCs w:val="24"/>
              </w:rPr>
              <w:t xml:space="preserve">Rakstiski iesniedzot viedokli, iebildumus un priekšlikumus par izstrādāto </w:t>
            </w: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noteikumu projektu</w:t>
            </w:r>
            <w:r w:rsidRPr="00F1520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661C4" w:rsidRPr="00F1520B" w14:paraId="61317708" w14:textId="77777777" w:rsidTr="00F33CE6">
        <w:trPr>
          <w:trHeight w:val="1128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1CB612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81A595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Pieteikšanās līdzdalībai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A2530" w14:textId="6AA139E6" w:rsidR="008661C4" w:rsidRPr="00F1520B" w:rsidRDefault="008661C4" w:rsidP="007579D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20B">
              <w:rPr>
                <w:rFonts w:ascii="Times New Roman" w:hAnsi="Times New Roman"/>
                <w:sz w:val="24"/>
                <w:szCs w:val="24"/>
              </w:rPr>
              <w:t xml:space="preserve">Viedokļus, iebildumus un priekšlikumus lūgums iesniegt </w:t>
            </w:r>
            <w:r w:rsidRPr="00F1520B">
              <w:rPr>
                <w:rFonts w:ascii="Times New Roman" w:hAnsi="Times New Roman"/>
                <w:b/>
                <w:sz w:val="24"/>
                <w:szCs w:val="24"/>
              </w:rPr>
              <w:t xml:space="preserve">līdz </w:t>
            </w:r>
            <w:r w:rsidR="00E20D2E" w:rsidRPr="00F1520B">
              <w:rPr>
                <w:rFonts w:ascii="Times New Roman" w:hAnsi="Times New Roman"/>
                <w:b/>
                <w:sz w:val="24"/>
                <w:szCs w:val="24"/>
              </w:rPr>
              <w:t xml:space="preserve">2019.gada </w:t>
            </w:r>
            <w:r w:rsidR="00CB29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152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B29FB"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  <w:r w:rsidR="00E20D2E" w:rsidRPr="00F1520B">
              <w:rPr>
                <w:rFonts w:ascii="Times New Roman" w:hAnsi="Times New Roman"/>
                <w:b/>
                <w:sz w:val="24"/>
                <w:szCs w:val="24"/>
              </w:rPr>
              <w:t>am</w:t>
            </w:r>
            <w:r w:rsidRPr="00F1520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F1520B">
              <w:rPr>
                <w:rFonts w:ascii="Times New Roman" w:hAnsi="Times New Roman"/>
                <w:sz w:val="24"/>
                <w:szCs w:val="24"/>
              </w:rPr>
              <w:t xml:space="preserve">nosūtot tos uz elektroniskā pasta adresi </w:t>
            </w:r>
            <w:hyperlink r:id="rId8" w:history="1">
              <w:r w:rsidR="00CB2AA0" w:rsidRPr="00804E0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raivis.malijs@agentura.iem.gov.lv</w:t>
              </w:r>
            </w:hyperlink>
            <w:r w:rsidRPr="00F152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Iesniedzot viedokli, iebildumus vai priekšlikumus par noteikumu projektu, jānorāda iesniedzēja vārds, uzvārds, institūcijas nosaukums, kuru pārstāv (ja tāda ir), tālruņa numurs un e-pasta adrese.</w:t>
            </w:r>
          </w:p>
        </w:tc>
      </w:tr>
      <w:tr w:rsidR="008661C4" w:rsidRPr="00F1520B" w14:paraId="672071D5" w14:textId="77777777" w:rsidTr="00F33CE6">
        <w:trPr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B04A85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279747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Cita informācija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E332CB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Nav.</w:t>
            </w:r>
          </w:p>
        </w:tc>
      </w:tr>
      <w:tr w:rsidR="008661C4" w:rsidRPr="00F1520B" w14:paraId="734DFF3A" w14:textId="77777777" w:rsidTr="00F33CE6">
        <w:trPr>
          <w:trHeight w:val="495"/>
          <w:tblCellSpacing w:w="15" w:type="dxa"/>
        </w:trPr>
        <w:tc>
          <w:tcPr>
            <w:tcW w:w="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BDB48" w14:textId="77777777" w:rsidR="008661C4" w:rsidRPr="00F1520B" w:rsidRDefault="008661C4" w:rsidP="00F33CE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37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D8505E" w14:textId="77777777" w:rsidR="008661C4" w:rsidRPr="00F1520B" w:rsidRDefault="008661C4" w:rsidP="00F33C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520B">
              <w:rPr>
                <w:rFonts w:ascii="Times New Roman" w:eastAsia="Times New Roman" w:hAnsi="Times New Roman"/>
                <w:sz w:val="24"/>
                <w:szCs w:val="24"/>
              </w:rPr>
              <w:t>Atbildīgā amatpersona</w:t>
            </w:r>
          </w:p>
        </w:tc>
        <w:tc>
          <w:tcPr>
            <w:tcW w:w="9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8FFF9E" w14:textId="18794FDD" w:rsidR="008661C4" w:rsidRPr="00F1520B" w:rsidRDefault="00CB2AA0" w:rsidP="008661C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FC239E">
              <w:rPr>
                <w:rFonts w:ascii="Times New Roman" w:eastAsia="Times New Roman" w:hAnsi="Times New Roman"/>
                <w:sz w:val="24"/>
                <w:szCs w:val="24"/>
              </w:rPr>
              <w:t>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lijs</w:t>
            </w:r>
            <w:r w:rsidR="008661C4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CA461B" w:rsidRPr="00CA461B">
              <w:rPr>
                <w:rFonts w:ascii="Times New Roman" w:hAnsi="Times New Roman"/>
                <w:sz w:val="20"/>
                <w:szCs w:val="20"/>
              </w:rPr>
              <w:t>67218654</w:t>
            </w:r>
            <w:r w:rsidR="008661C4" w:rsidRPr="00F1520B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hyperlink r:id="rId9" w:history="1">
              <w:r w:rsidR="000B7C31" w:rsidRPr="00F854F4">
                <w:rPr>
                  <w:rStyle w:val="Hyperlink"/>
                  <w:rFonts w:ascii="Times New Roman" w:eastAsia="Times New Roman" w:hAnsi="Times New Roman"/>
                  <w:sz w:val="24"/>
                  <w:szCs w:val="24"/>
                </w:rPr>
                <w:t>raivis.malijs@agentura.iem.gov.lv</w:t>
              </w:r>
            </w:hyperlink>
            <w:r w:rsidR="00CA461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</w:tbl>
    <w:p w14:paraId="12454211" w14:textId="77777777" w:rsidR="00E811C9" w:rsidRPr="00F1520B" w:rsidRDefault="00E811C9" w:rsidP="008661C4">
      <w:pPr>
        <w:rPr>
          <w:rFonts w:ascii="Times New Roman" w:hAnsi="Times New Roman"/>
          <w:sz w:val="24"/>
          <w:szCs w:val="24"/>
        </w:rPr>
      </w:pPr>
    </w:p>
    <w:sectPr w:rsidR="00E811C9" w:rsidRPr="00F1520B" w:rsidSect="00977E59">
      <w:headerReference w:type="default" r:id="rId10"/>
      <w:pgSz w:w="16838" w:h="11906" w:orient="landscape"/>
      <w:pgMar w:top="851" w:right="1134" w:bottom="85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1916F" w14:textId="77777777" w:rsidR="00382A69" w:rsidRDefault="00382A69">
      <w:pPr>
        <w:spacing w:after="0" w:line="240" w:lineRule="auto"/>
      </w:pPr>
      <w:r>
        <w:separator/>
      </w:r>
    </w:p>
  </w:endnote>
  <w:endnote w:type="continuationSeparator" w:id="0">
    <w:p w14:paraId="20634671" w14:textId="77777777" w:rsidR="00382A69" w:rsidRDefault="0038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816E1C" w14:textId="77777777" w:rsidR="00382A69" w:rsidRDefault="00382A69">
      <w:pPr>
        <w:spacing w:after="0" w:line="240" w:lineRule="auto"/>
      </w:pPr>
      <w:r>
        <w:separator/>
      </w:r>
    </w:p>
  </w:footnote>
  <w:footnote w:type="continuationSeparator" w:id="0">
    <w:p w14:paraId="4F86452C" w14:textId="77777777" w:rsidR="00382A69" w:rsidRDefault="0038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ED79" w14:textId="0C05C654" w:rsidR="00BA2AD6" w:rsidRDefault="008661C4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922D2">
      <w:rPr>
        <w:noProof/>
      </w:rPr>
      <w:t>2</w:t>
    </w:r>
    <w:r>
      <w:fldChar w:fldCharType="end"/>
    </w:r>
  </w:p>
  <w:p w14:paraId="39A53E02" w14:textId="77777777" w:rsidR="00BA2AD6" w:rsidRDefault="00382A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C4418"/>
    <w:multiLevelType w:val="hybridMultilevel"/>
    <w:tmpl w:val="C03A1D04"/>
    <w:lvl w:ilvl="0" w:tplc="C1AA2480">
      <w:start w:val="4"/>
      <w:numFmt w:val="bullet"/>
      <w:lvlText w:val="-"/>
      <w:lvlJc w:val="left"/>
      <w:pPr>
        <w:ind w:left="647" w:hanging="360"/>
      </w:pPr>
      <w:rPr>
        <w:rFonts w:ascii="Times New Roman" w:eastAsia="Calibri" w:hAnsi="Times New Roman" w:cs="Times New Roman" w:hint="default"/>
        <w:sz w:val="24"/>
        <w:u w:val="none"/>
      </w:rPr>
    </w:lvl>
    <w:lvl w:ilvl="1" w:tplc="0426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1" w15:restartNumberingAfterBreak="0">
    <w:nsid w:val="27385492"/>
    <w:multiLevelType w:val="multilevel"/>
    <w:tmpl w:val="B0844956"/>
    <w:lvl w:ilvl="0">
      <w:start w:val="1"/>
      <w:numFmt w:val="decimal"/>
      <w:lvlText w:val="%1."/>
      <w:lvlJc w:val="left"/>
      <w:pPr>
        <w:ind w:left="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69" w:hanging="1800"/>
      </w:pPr>
      <w:rPr>
        <w:rFonts w:hint="default"/>
      </w:rPr>
    </w:lvl>
  </w:abstractNum>
  <w:abstractNum w:abstractNumId="2" w15:restartNumberingAfterBreak="0">
    <w:nsid w:val="6CA84874"/>
    <w:multiLevelType w:val="hybridMultilevel"/>
    <w:tmpl w:val="419E9FBA"/>
    <w:lvl w:ilvl="0" w:tplc="F67ED516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7" w:hanging="360"/>
      </w:pPr>
    </w:lvl>
    <w:lvl w:ilvl="2" w:tplc="0426001B" w:tentative="1">
      <w:start w:val="1"/>
      <w:numFmt w:val="lowerRoman"/>
      <w:lvlText w:val="%3."/>
      <w:lvlJc w:val="right"/>
      <w:pPr>
        <w:ind w:left="2087" w:hanging="180"/>
      </w:pPr>
    </w:lvl>
    <w:lvl w:ilvl="3" w:tplc="0426000F" w:tentative="1">
      <w:start w:val="1"/>
      <w:numFmt w:val="decimal"/>
      <w:lvlText w:val="%4."/>
      <w:lvlJc w:val="left"/>
      <w:pPr>
        <w:ind w:left="2807" w:hanging="360"/>
      </w:pPr>
    </w:lvl>
    <w:lvl w:ilvl="4" w:tplc="04260019" w:tentative="1">
      <w:start w:val="1"/>
      <w:numFmt w:val="lowerLetter"/>
      <w:lvlText w:val="%5."/>
      <w:lvlJc w:val="left"/>
      <w:pPr>
        <w:ind w:left="3527" w:hanging="360"/>
      </w:pPr>
    </w:lvl>
    <w:lvl w:ilvl="5" w:tplc="0426001B" w:tentative="1">
      <w:start w:val="1"/>
      <w:numFmt w:val="lowerRoman"/>
      <w:lvlText w:val="%6."/>
      <w:lvlJc w:val="right"/>
      <w:pPr>
        <w:ind w:left="4247" w:hanging="180"/>
      </w:pPr>
    </w:lvl>
    <w:lvl w:ilvl="6" w:tplc="0426000F" w:tentative="1">
      <w:start w:val="1"/>
      <w:numFmt w:val="decimal"/>
      <w:lvlText w:val="%7."/>
      <w:lvlJc w:val="left"/>
      <w:pPr>
        <w:ind w:left="4967" w:hanging="360"/>
      </w:pPr>
    </w:lvl>
    <w:lvl w:ilvl="7" w:tplc="04260019" w:tentative="1">
      <w:start w:val="1"/>
      <w:numFmt w:val="lowerLetter"/>
      <w:lvlText w:val="%8."/>
      <w:lvlJc w:val="left"/>
      <w:pPr>
        <w:ind w:left="5687" w:hanging="360"/>
      </w:pPr>
    </w:lvl>
    <w:lvl w:ilvl="8" w:tplc="0426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3" w15:restartNumberingAfterBreak="0">
    <w:nsid w:val="74936B60"/>
    <w:multiLevelType w:val="hybridMultilevel"/>
    <w:tmpl w:val="B0C29940"/>
    <w:lvl w:ilvl="0" w:tplc="A21A558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1C4"/>
    <w:rsid w:val="000B7C31"/>
    <w:rsid w:val="00124E18"/>
    <w:rsid w:val="00130E0E"/>
    <w:rsid w:val="0015619B"/>
    <w:rsid w:val="00184E82"/>
    <w:rsid w:val="002922D2"/>
    <w:rsid w:val="00370120"/>
    <w:rsid w:val="00382A69"/>
    <w:rsid w:val="003C1441"/>
    <w:rsid w:val="00552764"/>
    <w:rsid w:val="0066326F"/>
    <w:rsid w:val="006C5CFF"/>
    <w:rsid w:val="006D14FB"/>
    <w:rsid w:val="007579D5"/>
    <w:rsid w:val="0077774C"/>
    <w:rsid w:val="00792892"/>
    <w:rsid w:val="008661C4"/>
    <w:rsid w:val="008E1505"/>
    <w:rsid w:val="008E608E"/>
    <w:rsid w:val="009C6C84"/>
    <w:rsid w:val="00A13AB4"/>
    <w:rsid w:val="00A873B3"/>
    <w:rsid w:val="00AC02E8"/>
    <w:rsid w:val="00B24236"/>
    <w:rsid w:val="00B31A8D"/>
    <w:rsid w:val="00B710EB"/>
    <w:rsid w:val="00BC18FA"/>
    <w:rsid w:val="00C1637E"/>
    <w:rsid w:val="00C55F6D"/>
    <w:rsid w:val="00CA461B"/>
    <w:rsid w:val="00CB29FB"/>
    <w:rsid w:val="00CB2AA0"/>
    <w:rsid w:val="00D013E4"/>
    <w:rsid w:val="00D05B5E"/>
    <w:rsid w:val="00D07E0D"/>
    <w:rsid w:val="00D54675"/>
    <w:rsid w:val="00E20D2E"/>
    <w:rsid w:val="00E811C9"/>
    <w:rsid w:val="00EC49CF"/>
    <w:rsid w:val="00F1520B"/>
    <w:rsid w:val="00FB7A9B"/>
    <w:rsid w:val="00FC239E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6264"/>
  <w15:chartTrackingRefBased/>
  <w15:docId w15:val="{9CB7FA70-0BCB-4394-8B35-8A8F7AE9D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1C4"/>
    <w:pPr>
      <w:spacing w:after="200" w:line="276" w:lineRule="auto"/>
    </w:pPr>
    <w:rPr>
      <w:rFonts w:ascii="Calibri" w:eastAsia="Calibri" w:hAnsi="Calibri"/>
      <w:sz w:val="22"/>
      <w:szCs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661C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8661C4"/>
    <w:rPr>
      <w:rFonts w:eastAsia="Times New Roman"/>
      <w:szCs w:val="24"/>
      <w:lang w:eastAsia="lv-LV"/>
    </w:rPr>
  </w:style>
  <w:style w:type="paragraph" w:styleId="Header">
    <w:name w:val="header"/>
    <w:basedOn w:val="Normal"/>
    <w:link w:val="HeaderChar"/>
    <w:rsid w:val="008661C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HeaderChar1">
    <w:name w:val="Header Char1"/>
    <w:basedOn w:val="DefaultParagraphFont"/>
    <w:uiPriority w:val="99"/>
    <w:semiHidden/>
    <w:rsid w:val="008661C4"/>
    <w:rPr>
      <w:rFonts w:ascii="Calibri" w:eastAsia="Calibri" w:hAnsi="Calibri"/>
      <w:sz w:val="22"/>
      <w:szCs w:val="22"/>
      <w:lang w:eastAsia="lv-LV"/>
    </w:rPr>
  </w:style>
  <w:style w:type="paragraph" w:styleId="ListParagraph">
    <w:name w:val="List Paragraph"/>
    <w:basedOn w:val="Normal"/>
    <w:uiPriority w:val="34"/>
    <w:qFormat/>
    <w:rsid w:val="003C14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4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ivis.malijs@agentura.iem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Documents%20and%20Settings\kristinema\Local%20Settings\Temp\IEMAnot_070613_ZinParbKart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aivis.malijs@agentura.iem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Stone</dc:creator>
  <cp:keywords/>
  <dc:description/>
  <cp:lastModifiedBy>Inese Sproģe</cp:lastModifiedBy>
  <cp:revision>2</cp:revision>
  <dcterms:created xsi:type="dcterms:W3CDTF">2019-07-16T13:14:00Z</dcterms:created>
  <dcterms:modified xsi:type="dcterms:W3CDTF">2019-07-16T13:14:00Z</dcterms:modified>
</cp:coreProperties>
</file>