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1FBA" w14:textId="77777777" w:rsidR="00894C55" w:rsidRPr="00D34D6D" w:rsidRDefault="0016408E" w:rsidP="00D34D6D">
      <w:pPr>
        <w:spacing w:after="0" w:line="240" w:lineRule="auto"/>
        <w:contextualSpacing/>
        <w:jc w:val="center"/>
        <w:rPr>
          <w:rFonts w:ascii="Times New Roman" w:hAnsi="Times New Roman"/>
          <w:b/>
          <w:sz w:val="28"/>
          <w:szCs w:val="28"/>
        </w:rPr>
      </w:pPr>
      <w:bookmarkStart w:id="0" w:name="_GoBack"/>
      <w:bookmarkEnd w:id="0"/>
      <w:r w:rsidRPr="003D3060">
        <w:rPr>
          <w:rFonts w:ascii="Times New Roman" w:eastAsia="Times New Roman" w:hAnsi="Times New Roman"/>
          <w:b/>
          <w:bCs/>
          <w:sz w:val="28"/>
          <w:szCs w:val="24"/>
          <w:lang w:eastAsia="lv-LV"/>
        </w:rPr>
        <w:t>Ministru kab</w:t>
      </w:r>
      <w:r w:rsidR="00130BBD" w:rsidRPr="003D3060">
        <w:rPr>
          <w:rFonts w:ascii="Times New Roman" w:eastAsia="Times New Roman" w:hAnsi="Times New Roman"/>
          <w:b/>
          <w:bCs/>
          <w:sz w:val="28"/>
          <w:szCs w:val="24"/>
          <w:lang w:eastAsia="lv-LV"/>
        </w:rPr>
        <w:t>ineta noteikumu “</w:t>
      </w:r>
      <w:r w:rsidR="00D34D6D">
        <w:rPr>
          <w:rFonts w:ascii="Times New Roman" w:hAnsi="Times New Roman"/>
          <w:b/>
          <w:sz w:val="28"/>
          <w:szCs w:val="28"/>
        </w:rPr>
        <w:t>Noteikumi par rīcību ar administratīvo pārkāpumu lietās izņemto mantu un dokumentiem</w:t>
      </w:r>
      <w:r w:rsidR="004626FC" w:rsidRPr="003D3060">
        <w:rPr>
          <w:rFonts w:ascii="Times New Roman" w:eastAsia="Times New Roman" w:hAnsi="Times New Roman"/>
          <w:b/>
          <w:bCs/>
          <w:sz w:val="28"/>
          <w:szCs w:val="24"/>
          <w:lang w:eastAsia="lv-LV"/>
        </w:rPr>
        <w:t>”</w:t>
      </w:r>
      <w:r w:rsidR="0054134E" w:rsidRPr="003D3060">
        <w:rPr>
          <w:rFonts w:ascii="Times New Roman" w:eastAsia="Times New Roman" w:hAnsi="Times New Roman"/>
          <w:b/>
          <w:bCs/>
          <w:sz w:val="28"/>
          <w:szCs w:val="24"/>
          <w:lang w:eastAsia="lv-LV"/>
        </w:rPr>
        <w:t xml:space="preserve"> </w:t>
      </w:r>
      <w:r w:rsidR="00894C55" w:rsidRPr="003D3060">
        <w:rPr>
          <w:rFonts w:ascii="Times New Roman" w:eastAsia="Times New Roman" w:hAnsi="Times New Roman"/>
          <w:b/>
          <w:bCs/>
          <w:sz w:val="28"/>
          <w:szCs w:val="24"/>
          <w:lang w:eastAsia="lv-LV"/>
        </w:rPr>
        <w:t>projekta</w:t>
      </w:r>
      <w:r w:rsidR="0012325E" w:rsidRPr="003D3060">
        <w:rPr>
          <w:rFonts w:ascii="Times New Roman" w:eastAsia="Times New Roman" w:hAnsi="Times New Roman"/>
          <w:b/>
          <w:bCs/>
          <w:sz w:val="28"/>
          <w:szCs w:val="24"/>
          <w:lang w:eastAsia="lv-LV"/>
        </w:rPr>
        <w:t xml:space="preserve"> </w:t>
      </w:r>
      <w:r w:rsidR="00894C55" w:rsidRPr="003D3060">
        <w:rPr>
          <w:rFonts w:ascii="Times New Roman" w:eastAsia="Times New Roman" w:hAnsi="Times New Roman"/>
          <w:b/>
          <w:bCs/>
          <w:sz w:val="28"/>
          <w:szCs w:val="24"/>
          <w:lang w:eastAsia="lv-LV"/>
        </w:rPr>
        <w:t>sākotnējās ietekmes novērtējuma ziņojums (anotācija)</w:t>
      </w:r>
    </w:p>
    <w:p w14:paraId="4C511FBB" w14:textId="77777777" w:rsidR="00E5323B" w:rsidRPr="003D3060" w:rsidRDefault="00E5323B" w:rsidP="00894C55">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96"/>
        <w:gridCol w:w="6625"/>
      </w:tblGrid>
      <w:tr w:rsidR="00E5323B" w:rsidRPr="003D3060" w14:paraId="4C511FBD"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511FBC" w14:textId="77777777" w:rsidR="00655F2C" w:rsidRPr="003D3060" w:rsidRDefault="00E5323B" w:rsidP="00E5323B">
            <w:pPr>
              <w:spacing w:after="0" w:line="240" w:lineRule="auto"/>
              <w:rPr>
                <w:rFonts w:ascii="Times New Roman" w:eastAsia="Times New Roman" w:hAnsi="Times New Roman"/>
                <w:b/>
                <w:bCs/>
                <w:iCs/>
                <w:sz w:val="24"/>
                <w:szCs w:val="24"/>
                <w:lang w:eastAsia="lv-LV"/>
              </w:rPr>
            </w:pPr>
            <w:r w:rsidRPr="003D3060">
              <w:rPr>
                <w:rFonts w:ascii="Times New Roman" w:eastAsia="Times New Roman" w:hAnsi="Times New Roman"/>
                <w:b/>
                <w:bCs/>
                <w:iCs/>
                <w:sz w:val="24"/>
                <w:szCs w:val="24"/>
                <w:lang w:eastAsia="lv-LV"/>
              </w:rPr>
              <w:t>Tiesību akta projekta anotācijas kopsavilkums</w:t>
            </w:r>
          </w:p>
        </w:tc>
      </w:tr>
      <w:tr w:rsidR="00864DB4" w:rsidRPr="003D3060" w14:paraId="4C511FC1" w14:textId="77777777" w:rsidTr="00412D52">
        <w:trPr>
          <w:trHeight w:val="3436"/>
          <w:tblCellSpacing w:w="15" w:type="dxa"/>
        </w:trPr>
        <w:tc>
          <w:tcPr>
            <w:tcW w:w="1383" w:type="pct"/>
            <w:tcBorders>
              <w:top w:val="outset" w:sz="6" w:space="0" w:color="auto"/>
              <w:left w:val="outset" w:sz="6" w:space="0" w:color="auto"/>
              <w:bottom w:val="outset" w:sz="6" w:space="0" w:color="auto"/>
              <w:right w:val="outset" w:sz="6" w:space="0" w:color="auto"/>
            </w:tcBorders>
            <w:hideMark/>
          </w:tcPr>
          <w:p w14:paraId="4C511FBE"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Mērķis, risinājums un projekta spēkā stāšanās laiks (500 zīmes bez atstarpēm)</w:t>
            </w:r>
          </w:p>
        </w:tc>
        <w:tc>
          <w:tcPr>
            <w:tcW w:w="3568" w:type="pct"/>
            <w:tcBorders>
              <w:top w:val="outset" w:sz="6" w:space="0" w:color="auto"/>
              <w:left w:val="outset" w:sz="6" w:space="0" w:color="auto"/>
              <w:bottom w:val="outset" w:sz="6" w:space="0" w:color="auto"/>
              <w:right w:val="outset" w:sz="6" w:space="0" w:color="auto"/>
            </w:tcBorders>
            <w:hideMark/>
          </w:tcPr>
          <w:p w14:paraId="4C511FBF" w14:textId="793E6D4D" w:rsidR="00137EAF" w:rsidRPr="003D3060" w:rsidRDefault="00E80117" w:rsidP="00137EAF">
            <w:pPr>
              <w:spacing w:after="0" w:line="240" w:lineRule="auto"/>
              <w:ind w:firstLine="287"/>
              <w:jc w:val="both"/>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 xml:space="preserve">Ministru kabineta noteikumu </w:t>
            </w:r>
            <w:r w:rsidRPr="003D3060">
              <w:rPr>
                <w:rFonts w:ascii="Times New Roman" w:eastAsia="Times New Roman" w:hAnsi="Times New Roman"/>
                <w:bCs/>
                <w:iCs/>
                <w:sz w:val="24"/>
                <w:szCs w:val="24"/>
                <w:lang w:eastAsia="lv-LV"/>
              </w:rPr>
              <w:t>“</w:t>
            </w:r>
            <w:r w:rsidR="00D34D6D" w:rsidRPr="00D34D6D">
              <w:rPr>
                <w:rFonts w:ascii="Times New Roman" w:eastAsia="Times New Roman" w:hAnsi="Times New Roman"/>
                <w:bCs/>
                <w:iCs/>
                <w:sz w:val="24"/>
                <w:szCs w:val="24"/>
                <w:lang w:eastAsia="lv-LV"/>
              </w:rPr>
              <w:t>Noteikumi par rīcību ar administratīvo pārkāpumu lietās izņemto mantu un dokumentiem</w:t>
            </w:r>
            <w:r w:rsidRPr="003D3060">
              <w:rPr>
                <w:rFonts w:ascii="Times New Roman" w:eastAsia="Times New Roman" w:hAnsi="Times New Roman"/>
                <w:bCs/>
                <w:iCs/>
                <w:sz w:val="24"/>
                <w:szCs w:val="24"/>
                <w:lang w:eastAsia="lv-LV"/>
              </w:rPr>
              <w:t>” projekts (turpmāk – projekts)</w:t>
            </w:r>
            <w:r w:rsidR="00137EAF" w:rsidRPr="003D3060">
              <w:rPr>
                <w:rFonts w:ascii="Times New Roman" w:eastAsia="Times New Roman" w:hAnsi="Times New Roman"/>
                <w:sz w:val="24"/>
                <w:szCs w:val="24"/>
                <w:lang w:eastAsia="lv-LV"/>
              </w:rPr>
              <w:t xml:space="preserve"> </w:t>
            </w:r>
            <w:r w:rsidRPr="003D3060">
              <w:rPr>
                <w:rFonts w:ascii="Times New Roman" w:eastAsia="Times New Roman" w:hAnsi="Times New Roman"/>
                <w:iCs/>
                <w:sz w:val="24"/>
                <w:szCs w:val="24"/>
                <w:lang w:eastAsia="lv-LV"/>
              </w:rPr>
              <w:t xml:space="preserve">mērķis ir nodrošināt efektīvu </w:t>
            </w:r>
            <w:r w:rsidR="00D34D6D" w:rsidRPr="00D34D6D">
              <w:rPr>
                <w:rFonts w:ascii="Times New Roman" w:eastAsia="Times New Roman" w:hAnsi="Times New Roman"/>
                <w:iCs/>
                <w:sz w:val="24"/>
                <w:szCs w:val="24"/>
                <w:lang w:eastAsia="lv-LV"/>
              </w:rPr>
              <w:t>administratīvo pārkāpumu lietās izņemtās mantas un dokumentu glabāšanas, realizācijas, iznīcināšanas un ar to saistīto izdevumu segšanas kārtību</w:t>
            </w:r>
            <w:r w:rsidR="00D34D6D">
              <w:rPr>
                <w:rFonts w:ascii="Times New Roman" w:eastAsia="Times New Roman" w:hAnsi="Times New Roman"/>
                <w:iCs/>
                <w:sz w:val="24"/>
                <w:szCs w:val="24"/>
                <w:lang w:eastAsia="lv-LV"/>
              </w:rPr>
              <w:t>.</w:t>
            </w:r>
            <w:r w:rsidR="00D34D6D" w:rsidRPr="00D34D6D">
              <w:rPr>
                <w:rFonts w:ascii="Times New Roman" w:eastAsia="Times New Roman" w:hAnsi="Times New Roman"/>
                <w:iCs/>
                <w:sz w:val="24"/>
                <w:szCs w:val="24"/>
                <w:lang w:eastAsia="lv-LV"/>
              </w:rPr>
              <w:t xml:space="preserve"> </w:t>
            </w:r>
            <w:r w:rsidR="00137EAF" w:rsidRPr="003D3060">
              <w:rPr>
                <w:rFonts w:ascii="Times New Roman" w:eastAsia="Times New Roman" w:hAnsi="Times New Roman"/>
                <w:iCs/>
                <w:sz w:val="24"/>
                <w:szCs w:val="24"/>
                <w:lang w:eastAsia="lv-LV"/>
              </w:rPr>
              <w:t xml:space="preserve">Projektā </w:t>
            </w:r>
            <w:r w:rsidR="00137EAF" w:rsidRPr="003D3060">
              <w:rPr>
                <w:rFonts w:ascii="Times New Roman" w:eastAsia="Times New Roman" w:hAnsi="Times New Roman"/>
                <w:bCs/>
                <w:iCs/>
                <w:sz w:val="24"/>
                <w:szCs w:val="24"/>
                <w:lang w:eastAsia="lv-LV"/>
              </w:rPr>
              <w:t>noteikta</w:t>
            </w:r>
            <w:r w:rsidR="00D34D6D">
              <w:rPr>
                <w:rFonts w:ascii="Times New Roman" w:eastAsia="Times New Roman" w:hAnsi="Times New Roman"/>
                <w:bCs/>
                <w:iCs/>
                <w:sz w:val="24"/>
                <w:szCs w:val="24"/>
                <w:lang w:eastAsia="lv-LV"/>
              </w:rPr>
              <w:t xml:space="preserve">s </w:t>
            </w:r>
            <w:r w:rsidR="00BD5772">
              <w:rPr>
                <w:rFonts w:ascii="Times New Roman" w:eastAsia="Times New Roman" w:hAnsi="Times New Roman"/>
                <w:bCs/>
                <w:iCs/>
                <w:sz w:val="24"/>
                <w:szCs w:val="24"/>
                <w:lang w:eastAsia="lv-LV"/>
              </w:rPr>
              <w:t xml:space="preserve">Nodrošinājuma valsts aģentūras (turpmāk – Aģentūra) </w:t>
            </w:r>
            <w:r w:rsidR="00D34D6D">
              <w:rPr>
                <w:rFonts w:ascii="Times New Roman" w:eastAsia="Times New Roman" w:hAnsi="Times New Roman"/>
                <w:bCs/>
                <w:iCs/>
                <w:sz w:val="24"/>
                <w:szCs w:val="24"/>
                <w:lang w:eastAsia="lv-LV"/>
              </w:rPr>
              <w:t xml:space="preserve">un </w:t>
            </w:r>
            <w:r w:rsidR="00BD5772">
              <w:rPr>
                <w:rFonts w:ascii="Times New Roman" w:eastAsia="Times New Roman" w:hAnsi="Times New Roman"/>
                <w:bCs/>
                <w:iCs/>
                <w:sz w:val="24"/>
                <w:szCs w:val="24"/>
                <w:lang w:eastAsia="lv-LV"/>
              </w:rPr>
              <w:t xml:space="preserve">minēto uzdevumu izpildē iesaistīto iestāžu tiesības un pienākumi, kā arī kārtība, </w:t>
            </w:r>
            <w:proofErr w:type="gramStart"/>
            <w:r w:rsidR="00BD5772">
              <w:rPr>
                <w:rFonts w:ascii="Times New Roman" w:eastAsia="Times New Roman" w:hAnsi="Times New Roman"/>
                <w:bCs/>
                <w:iCs/>
                <w:sz w:val="24"/>
                <w:szCs w:val="24"/>
                <w:lang w:eastAsia="lv-LV"/>
              </w:rPr>
              <w:t>kādā persona saņem izņemto mantu un dokumentus</w:t>
            </w:r>
            <w:proofErr w:type="gramEnd"/>
            <w:r w:rsidR="007237F7">
              <w:rPr>
                <w:rFonts w:ascii="Times New Roman" w:eastAsia="Times New Roman" w:hAnsi="Times New Roman"/>
                <w:bCs/>
                <w:iCs/>
                <w:sz w:val="24"/>
                <w:szCs w:val="24"/>
                <w:lang w:eastAsia="lv-LV"/>
              </w:rPr>
              <w:t xml:space="preserve"> un kārtīb</w:t>
            </w:r>
            <w:r w:rsidR="004375A5">
              <w:rPr>
                <w:rFonts w:ascii="Times New Roman" w:eastAsia="Times New Roman" w:hAnsi="Times New Roman"/>
                <w:bCs/>
                <w:iCs/>
                <w:sz w:val="24"/>
                <w:szCs w:val="24"/>
                <w:lang w:eastAsia="lv-LV"/>
              </w:rPr>
              <w:t>a</w:t>
            </w:r>
            <w:r w:rsidR="007237F7">
              <w:rPr>
                <w:rFonts w:ascii="Times New Roman" w:eastAsia="Times New Roman" w:hAnsi="Times New Roman"/>
                <w:bCs/>
                <w:iCs/>
                <w:sz w:val="24"/>
                <w:szCs w:val="24"/>
                <w:lang w:eastAsia="lv-LV"/>
              </w:rPr>
              <w:t xml:space="preserve">, kādā </w:t>
            </w:r>
            <w:r w:rsidR="007237F7" w:rsidRPr="007237F7">
              <w:rPr>
                <w:rFonts w:ascii="Times New Roman" w:eastAsia="Times New Roman" w:hAnsi="Times New Roman"/>
                <w:bCs/>
                <w:iCs/>
                <w:sz w:val="24"/>
                <w:szCs w:val="24"/>
                <w:lang w:eastAsia="lv-LV"/>
              </w:rPr>
              <w:t>izņemtās mantas īpašniekam atlīdzina</w:t>
            </w:r>
            <w:r w:rsidR="007237F7">
              <w:rPr>
                <w:rFonts w:ascii="Times New Roman" w:eastAsia="Times New Roman" w:hAnsi="Times New Roman"/>
                <w:bCs/>
                <w:iCs/>
                <w:sz w:val="24"/>
                <w:szCs w:val="24"/>
                <w:lang w:eastAsia="lv-LV"/>
              </w:rPr>
              <w:t xml:space="preserve"> realizētās vai iznīcinātās mantas vērtību</w:t>
            </w:r>
            <w:r w:rsidR="00137EAF" w:rsidRPr="003D3060">
              <w:rPr>
                <w:rFonts w:ascii="Times New Roman" w:eastAsia="Times New Roman" w:hAnsi="Times New Roman"/>
                <w:bCs/>
                <w:iCs/>
                <w:sz w:val="24"/>
                <w:szCs w:val="24"/>
                <w:lang w:eastAsia="lv-LV"/>
              </w:rPr>
              <w:t>.</w:t>
            </w:r>
          </w:p>
          <w:p w14:paraId="4C511FC0" w14:textId="5EF73101" w:rsidR="00137EAF" w:rsidRPr="003D3060" w:rsidRDefault="008704F5" w:rsidP="00BD5772">
            <w:pPr>
              <w:spacing w:after="0" w:line="240" w:lineRule="auto"/>
              <w:ind w:firstLine="287"/>
              <w:jc w:val="both"/>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Projekts</w:t>
            </w:r>
            <w:r w:rsidR="00137EAF" w:rsidRPr="003D3060">
              <w:rPr>
                <w:rFonts w:ascii="Times New Roman" w:eastAsia="Times New Roman" w:hAnsi="Times New Roman"/>
                <w:iCs/>
                <w:sz w:val="24"/>
                <w:szCs w:val="24"/>
                <w:lang w:eastAsia="lv-LV"/>
              </w:rPr>
              <w:t xml:space="preserve"> </w:t>
            </w:r>
            <w:r w:rsidRPr="003D3060">
              <w:rPr>
                <w:rFonts w:ascii="Times New Roman" w:eastAsia="Times New Roman" w:hAnsi="Times New Roman"/>
                <w:iCs/>
                <w:sz w:val="24"/>
                <w:szCs w:val="24"/>
                <w:lang w:eastAsia="lv-LV"/>
              </w:rPr>
              <w:t>stāsies spēkā</w:t>
            </w:r>
            <w:r w:rsidR="00CD5BE2">
              <w:rPr>
                <w:rFonts w:ascii="Times New Roman" w:eastAsia="Times New Roman" w:hAnsi="Times New Roman"/>
                <w:iCs/>
                <w:sz w:val="24"/>
                <w:szCs w:val="24"/>
                <w:lang w:eastAsia="lv-LV"/>
              </w:rPr>
              <w:t xml:space="preserve"> </w:t>
            </w:r>
            <w:r w:rsidR="00CD5BE2" w:rsidRPr="00CD5BE2">
              <w:rPr>
                <w:rFonts w:ascii="Times New Roman" w:eastAsia="Times New Roman" w:hAnsi="Times New Roman"/>
                <w:iCs/>
                <w:sz w:val="24"/>
                <w:szCs w:val="24"/>
                <w:lang w:eastAsia="lv-LV"/>
              </w:rPr>
              <w:t>vienlaikus ar Administratīvās atbildības likumu</w:t>
            </w:r>
            <w:r w:rsidR="00CD5BE2">
              <w:rPr>
                <w:rFonts w:ascii="Times New Roman" w:eastAsia="Times New Roman" w:hAnsi="Times New Roman"/>
                <w:iCs/>
                <w:sz w:val="24"/>
                <w:szCs w:val="24"/>
                <w:lang w:eastAsia="lv-LV"/>
              </w:rPr>
              <w:t xml:space="preserve"> - </w:t>
            </w:r>
            <w:r w:rsidRPr="003D3060">
              <w:rPr>
                <w:rFonts w:ascii="Times New Roman" w:eastAsia="Times New Roman" w:hAnsi="Times New Roman"/>
                <w:iCs/>
                <w:sz w:val="24"/>
                <w:szCs w:val="24"/>
                <w:lang w:eastAsia="lv-LV"/>
              </w:rPr>
              <w:t>20</w:t>
            </w:r>
            <w:r w:rsidR="00BD5772">
              <w:rPr>
                <w:rFonts w:ascii="Times New Roman" w:eastAsia="Times New Roman" w:hAnsi="Times New Roman"/>
                <w:iCs/>
                <w:sz w:val="24"/>
                <w:szCs w:val="24"/>
                <w:lang w:eastAsia="lv-LV"/>
              </w:rPr>
              <w:t xml:space="preserve">20. gada </w:t>
            </w:r>
            <w:proofErr w:type="gramStart"/>
            <w:r w:rsidR="00BD5772">
              <w:rPr>
                <w:rFonts w:ascii="Times New Roman" w:eastAsia="Times New Roman" w:hAnsi="Times New Roman"/>
                <w:iCs/>
                <w:sz w:val="24"/>
                <w:szCs w:val="24"/>
                <w:lang w:eastAsia="lv-LV"/>
              </w:rPr>
              <w:t>1</w:t>
            </w:r>
            <w:r w:rsidRPr="003D3060">
              <w:rPr>
                <w:rFonts w:ascii="Times New Roman" w:eastAsia="Times New Roman" w:hAnsi="Times New Roman"/>
                <w:iCs/>
                <w:sz w:val="24"/>
                <w:szCs w:val="24"/>
                <w:lang w:eastAsia="lv-LV"/>
              </w:rPr>
              <w:t>.</w:t>
            </w:r>
            <w:r w:rsidR="00BD5772">
              <w:rPr>
                <w:rFonts w:ascii="Times New Roman" w:eastAsia="Times New Roman" w:hAnsi="Times New Roman"/>
                <w:iCs/>
                <w:sz w:val="24"/>
                <w:szCs w:val="24"/>
                <w:lang w:eastAsia="lv-LV"/>
              </w:rPr>
              <w:t>janvārī</w:t>
            </w:r>
            <w:proofErr w:type="gramEnd"/>
            <w:r w:rsidR="00BD5772">
              <w:rPr>
                <w:rFonts w:ascii="Times New Roman" w:eastAsia="Times New Roman" w:hAnsi="Times New Roman"/>
                <w:iCs/>
                <w:sz w:val="24"/>
                <w:szCs w:val="24"/>
                <w:lang w:eastAsia="lv-LV"/>
              </w:rPr>
              <w:t>.</w:t>
            </w:r>
          </w:p>
        </w:tc>
      </w:tr>
    </w:tbl>
    <w:p w14:paraId="4C511FC2" w14:textId="77777777" w:rsidR="00E5323B" w:rsidRPr="003D3060"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9"/>
        <w:gridCol w:w="1559"/>
        <w:gridCol w:w="7303"/>
      </w:tblGrid>
      <w:tr w:rsidR="00E5323B" w:rsidRPr="003D3060" w14:paraId="4C511FC4" w14:textId="77777777" w:rsidTr="005F7364">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4C511FC3" w14:textId="77777777" w:rsidR="00655F2C" w:rsidRPr="003D3060" w:rsidRDefault="00E5323B" w:rsidP="00E5323B">
            <w:pPr>
              <w:spacing w:after="0" w:line="240" w:lineRule="auto"/>
              <w:rPr>
                <w:rFonts w:ascii="Times New Roman" w:eastAsia="Times New Roman" w:hAnsi="Times New Roman"/>
                <w:b/>
                <w:bCs/>
                <w:iCs/>
                <w:sz w:val="24"/>
                <w:szCs w:val="24"/>
                <w:lang w:eastAsia="lv-LV"/>
              </w:rPr>
            </w:pPr>
            <w:r w:rsidRPr="003D3060">
              <w:rPr>
                <w:rFonts w:ascii="Times New Roman" w:eastAsia="Times New Roman" w:hAnsi="Times New Roman"/>
                <w:b/>
                <w:bCs/>
                <w:iCs/>
                <w:sz w:val="24"/>
                <w:szCs w:val="24"/>
                <w:lang w:eastAsia="lv-LV"/>
              </w:rPr>
              <w:t>I. Tiesību akta projekta izstrādes nepieciešamība</w:t>
            </w:r>
          </w:p>
        </w:tc>
      </w:tr>
      <w:tr w:rsidR="00E5323B" w:rsidRPr="003D3060" w14:paraId="4C511FC8" w14:textId="77777777" w:rsidTr="005F7364">
        <w:trPr>
          <w:tblCellSpacing w:w="15" w:type="dxa"/>
        </w:trPr>
        <w:tc>
          <w:tcPr>
            <w:tcW w:w="314" w:type="dxa"/>
            <w:tcBorders>
              <w:top w:val="outset" w:sz="6" w:space="0" w:color="auto"/>
              <w:left w:val="outset" w:sz="6" w:space="0" w:color="auto"/>
              <w:bottom w:val="outset" w:sz="6" w:space="0" w:color="auto"/>
              <w:right w:val="outset" w:sz="6" w:space="0" w:color="auto"/>
            </w:tcBorders>
            <w:hideMark/>
          </w:tcPr>
          <w:p w14:paraId="4C511FC5"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1.</w:t>
            </w:r>
          </w:p>
        </w:tc>
        <w:tc>
          <w:tcPr>
            <w:tcW w:w="1529" w:type="dxa"/>
            <w:tcBorders>
              <w:top w:val="outset" w:sz="6" w:space="0" w:color="auto"/>
              <w:left w:val="outset" w:sz="6" w:space="0" w:color="auto"/>
              <w:bottom w:val="outset" w:sz="6" w:space="0" w:color="auto"/>
              <w:right w:val="outset" w:sz="6" w:space="0" w:color="auto"/>
            </w:tcBorders>
            <w:hideMark/>
          </w:tcPr>
          <w:p w14:paraId="4C511FC6"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Pamatojums</w:t>
            </w:r>
          </w:p>
        </w:tc>
        <w:tc>
          <w:tcPr>
            <w:tcW w:w="7258" w:type="dxa"/>
            <w:tcBorders>
              <w:top w:val="outset" w:sz="6" w:space="0" w:color="auto"/>
              <w:left w:val="outset" w:sz="6" w:space="0" w:color="auto"/>
              <w:bottom w:val="outset" w:sz="6" w:space="0" w:color="auto"/>
              <w:right w:val="outset" w:sz="6" w:space="0" w:color="auto"/>
            </w:tcBorders>
            <w:hideMark/>
          </w:tcPr>
          <w:p w14:paraId="59696B73" w14:textId="77777777" w:rsidR="00090D33" w:rsidRDefault="00130BBD" w:rsidP="00A058E0">
            <w:pPr>
              <w:spacing w:after="0" w:line="240" w:lineRule="auto"/>
              <w:ind w:firstLine="269"/>
              <w:jc w:val="both"/>
              <w:rPr>
                <w:rFonts w:ascii="Times New Roman" w:eastAsia="Times New Roman" w:hAnsi="Times New Roman"/>
                <w:sz w:val="24"/>
                <w:szCs w:val="24"/>
                <w:lang w:eastAsia="lv-LV"/>
              </w:rPr>
            </w:pPr>
            <w:r w:rsidRPr="003D3060">
              <w:rPr>
                <w:rFonts w:ascii="Times New Roman" w:eastAsia="Times New Roman" w:hAnsi="Times New Roman"/>
                <w:sz w:val="24"/>
                <w:szCs w:val="24"/>
                <w:lang w:eastAsia="lv-LV"/>
              </w:rPr>
              <w:t>Projekts izstrādāts,</w:t>
            </w:r>
            <w:r w:rsidR="00090D33" w:rsidRPr="003D3060">
              <w:rPr>
                <w:rFonts w:ascii="Times New Roman" w:eastAsia="Times New Roman" w:hAnsi="Times New Roman"/>
                <w:sz w:val="24"/>
                <w:szCs w:val="24"/>
                <w:lang w:eastAsia="lv-LV"/>
              </w:rPr>
              <w:t xml:space="preserve"> pamatojoties uz</w:t>
            </w:r>
            <w:r w:rsidR="00A058E0">
              <w:rPr>
                <w:rFonts w:ascii="Times New Roman" w:eastAsia="Times New Roman" w:hAnsi="Times New Roman"/>
                <w:sz w:val="24"/>
                <w:szCs w:val="24"/>
                <w:lang w:eastAsia="lv-LV"/>
              </w:rPr>
              <w:t xml:space="preserve"> </w:t>
            </w:r>
            <w:r w:rsidR="004375A5" w:rsidRPr="004375A5">
              <w:rPr>
                <w:rFonts w:ascii="Times New Roman" w:eastAsia="Times New Roman" w:hAnsi="Times New Roman"/>
                <w:sz w:val="24"/>
                <w:szCs w:val="24"/>
                <w:lang w:eastAsia="lv-LV"/>
              </w:rPr>
              <w:t>V</w:t>
            </w:r>
            <w:r w:rsidR="004375A5">
              <w:rPr>
                <w:rFonts w:ascii="Times New Roman" w:eastAsia="Times New Roman" w:hAnsi="Times New Roman"/>
                <w:sz w:val="24"/>
                <w:szCs w:val="24"/>
                <w:lang w:eastAsia="lv-LV"/>
              </w:rPr>
              <w:t>alsts sekretāru sanāksmes</w:t>
            </w:r>
            <w:r w:rsidR="004375A5" w:rsidRPr="004375A5">
              <w:rPr>
                <w:rFonts w:ascii="Times New Roman" w:eastAsia="Times New Roman" w:hAnsi="Times New Roman"/>
                <w:sz w:val="24"/>
                <w:szCs w:val="24"/>
                <w:lang w:eastAsia="lv-LV"/>
              </w:rPr>
              <w:t xml:space="preserve"> </w:t>
            </w:r>
            <w:proofErr w:type="gramStart"/>
            <w:r w:rsidR="004375A5" w:rsidRPr="004375A5">
              <w:rPr>
                <w:rFonts w:ascii="Times New Roman" w:eastAsia="Times New Roman" w:hAnsi="Times New Roman"/>
                <w:sz w:val="24"/>
                <w:szCs w:val="24"/>
                <w:lang w:eastAsia="lv-LV"/>
              </w:rPr>
              <w:t>2017.</w:t>
            </w:r>
            <w:r w:rsidR="004375A5">
              <w:rPr>
                <w:rFonts w:ascii="Times New Roman" w:eastAsia="Times New Roman" w:hAnsi="Times New Roman"/>
                <w:sz w:val="24"/>
                <w:szCs w:val="24"/>
                <w:lang w:eastAsia="lv-LV"/>
              </w:rPr>
              <w:t>gada</w:t>
            </w:r>
            <w:proofErr w:type="gramEnd"/>
            <w:r w:rsidR="004375A5">
              <w:rPr>
                <w:rFonts w:ascii="Times New Roman" w:eastAsia="Times New Roman" w:hAnsi="Times New Roman"/>
                <w:sz w:val="24"/>
                <w:szCs w:val="24"/>
                <w:lang w:eastAsia="lv-LV"/>
              </w:rPr>
              <w:t xml:space="preserve"> </w:t>
            </w:r>
            <w:r w:rsidR="004375A5" w:rsidRPr="004375A5">
              <w:rPr>
                <w:rFonts w:ascii="Times New Roman" w:eastAsia="Times New Roman" w:hAnsi="Times New Roman"/>
                <w:sz w:val="24"/>
                <w:szCs w:val="24"/>
                <w:lang w:eastAsia="lv-LV"/>
              </w:rPr>
              <w:t xml:space="preserve"> </w:t>
            </w:r>
            <w:r w:rsidR="004375A5">
              <w:rPr>
                <w:rFonts w:ascii="Times New Roman" w:eastAsia="Times New Roman" w:hAnsi="Times New Roman"/>
                <w:sz w:val="24"/>
                <w:szCs w:val="24"/>
                <w:lang w:eastAsia="lv-LV"/>
              </w:rPr>
              <w:t>10.augusta</w:t>
            </w:r>
            <w:r w:rsidR="004375A5" w:rsidRPr="004375A5">
              <w:rPr>
                <w:rFonts w:ascii="Times New Roman" w:eastAsia="Times New Roman" w:hAnsi="Times New Roman"/>
                <w:sz w:val="24"/>
                <w:szCs w:val="24"/>
                <w:lang w:eastAsia="lv-LV"/>
              </w:rPr>
              <w:t xml:space="preserve"> protokolā Nr.31  33.§ noteikt</w:t>
            </w:r>
            <w:r w:rsidR="00A058E0">
              <w:rPr>
                <w:rFonts w:ascii="Times New Roman" w:eastAsia="Times New Roman" w:hAnsi="Times New Roman"/>
                <w:sz w:val="24"/>
                <w:szCs w:val="24"/>
                <w:lang w:eastAsia="lv-LV"/>
              </w:rPr>
              <w:t>ajiem uzdevumiem –</w:t>
            </w:r>
            <w:r w:rsidR="00C63796">
              <w:rPr>
                <w:rFonts w:ascii="Times New Roman" w:eastAsia="Times New Roman" w:hAnsi="Times New Roman"/>
                <w:sz w:val="24"/>
                <w:szCs w:val="24"/>
                <w:lang w:eastAsia="lv-LV"/>
              </w:rPr>
              <w:t xml:space="preserve"> I</w:t>
            </w:r>
            <w:r w:rsidR="00A058E0">
              <w:rPr>
                <w:rFonts w:ascii="Times New Roman" w:eastAsia="Times New Roman" w:hAnsi="Times New Roman"/>
                <w:sz w:val="24"/>
                <w:szCs w:val="24"/>
                <w:lang w:eastAsia="lv-LV"/>
              </w:rPr>
              <w:t xml:space="preserve">ekšlietu ministrijai līdz 2019.gada 1.septembrim iesniegt </w:t>
            </w:r>
            <w:r w:rsidR="00A058E0" w:rsidRPr="00A058E0">
              <w:rPr>
                <w:rFonts w:ascii="Times New Roman" w:eastAsia="Times New Roman" w:hAnsi="Times New Roman"/>
                <w:sz w:val="24"/>
                <w:szCs w:val="24"/>
                <w:lang w:eastAsia="lv-LV"/>
              </w:rPr>
              <w:t xml:space="preserve"> izsludināšanai Valsts sekretāru sanāksmē Ministru kabineta noteikumu projektus, kas jāizdod saskaņā ar Administratīvo pārkāpumu procesa likumprojektu</w:t>
            </w:r>
            <w:r w:rsidR="00A058E0">
              <w:rPr>
                <w:rFonts w:ascii="Times New Roman" w:eastAsia="Times New Roman" w:hAnsi="Times New Roman"/>
                <w:sz w:val="24"/>
                <w:szCs w:val="24"/>
                <w:lang w:eastAsia="lv-LV"/>
              </w:rPr>
              <w:t>. 2018.gada 25.oktobrī ir pieņemts Administratīvās atbildības likums, kurš stāsies spēkā 2020.gada 1.janvārī.</w:t>
            </w:r>
          </w:p>
          <w:p w14:paraId="4C511FC7" w14:textId="6DFF7FBB" w:rsidR="006F05CF" w:rsidRPr="003D3060" w:rsidRDefault="006F05CF" w:rsidP="00A058E0">
            <w:pPr>
              <w:spacing w:after="0" w:line="240" w:lineRule="auto"/>
              <w:ind w:firstLine="269"/>
              <w:jc w:val="both"/>
              <w:rPr>
                <w:rFonts w:ascii="Times New Roman" w:eastAsia="Times New Roman" w:hAnsi="Times New Roman"/>
                <w:iCs/>
                <w:sz w:val="24"/>
                <w:szCs w:val="24"/>
                <w:lang w:eastAsia="lv-LV"/>
              </w:rPr>
            </w:pPr>
            <w:r>
              <w:rPr>
                <w:rFonts w:ascii="Times New Roman" w:eastAsia="Times New Roman" w:hAnsi="Times New Roman"/>
                <w:sz w:val="24"/>
                <w:szCs w:val="24"/>
                <w:lang w:eastAsia="lv-LV"/>
              </w:rPr>
              <w:t>Projekts izstrādāts pamatojoties uz Administratīvās atbildības likuma</w:t>
            </w:r>
            <w:r w:rsidR="00431505">
              <w:rPr>
                <w:rFonts w:ascii="Times New Roman" w:eastAsia="Times New Roman" w:hAnsi="Times New Roman"/>
                <w:sz w:val="24"/>
                <w:szCs w:val="24"/>
                <w:lang w:eastAsia="lv-LV"/>
              </w:rPr>
              <w:t xml:space="preserve"> </w:t>
            </w:r>
            <w:r w:rsidR="00431505" w:rsidRPr="00431505">
              <w:rPr>
                <w:rFonts w:ascii="Times New Roman" w:eastAsia="Times New Roman" w:hAnsi="Times New Roman"/>
                <w:sz w:val="24"/>
                <w:szCs w:val="24"/>
                <w:lang w:eastAsia="lv-LV"/>
              </w:rPr>
              <w:t xml:space="preserve">75. panta trešajā daļā, 111. panta ceturtajā un piektajā daļā, </w:t>
            </w:r>
            <w:proofErr w:type="gramStart"/>
            <w:r w:rsidR="00431505" w:rsidRPr="00431505">
              <w:rPr>
                <w:rFonts w:ascii="Times New Roman" w:eastAsia="Times New Roman" w:hAnsi="Times New Roman"/>
                <w:sz w:val="24"/>
                <w:szCs w:val="24"/>
                <w:lang w:eastAsia="lv-LV"/>
              </w:rPr>
              <w:t>155.panta</w:t>
            </w:r>
            <w:proofErr w:type="gramEnd"/>
            <w:r w:rsidR="00431505" w:rsidRPr="00431505">
              <w:rPr>
                <w:rFonts w:ascii="Times New Roman" w:eastAsia="Times New Roman" w:hAnsi="Times New Roman"/>
                <w:sz w:val="24"/>
                <w:szCs w:val="24"/>
                <w:lang w:eastAsia="lv-LV"/>
              </w:rPr>
              <w:t xml:space="preserve"> otrajā daļā, 173.panta trešajā daļā un 260.panta otrajā daļā ietverto deleģējumu</w:t>
            </w:r>
            <w:r w:rsidR="00431505">
              <w:rPr>
                <w:rFonts w:ascii="Times New Roman" w:eastAsia="Times New Roman" w:hAnsi="Times New Roman"/>
                <w:sz w:val="24"/>
                <w:szCs w:val="24"/>
                <w:lang w:eastAsia="lv-LV"/>
              </w:rPr>
              <w:t>.</w:t>
            </w:r>
          </w:p>
        </w:tc>
      </w:tr>
      <w:tr w:rsidR="00E5323B" w:rsidRPr="003D3060" w14:paraId="4C511FDD" w14:textId="77777777" w:rsidTr="005F7364">
        <w:trPr>
          <w:tblCellSpacing w:w="15" w:type="dxa"/>
        </w:trPr>
        <w:tc>
          <w:tcPr>
            <w:tcW w:w="314" w:type="dxa"/>
            <w:tcBorders>
              <w:top w:val="outset" w:sz="6" w:space="0" w:color="auto"/>
              <w:left w:val="outset" w:sz="6" w:space="0" w:color="auto"/>
              <w:bottom w:val="outset" w:sz="6" w:space="0" w:color="auto"/>
              <w:right w:val="outset" w:sz="6" w:space="0" w:color="auto"/>
            </w:tcBorders>
            <w:hideMark/>
          </w:tcPr>
          <w:p w14:paraId="4C511FC9"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2.</w:t>
            </w:r>
          </w:p>
        </w:tc>
        <w:tc>
          <w:tcPr>
            <w:tcW w:w="1529" w:type="dxa"/>
            <w:tcBorders>
              <w:top w:val="outset" w:sz="6" w:space="0" w:color="auto"/>
              <w:left w:val="outset" w:sz="6" w:space="0" w:color="auto"/>
              <w:bottom w:val="outset" w:sz="6" w:space="0" w:color="auto"/>
              <w:right w:val="outset" w:sz="6" w:space="0" w:color="auto"/>
            </w:tcBorders>
            <w:hideMark/>
          </w:tcPr>
          <w:p w14:paraId="4C511FCA" w14:textId="77777777" w:rsidR="002C1919"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4C511FCB" w14:textId="77777777" w:rsidR="002C1919" w:rsidRPr="003D3060" w:rsidRDefault="002C1919" w:rsidP="002C1919">
            <w:pPr>
              <w:rPr>
                <w:rFonts w:ascii="Times New Roman" w:eastAsia="Times New Roman" w:hAnsi="Times New Roman"/>
                <w:sz w:val="24"/>
                <w:szCs w:val="24"/>
                <w:lang w:eastAsia="lv-LV"/>
              </w:rPr>
            </w:pPr>
          </w:p>
          <w:p w14:paraId="4C511FCC" w14:textId="77777777" w:rsidR="002C1919" w:rsidRPr="003D3060" w:rsidRDefault="002C1919" w:rsidP="002C1919">
            <w:pPr>
              <w:rPr>
                <w:rFonts w:ascii="Times New Roman" w:eastAsia="Times New Roman" w:hAnsi="Times New Roman"/>
                <w:sz w:val="24"/>
                <w:szCs w:val="24"/>
                <w:lang w:eastAsia="lv-LV"/>
              </w:rPr>
            </w:pPr>
          </w:p>
          <w:p w14:paraId="4C511FCD" w14:textId="77777777" w:rsidR="002C1919" w:rsidRPr="003D3060" w:rsidRDefault="002C1919" w:rsidP="002C1919">
            <w:pPr>
              <w:rPr>
                <w:rFonts w:ascii="Times New Roman" w:eastAsia="Times New Roman" w:hAnsi="Times New Roman"/>
                <w:sz w:val="24"/>
                <w:szCs w:val="24"/>
                <w:lang w:eastAsia="lv-LV"/>
              </w:rPr>
            </w:pPr>
          </w:p>
          <w:p w14:paraId="4C511FCE" w14:textId="77777777" w:rsidR="002C1919" w:rsidRPr="003D3060" w:rsidRDefault="002C1919" w:rsidP="002C1919">
            <w:pPr>
              <w:rPr>
                <w:rFonts w:ascii="Times New Roman" w:eastAsia="Times New Roman" w:hAnsi="Times New Roman"/>
                <w:sz w:val="24"/>
                <w:szCs w:val="24"/>
                <w:lang w:eastAsia="lv-LV"/>
              </w:rPr>
            </w:pPr>
          </w:p>
          <w:p w14:paraId="4C511FCF" w14:textId="77777777" w:rsidR="002C1919" w:rsidRPr="003D3060" w:rsidRDefault="002C1919" w:rsidP="002C1919">
            <w:pPr>
              <w:rPr>
                <w:rFonts w:ascii="Times New Roman" w:eastAsia="Times New Roman" w:hAnsi="Times New Roman"/>
                <w:sz w:val="24"/>
                <w:szCs w:val="24"/>
                <w:lang w:eastAsia="lv-LV"/>
              </w:rPr>
            </w:pPr>
          </w:p>
          <w:p w14:paraId="4C511FD0" w14:textId="77777777" w:rsidR="002C1919" w:rsidRPr="003D3060" w:rsidRDefault="002C1919" w:rsidP="002C1919">
            <w:pPr>
              <w:rPr>
                <w:rFonts w:ascii="Times New Roman" w:eastAsia="Times New Roman" w:hAnsi="Times New Roman"/>
                <w:sz w:val="24"/>
                <w:szCs w:val="24"/>
                <w:lang w:eastAsia="lv-LV"/>
              </w:rPr>
            </w:pPr>
          </w:p>
          <w:p w14:paraId="4C511FD1" w14:textId="77777777" w:rsidR="002C1919" w:rsidRPr="003D3060" w:rsidRDefault="002C1919" w:rsidP="002C1919">
            <w:pPr>
              <w:rPr>
                <w:rFonts w:ascii="Times New Roman" w:eastAsia="Times New Roman" w:hAnsi="Times New Roman"/>
                <w:sz w:val="24"/>
                <w:szCs w:val="24"/>
                <w:lang w:eastAsia="lv-LV"/>
              </w:rPr>
            </w:pPr>
          </w:p>
          <w:p w14:paraId="4C511FD2" w14:textId="77777777" w:rsidR="00E5323B" w:rsidRPr="003D3060" w:rsidRDefault="00E5323B" w:rsidP="002C1919">
            <w:pPr>
              <w:ind w:firstLine="720"/>
              <w:rPr>
                <w:rFonts w:ascii="Times New Roman" w:eastAsia="Times New Roman" w:hAnsi="Times New Roman"/>
                <w:sz w:val="24"/>
                <w:szCs w:val="24"/>
                <w:lang w:eastAsia="lv-LV"/>
              </w:rPr>
            </w:pPr>
          </w:p>
        </w:tc>
        <w:tc>
          <w:tcPr>
            <w:tcW w:w="7258" w:type="dxa"/>
            <w:tcBorders>
              <w:top w:val="outset" w:sz="6" w:space="0" w:color="auto"/>
              <w:left w:val="outset" w:sz="6" w:space="0" w:color="auto"/>
              <w:bottom w:val="outset" w:sz="6" w:space="0" w:color="auto"/>
              <w:right w:val="outset" w:sz="6" w:space="0" w:color="auto"/>
            </w:tcBorders>
            <w:hideMark/>
          </w:tcPr>
          <w:p w14:paraId="4C511FD3" w14:textId="6984BD9E" w:rsidR="006E3A6E" w:rsidRPr="00A118BE" w:rsidRDefault="008C6512" w:rsidP="008C6512">
            <w:pPr>
              <w:numPr>
                <w:ilvl w:val="0"/>
                <w:numId w:val="7"/>
              </w:numPr>
              <w:spacing w:after="0" w:line="240" w:lineRule="auto"/>
              <w:ind w:left="0" w:firstLine="269"/>
              <w:jc w:val="both"/>
              <w:rPr>
                <w:rFonts w:ascii="Times New Roman" w:eastAsia="Times New Roman" w:hAnsi="Times New Roman"/>
                <w:bCs/>
                <w:sz w:val="24"/>
                <w:szCs w:val="24"/>
                <w:lang w:eastAsia="lv-LV"/>
              </w:rPr>
            </w:pPr>
            <w:r w:rsidRPr="00A118BE">
              <w:rPr>
                <w:rFonts w:ascii="Times New Roman" w:eastAsia="Times New Roman" w:hAnsi="Times New Roman"/>
                <w:bCs/>
                <w:sz w:val="24"/>
                <w:szCs w:val="24"/>
                <w:lang w:eastAsia="lv-LV"/>
              </w:rPr>
              <w:lastRenderedPageBreak/>
              <w:t xml:space="preserve">Šobrīd rīcību ar administratīvo pārkāpumu lietās izņemto mantu un dokumentiem reglamentē Ministru kabineta </w:t>
            </w:r>
            <w:proofErr w:type="gramStart"/>
            <w:r w:rsidRPr="00A118BE">
              <w:rPr>
                <w:rFonts w:ascii="Times New Roman" w:eastAsia="Times New Roman" w:hAnsi="Times New Roman"/>
                <w:bCs/>
                <w:sz w:val="24"/>
                <w:szCs w:val="24"/>
                <w:lang w:eastAsia="lv-LV"/>
              </w:rPr>
              <w:t>2010.gada</w:t>
            </w:r>
            <w:proofErr w:type="gramEnd"/>
            <w:r w:rsidRPr="00A118BE">
              <w:rPr>
                <w:rFonts w:ascii="Times New Roman" w:eastAsia="Times New Roman" w:hAnsi="Times New Roman"/>
                <w:bCs/>
                <w:sz w:val="24"/>
                <w:szCs w:val="24"/>
                <w:lang w:eastAsia="lv-LV"/>
              </w:rPr>
              <w:t xml:space="preserve"> 7.decembra noteikumi Nr.1098 „Noteikumu par rīcību ar administratīvo pārkāpumu lietās izņemto mantu un dokumentiem” (turpmāk – Noteikumi). Projekts paredz saglabāt Noteikumos paredzētos iestāžu un personu pienākumus un tiesības saistībā par rīcību ar administratīvo pārkāpumu lietās izņemto mantu un dokumentiem, </w:t>
            </w:r>
            <w:proofErr w:type="gramStart"/>
            <w:r w:rsidRPr="00A118BE">
              <w:rPr>
                <w:rFonts w:ascii="Times New Roman" w:eastAsia="Times New Roman" w:hAnsi="Times New Roman"/>
                <w:bCs/>
                <w:sz w:val="24"/>
                <w:szCs w:val="24"/>
                <w:lang w:eastAsia="lv-LV"/>
              </w:rPr>
              <w:t>vienlaikus precizējot</w:t>
            </w:r>
            <w:proofErr w:type="gramEnd"/>
            <w:r w:rsidRPr="00A118BE">
              <w:rPr>
                <w:rFonts w:ascii="Times New Roman" w:eastAsia="Times New Roman" w:hAnsi="Times New Roman"/>
                <w:bCs/>
                <w:sz w:val="24"/>
                <w:szCs w:val="24"/>
                <w:lang w:eastAsia="lv-LV"/>
              </w:rPr>
              <w:t xml:space="preserve"> un pilnveidot pastāvošo kārtību atbilstoši Administratīvās atbildības likuma prasībām.</w:t>
            </w:r>
          </w:p>
          <w:p w14:paraId="5D26FF85" w14:textId="77777777" w:rsidR="003B6735" w:rsidRPr="00A118BE" w:rsidRDefault="0015648F" w:rsidP="008C6512">
            <w:pPr>
              <w:numPr>
                <w:ilvl w:val="0"/>
                <w:numId w:val="7"/>
              </w:numPr>
              <w:spacing w:after="0" w:line="240" w:lineRule="auto"/>
              <w:ind w:left="0" w:firstLine="269"/>
              <w:jc w:val="both"/>
              <w:rPr>
                <w:rFonts w:ascii="Times New Roman" w:eastAsia="Times New Roman" w:hAnsi="Times New Roman"/>
                <w:bCs/>
                <w:sz w:val="24"/>
                <w:szCs w:val="24"/>
                <w:lang w:eastAsia="lv-LV"/>
              </w:rPr>
            </w:pPr>
            <w:r w:rsidRPr="00A118BE">
              <w:rPr>
                <w:rFonts w:ascii="Times New Roman" w:eastAsia="Times New Roman" w:hAnsi="Times New Roman"/>
                <w:bCs/>
                <w:sz w:val="24"/>
                <w:szCs w:val="24"/>
                <w:lang w:eastAsia="lv-LV"/>
              </w:rPr>
              <w:t>Projekta mērķis ir noteikt kārtību</w:t>
            </w:r>
            <w:r w:rsidR="003B6735" w:rsidRPr="00A118BE">
              <w:rPr>
                <w:rFonts w:ascii="Times New Roman" w:eastAsia="Times New Roman" w:hAnsi="Times New Roman"/>
                <w:bCs/>
                <w:sz w:val="24"/>
                <w:szCs w:val="24"/>
                <w:lang w:eastAsia="lv-LV"/>
              </w:rPr>
              <w:t>:</w:t>
            </w:r>
          </w:p>
          <w:p w14:paraId="38E25C23" w14:textId="68407182" w:rsidR="003B6735" w:rsidRPr="00A118BE" w:rsidRDefault="0015648F" w:rsidP="003B6735">
            <w:pPr>
              <w:pStyle w:val="ListParagraph"/>
              <w:numPr>
                <w:ilvl w:val="0"/>
                <w:numId w:val="16"/>
              </w:numPr>
              <w:jc w:val="both"/>
              <w:rPr>
                <w:rFonts w:eastAsia="Times New Roman"/>
                <w:bCs/>
                <w:sz w:val="24"/>
                <w:szCs w:val="24"/>
                <w:lang w:eastAsia="lv-LV"/>
              </w:rPr>
            </w:pPr>
            <w:r w:rsidRPr="00A118BE">
              <w:rPr>
                <w:rFonts w:eastAsia="Times New Roman"/>
                <w:bCs/>
                <w:sz w:val="24"/>
                <w:szCs w:val="24"/>
                <w:lang w:eastAsia="lv-LV"/>
              </w:rPr>
              <w:t xml:space="preserve"> kādā tiek nodota glabāšanā </w:t>
            </w:r>
            <w:r w:rsidR="00BF549A" w:rsidRPr="00A118BE">
              <w:rPr>
                <w:rFonts w:eastAsia="Times New Roman"/>
                <w:bCs/>
                <w:sz w:val="24"/>
                <w:szCs w:val="24"/>
                <w:lang w:eastAsia="lv-LV"/>
              </w:rPr>
              <w:t>administratīvo pārkāpumu lietās izņemtā manta un dokumenti</w:t>
            </w:r>
            <w:r w:rsidR="00043677" w:rsidRPr="00A118BE">
              <w:rPr>
                <w:rFonts w:eastAsia="Times New Roman"/>
                <w:bCs/>
                <w:sz w:val="24"/>
                <w:szCs w:val="24"/>
                <w:lang w:eastAsia="lv-LV"/>
              </w:rPr>
              <w:t xml:space="preserve"> (turpmāk – manta)</w:t>
            </w:r>
            <w:r w:rsidR="00BF549A" w:rsidRPr="00A118BE">
              <w:rPr>
                <w:rFonts w:eastAsia="Times New Roman"/>
                <w:bCs/>
                <w:sz w:val="24"/>
                <w:szCs w:val="24"/>
                <w:lang w:eastAsia="lv-LV"/>
              </w:rPr>
              <w:t xml:space="preserve">, </w:t>
            </w:r>
          </w:p>
          <w:p w14:paraId="51BA7C66" w14:textId="11A33292" w:rsidR="00B42C49" w:rsidRPr="00A118BE" w:rsidRDefault="00FE3E71" w:rsidP="003B6735">
            <w:pPr>
              <w:pStyle w:val="ListParagraph"/>
              <w:numPr>
                <w:ilvl w:val="0"/>
                <w:numId w:val="16"/>
              </w:numPr>
              <w:jc w:val="both"/>
              <w:rPr>
                <w:rFonts w:eastAsia="Times New Roman"/>
                <w:bCs/>
                <w:sz w:val="24"/>
                <w:szCs w:val="24"/>
                <w:lang w:eastAsia="lv-LV"/>
              </w:rPr>
            </w:pPr>
            <w:proofErr w:type="gramStart"/>
            <w:r w:rsidRPr="00A118BE">
              <w:rPr>
                <w:rFonts w:eastAsia="Times New Roman"/>
                <w:bCs/>
                <w:sz w:val="24"/>
                <w:szCs w:val="24"/>
                <w:lang w:eastAsia="lv-LV"/>
              </w:rPr>
              <w:t>kārtību kādā atbilstoši amatpersonas</w:t>
            </w:r>
            <w:proofErr w:type="gramEnd"/>
            <w:r w:rsidRPr="00A118BE">
              <w:rPr>
                <w:rFonts w:eastAsia="Times New Roman"/>
                <w:bCs/>
                <w:sz w:val="24"/>
                <w:szCs w:val="24"/>
                <w:lang w:eastAsia="lv-LV"/>
              </w:rPr>
              <w:t>, kura izskata administratīvā pārkāpuma lietu</w:t>
            </w:r>
            <w:r w:rsidR="001C241D" w:rsidRPr="00A118BE">
              <w:rPr>
                <w:rFonts w:eastAsia="Times New Roman"/>
                <w:bCs/>
                <w:sz w:val="24"/>
                <w:szCs w:val="24"/>
                <w:lang w:eastAsia="lv-LV"/>
              </w:rPr>
              <w:t>, pieņemtajam lēmumam, izņemtā manta tiek atdot</w:t>
            </w:r>
            <w:r w:rsidR="00043677" w:rsidRPr="00A118BE">
              <w:rPr>
                <w:rFonts w:eastAsia="Times New Roman"/>
                <w:bCs/>
                <w:sz w:val="24"/>
                <w:szCs w:val="24"/>
                <w:lang w:eastAsia="lv-LV"/>
              </w:rPr>
              <w:t>a</w:t>
            </w:r>
            <w:r w:rsidR="001C241D" w:rsidRPr="00A118BE">
              <w:rPr>
                <w:rFonts w:eastAsia="Times New Roman"/>
                <w:bCs/>
                <w:sz w:val="24"/>
                <w:szCs w:val="24"/>
                <w:lang w:eastAsia="lv-LV"/>
              </w:rPr>
              <w:t xml:space="preserve"> to īpašniekam</w:t>
            </w:r>
            <w:r w:rsidR="00043677" w:rsidRPr="00A118BE">
              <w:rPr>
                <w:rFonts w:eastAsia="Times New Roman"/>
                <w:bCs/>
                <w:sz w:val="24"/>
                <w:szCs w:val="24"/>
                <w:lang w:eastAsia="lv-LV"/>
              </w:rPr>
              <w:t>, realizēt</w:t>
            </w:r>
            <w:r w:rsidR="00B1025C">
              <w:rPr>
                <w:rFonts w:eastAsia="Times New Roman"/>
                <w:bCs/>
                <w:sz w:val="24"/>
                <w:szCs w:val="24"/>
                <w:lang w:eastAsia="lv-LV"/>
              </w:rPr>
              <w:t>a</w:t>
            </w:r>
            <w:r w:rsidR="00043677" w:rsidRPr="00A118BE">
              <w:rPr>
                <w:rFonts w:eastAsia="Times New Roman"/>
                <w:bCs/>
                <w:sz w:val="24"/>
                <w:szCs w:val="24"/>
                <w:lang w:eastAsia="lv-LV"/>
              </w:rPr>
              <w:t xml:space="preserve"> vai iznīcināta</w:t>
            </w:r>
            <w:r w:rsidR="004C3A12" w:rsidRPr="00A118BE">
              <w:rPr>
                <w:rFonts w:eastAsia="Times New Roman"/>
                <w:bCs/>
                <w:sz w:val="24"/>
                <w:szCs w:val="24"/>
                <w:lang w:eastAsia="lv-LV"/>
              </w:rPr>
              <w:t>.</w:t>
            </w:r>
          </w:p>
          <w:p w14:paraId="4B0ADE44" w14:textId="450CFCE4" w:rsidR="003B6735" w:rsidRPr="00A118BE" w:rsidRDefault="00B42C49" w:rsidP="003B6735">
            <w:pPr>
              <w:pStyle w:val="ListParagraph"/>
              <w:numPr>
                <w:ilvl w:val="0"/>
                <w:numId w:val="16"/>
              </w:numPr>
              <w:jc w:val="both"/>
              <w:rPr>
                <w:rFonts w:eastAsia="Times New Roman"/>
                <w:bCs/>
                <w:sz w:val="24"/>
                <w:szCs w:val="24"/>
                <w:lang w:eastAsia="lv-LV"/>
              </w:rPr>
            </w:pPr>
            <w:r w:rsidRPr="00A118BE">
              <w:rPr>
                <w:rFonts w:eastAsia="Times New Roman"/>
                <w:bCs/>
                <w:sz w:val="24"/>
                <w:szCs w:val="24"/>
                <w:lang w:eastAsia="lv-LV"/>
              </w:rPr>
              <w:t>kārtību kādā tiek noteikti un segti izdevumi, kas saistīti ar izņemtās mantas nodošanu glabāšanā, glabāšanu, realizāciju un iznīcināšanu</w:t>
            </w:r>
            <w:r w:rsidR="004C3A12" w:rsidRPr="00A118BE">
              <w:rPr>
                <w:rFonts w:eastAsia="Times New Roman"/>
                <w:bCs/>
                <w:sz w:val="24"/>
                <w:szCs w:val="24"/>
                <w:lang w:eastAsia="lv-LV"/>
              </w:rPr>
              <w:t>;</w:t>
            </w:r>
          </w:p>
          <w:p w14:paraId="1E4E9FE1" w14:textId="0E7154A8" w:rsidR="004C3A12" w:rsidRPr="00A118BE" w:rsidRDefault="004C3A12" w:rsidP="003B6735">
            <w:pPr>
              <w:pStyle w:val="ListParagraph"/>
              <w:numPr>
                <w:ilvl w:val="0"/>
                <w:numId w:val="16"/>
              </w:numPr>
              <w:jc w:val="both"/>
              <w:rPr>
                <w:rFonts w:eastAsia="Times New Roman"/>
                <w:bCs/>
                <w:sz w:val="24"/>
                <w:szCs w:val="24"/>
                <w:lang w:eastAsia="lv-LV"/>
              </w:rPr>
            </w:pPr>
            <w:r w:rsidRPr="00A118BE">
              <w:rPr>
                <w:rFonts w:eastAsia="Times New Roman"/>
                <w:bCs/>
                <w:sz w:val="24"/>
                <w:szCs w:val="24"/>
                <w:lang w:eastAsia="lv-LV"/>
              </w:rPr>
              <w:lastRenderedPageBreak/>
              <w:t>kārtību, kādā īpašniekam tiek</w:t>
            </w:r>
            <w:r w:rsidR="00192FD3" w:rsidRPr="00A118BE">
              <w:rPr>
                <w:rFonts w:eastAsia="Times New Roman"/>
                <w:bCs/>
                <w:sz w:val="24"/>
                <w:szCs w:val="24"/>
                <w:lang w:eastAsia="lv-LV"/>
              </w:rPr>
              <w:t xml:space="preserve"> atgriezta saskaņā ar lēmumu administratīvā pārkāpumu lietā </w:t>
            </w:r>
            <w:r w:rsidR="00CC406C" w:rsidRPr="00A118BE">
              <w:rPr>
                <w:sz w:val="24"/>
                <w:szCs w:val="24"/>
              </w:rPr>
              <w:t>samaksāt</w:t>
            </w:r>
            <w:r w:rsidR="00192FD3" w:rsidRPr="00A118BE">
              <w:rPr>
                <w:sz w:val="24"/>
                <w:szCs w:val="24"/>
              </w:rPr>
              <w:t>ā summa, atlīdzināta</w:t>
            </w:r>
            <w:r w:rsidR="00CC406C" w:rsidRPr="00A118BE">
              <w:rPr>
                <w:sz w:val="24"/>
                <w:szCs w:val="24"/>
              </w:rPr>
              <w:t xml:space="preserve"> mantas vērtīb</w:t>
            </w:r>
            <w:r w:rsidR="00187B95" w:rsidRPr="00A118BE">
              <w:rPr>
                <w:sz w:val="24"/>
                <w:szCs w:val="24"/>
              </w:rPr>
              <w:t>a</w:t>
            </w:r>
            <w:proofErr w:type="gramStart"/>
            <w:r w:rsidR="00DF29C8" w:rsidRPr="00A118BE">
              <w:rPr>
                <w:sz w:val="24"/>
                <w:szCs w:val="24"/>
              </w:rPr>
              <w:t xml:space="preserve"> vai </w:t>
            </w:r>
            <w:r w:rsidR="002D3585" w:rsidRPr="00A118BE">
              <w:rPr>
                <w:sz w:val="24"/>
                <w:szCs w:val="24"/>
              </w:rPr>
              <w:t xml:space="preserve">manta aizvietota ar </w:t>
            </w:r>
            <w:r w:rsidR="00192FD3" w:rsidRPr="00A118BE">
              <w:rPr>
                <w:sz w:val="24"/>
                <w:szCs w:val="24"/>
              </w:rPr>
              <w:t>citu atbilstoš</w:t>
            </w:r>
            <w:r w:rsidR="00187B95" w:rsidRPr="00A118BE">
              <w:rPr>
                <w:sz w:val="24"/>
                <w:szCs w:val="24"/>
              </w:rPr>
              <w:t>u</w:t>
            </w:r>
            <w:r w:rsidR="00192FD3" w:rsidRPr="00A118BE">
              <w:rPr>
                <w:sz w:val="24"/>
                <w:szCs w:val="24"/>
              </w:rPr>
              <w:t xml:space="preserve"> mantu</w:t>
            </w:r>
            <w:proofErr w:type="gramEnd"/>
            <w:r w:rsidR="002D3585" w:rsidRPr="00A118BE">
              <w:rPr>
                <w:sz w:val="24"/>
                <w:szCs w:val="24"/>
              </w:rPr>
              <w:t>, gadījum</w:t>
            </w:r>
            <w:r w:rsidR="00192FD3" w:rsidRPr="00A118BE">
              <w:rPr>
                <w:sz w:val="24"/>
                <w:szCs w:val="24"/>
              </w:rPr>
              <w:t>os</w:t>
            </w:r>
            <w:r w:rsidR="002D3585" w:rsidRPr="00A118BE">
              <w:rPr>
                <w:sz w:val="24"/>
                <w:szCs w:val="24"/>
              </w:rPr>
              <w:t xml:space="preserve"> ja </w:t>
            </w:r>
            <w:r w:rsidR="00BD4585" w:rsidRPr="00A118BE">
              <w:rPr>
                <w:sz w:val="24"/>
                <w:szCs w:val="24"/>
              </w:rPr>
              <w:t>administratīvā pārkāpuma lieta tiek izbeigta</w:t>
            </w:r>
            <w:r w:rsidR="00187B95" w:rsidRPr="00A118BE">
              <w:rPr>
                <w:sz w:val="24"/>
                <w:szCs w:val="24"/>
              </w:rPr>
              <w:t>, atceļot pieņemto lēmumu, kā arī izņemtā manta ir bijusi iznīcināta</w:t>
            </w:r>
            <w:r w:rsidR="00BD4585" w:rsidRPr="00A118BE">
              <w:rPr>
                <w:sz w:val="24"/>
                <w:szCs w:val="24"/>
              </w:rPr>
              <w:t>.</w:t>
            </w:r>
          </w:p>
          <w:p w14:paraId="4C511FD4" w14:textId="207C7965" w:rsidR="00FF4F8E" w:rsidRPr="00A118BE" w:rsidRDefault="00FF4F8E" w:rsidP="00FF4F8E">
            <w:pPr>
              <w:pStyle w:val="naiskr"/>
              <w:numPr>
                <w:ilvl w:val="0"/>
                <w:numId w:val="7"/>
              </w:numPr>
              <w:spacing w:before="0" w:beforeAutospacing="0" w:after="0" w:afterAutospacing="0"/>
              <w:jc w:val="both"/>
            </w:pPr>
            <w:r w:rsidRPr="00A118BE">
              <w:t>Projekta 1.nodaļā ir noteikta noteikumu darbības joma.</w:t>
            </w:r>
          </w:p>
          <w:p w14:paraId="4C511FD5" w14:textId="77777777" w:rsidR="00FF4F8E" w:rsidRPr="00A118BE" w:rsidRDefault="00E82163" w:rsidP="00FF4F8E">
            <w:pPr>
              <w:pStyle w:val="naiskr"/>
              <w:numPr>
                <w:ilvl w:val="0"/>
                <w:numId w:val="7"/>
              </w:numPr>
              <w:spacing w:before="0" w:beforeAutospacing="0" w:after="0" w:afterAutospacing="0"/>
              <w:ind w:left="82" w:firstLine="187"/>
              <w:jc w:val="both"/>
            </w:pPr>
            <w:r w:rsidRPr="00A118BE">
              <w:t xml:space="preserve">Atbilstoši </w:t>
            </w:r>
            <w:r w:rsidR="008F703C" w:rsidRPr="00A118BE">
              <w:t>P</w:t>
            </w:r>
            <w:r w:rsidR="00FF4F8E" w:rsidRPr="00A118BE">
              <w:t>rojekta 2.nodaļā</w:t>
            </w:r>
            <w:r w:rsidRPr="00A118BE">
              <w:t xml:space="preserve"> minētajam</w:t>
            </w:r>
            <w:r w:rsidR="00FF4F8E" w:rsidRPr="00A118BE">
              <w:t xml:space="preserve"> </w:t>
            </w:r>
            <w:r w:rsidR="008F703C" w:rsidRPr="00A118BE">
              <w:t>ir noteikti mantu veidi, kas netiek nodoti Aģentūras glabāšanā, kā arī kā</w:t>
            </w:r>
            <w:r w:rsidR="00FF4F8E" w:rsidRPr="00A118BE">
              <w:t xml:space="preserve">rtība, kādā </w:t>
            </w:r>
            <w:r w:rsidR="008F703C" w:rsidRPr="00A118BE">
              <w:t>iestāde</w:t>
            </w:r>
            <w:r w:rsidR="00FF4F8E" w:rsidRPr="00A118BE">
              <w:t xml:space="preserve"> nodod glabāšanā izņemto mantu vai dokumentu, kārtība un termiņi, kādos </w:t>
            </w:r>
            <w:r w:rsidRPr="00A118BE">
              <w:t>A</w:t>
            </w:r>
            <w:r w:rsidR="00FF4F8E" w:rsidRPr="00A118BE">
              <w:t xml:space="preserve">ģentūra nodrošina izņemtās mantas vai dokumenta pieņemšanu glabāšanā, un kārtība, kādā atbildīgā institūcija un </w:t>
            </w:r>
            <w:r w:rsidRPr="00A118BE">
              <w:t>A</w:t>
            </w:r>
            <w:r w:rsidR="00FF4F8E" w:rsidRPr="00A118BE">
              <w:t>ģentūra glabā izņemto mantu vai dokumentu.</w:t>
            </w:r>
          </w:p>
          <w:p w14:paraId="4C511FD6" w14:textId="77777777" w:rsidR="00E82163" w:rsidRPr="00A118BE" w:rsidRDefault="00E82163" w:rsidP="00E82163">
            <w:pPr>
              <w:pStyle w:val="naiskr"/>
              <w:numPr>
                <w:ilvl w:val="0"/>
                <w:numId w:val="7"/>
              </w:numPr>
              <w:spacing w:before="0" w:beforeAutospacing="0" w:after="0" w:afterAutospacing="0"/>
              <w:ind w:left="82" w:firstLine="187"/>
              <w:jc w:val="both"/>
            </w:pPr>
            <w:r w:rsidRPr="00A118BE">
              <w:t>Projekta 3.nodaļa reglamentē to, kā izņemtā manta vai dokuments tiek atdots personai, kā arī to, kā izņemtās mantas īpašnieks vai cita persona tiek informēta par izņemtās mantas saņemšanas kārtību un tās iespējamo realizāciju vai iznīcināšanu.</w:t>
            </w:r>
          </w:p>
          <w:p w14:paraId="4C511FD7" w14:textId="3EF0B4F9" w:rsidR="00E82163" w:rsidRPr="00A118BE" w:rsidRDefault="00E82163" w:rsidP="0042406C">
            <w:pPr>
              <w:pStyle w:val="naiskr"/>
              <w:numPr>
                <w:ilvl w:val="0"/>
                <w:numId w:val="7"/>
              </w:numPr>
              <w:spacing w:before="0" w:beforeAutospacing="0" w:after="0" w:afterAutospacing="0"/>
              <w:ind w:left="82" w:firstLine="207"/>
              <w:jc w:val="both"/>
            </w:pPr>
            <w:r w:rsidRPr="00A118BE">
              <w:t>Saskaņā ar Projekta 4.noda</w:t>
            </w:r>
            <w:r w:rsidR="00A02B44" w:rsidRPr="00A118BE">
              <w:t>ļā noteikto</w:t>
            </w:r>
            <w:r w:rsidR="0001095F" w:rsidRPr="00A118BE">
              <w:t xml:space="preserve"> ir paredzēti gadījumi, </w:t>
            </w:r>
            <w:proofErr w:type="gramStart"/>
            <w:r w:rsidR="0001095F" w:rsidRPr="00A118BE">
              <w:t>kādos iestāde pieņem lēmumu par izņemtās mantas nodošanu iznīcināšanai</w:t>
            </w:r>
            <w:proofErr w:type="gramEnd"/>
            <w:r w:rsidR="00235702" w:rsidRPr="00A118BE">
              <w:t xml:space="preserve"> un atsevišķu izņemto mantu iznīcināšanas veidi</w:t>
            </w:r>
            <w:r w:rsidR="0001095F" w:rsidRPr="00A118BE">
              <w:t>.</w:t>
            </w:r>
            <w:r w:rsidR="0042406C" w:rsidRPr="00A118BE">
              <w:t xml:space="preserve"> Turklāt, ir noteikts, ka </w:t>
            </w:r>
            <w:r w:rsidR="0026377C" w:rsidRPr="00A118BE">
              <w:t>iestāde, kas veic administratīvā pārkāpuma procesu,</w:t>
            </w:r>
            <w:r w:rsidR="0042406C" w:rsidRPr="00A118BE">
              <w:t xml:space="preserve"> var veikt izņemtās mantas vai dokumenta, kas glabājas iestādē, realizāciju vai iznīcināšanu, ja tā attiecīgās darbības var veikt efektīvāk vai </w:t>
            </w:r>
            <w:proofErr w:type="gramStart"/>
            <w:r w:rsidR="0042406C" w:rsidRPr="00A118BE">
              <w:t>tik pat</w:t>
            </w:r>
            <w:proofErr w:type="gramEnd"/>
            <w:r w:rsidR="0042406C" w:rsidRPr="00A118BE">
              <w:t xml:space="preserve"> efektīvi kā aģentūra.</w:t>
            </w:r>
            <w:r w:rsidR="000A61F5" w:rsidRPr="00A118BE">
              <w:t xml:space="preserve"> Bez tam minētajā nodaļā ir noteikta izņemto mantu vērtēšanas, realizācijas</w:t>
            </w:r>
            <w:proofErr w:type="gramStart"/>
            <w:r w:rsidR="000A61F5" w:rsidRPr="00A118BE">
              <w:t xml:space="preserve">  </w:t>
            </w:r>
            <w:proofErr w:type="gramEnd"/>
            <w:r w:rsidR="000A61F5" w:rsidRPr="00A118BE">
              <w:t xml:space="preserve">(izsoļu veikšanas) un iznīcināšanas kārtība. </w:t>
            </w:r>
          </w:p>
          <w:p w14:paraId="4C511FD8" w14:textId="77777777" w:rsidR="006E3A6E" w:rsidRPr="00A118BE" w:rsidRDefault="000A61F5" w:rsidP="008E2615">
            <w:pPr>
              <w:numPr>
                <w:ilvl w:val="0"/>
                <w:numId w:val="7"/>
              </w:numPr>
              <w:spacing w:after="0" w:line="240" w:lineRule="auto"/>
              <w:ind w:left="0" w:firstLine="269"/>
              <w:jc w:val="both"/>
              <w:rPr>
                <w:rFonts w:ascii="Times New Roman" w:eastAsia="Times New Roman" w:hAnsi="Times New Roman"/>
                <w:bCs/>
                <w:sz w:val="24"/>
                <w:szCs w:val="24"/>
                <w:lang w:eastAsia="lv-LV"/>
              </w:rPr>
            </w:pPr>
            <w:r w:rsidRPr="00A118BE">
              <w:rPr>
                <w:rFonts w:ascii="Times New Roman" w:eastAsia="Times New Roman" w:hAnsi="Times New Roman"/>
                <w:bCs/>
                <w:sz w:val="24"/>
                <w:szCs w:val="24"/>
                <w:lang w:eastAsia="lv-LV"/>
              </w:rPr>
              <w:t>Projekta 5.nodaļā ir paredzēta ieņēmumu, kas gūti realizējot izņemto mantu, turpmākās virzības kārtība.</w:t>
            </w:r>
          </w:p>
          <w:p w14:paraId="4C511FD9" w14:textId="77777777" w:rsidR="006E3A6E" w:rsidRPr="00A118BE" w:rsidRDefault="000A61F5" w:rsidP="008E2615">
            <w:pPr>
              <w:pStyle w:val="ListParagraph"/>
              <w:numPr>
                <w:ilvl w:val="0"/>
                <w:numId w:val="7"/>
              </w:numPr>
              <w:ind w:left="0" w:firstLine="269"/>
              <w:jc w:val="both"/>
              <w:rPr>
                <w:rFonts w:eastAsia="Times New Roman"/>
                <w:bCs/>
                <w:sz w:val="24"/>
                <w:szCs w:val="24"/>
                <w:lang w:eastAsia="lv-LV"/>
              </w:rPr>
            </w:pPr>
            <w:r w:rsidRPr="00A118BE">
              <w:rPr>
                <w:rFonts w:eastAsia="Times New Roman"/>
                <w:bCs/>
                <w:sz w:val="24"/>
                <w:szCs w:val="24"/>
                <w:lang w:eastAsia="lv-LV"/>
              </w:rPr>
              <w:t xml:space="preserve">Atbilstoši Projekta 6.nodaļā </w:t>
            </w:r>
            <w:r w:rsidR="0050431F" w:rsidRPr="00A118BE">
              <w:rPr>
                <w:rFonts w:eastAsia="Times New Roman"/>
                <w:bCs/>
                <w:sz w:val="24"/>
                <w:szCs w:val="24"/>
                <w:lang w:eastAsia="lv-LV"/>
              </w:rPr>
              <w:t>paredzētajam ir noteikts tas</w:t>
            </w:r>
            <w:r w:rsidR="006E3A6E" w:rsidRPr="00A118BE">
              <w:rPr>
                <w:rFonts w:eastAsia="Times New Roman"/>
                <w:bCs/>
                <w:sz w:val="24"/>
                <w:szCs w:val="24"/>
                <w:lang w:eastAsia="lv-LV"/>
              </w:rPr>
              <w:t>, k</w:t>
            </w:r>
            <w:r w:rsidR="0050431F" w:rsidRPr="00A118BE">
              <w:rPr>
                <w:rFonts w:eastAsia="Times New Roman"/>
                <w:bCs/>
                <w:sz w:val="24"/>
                <w:szCs w:val="24"/>
                <w:lang w:eastAsia="lv-LV"/>
              </w:rPr>
              <w:t>ā</w:t>
            </w:r>
            <w:r w:rsidR="006E3A6E" w:rsidRPr="00A118BE">
              <w:rPr>
                <w:rFonts w:eastAsia="Times New Roman"/>
                <w:bCs/>
                <w:sz w:val="24"/>
                <w:szCs w:val="24"/>
                <w:lang w:eastAsia="lv-LV"/>
              </w:rPr>
              <w:t xml:space="preserve"> atlīdzina realizēto vai iznīcināto mantu tās īpašniekam vai aizvieto ar tādu pašu un tādas pašas kvalitātes mantu vai arī samaksā vērtību, kāda realizētajai vai iznīcinātajai mantai b</w:t>
            </w:r>
            <w:r w:rsidR="00FF4D16" w:rsidRPr="00A118BE">
              <w:rPr>
                <w:rFonts w:eastAsia="Times New Roman"/>
                <w:bCs/>
                <w:sz w:val="24"/>
                <w:szCs w:val="24"/>
                <w:lang w:eastAsia="lv-LV"/>
              </w:rPr>
              <w:t xml:space="preserve">ūtu bijusi atlīdzināšanas brīdī. Tiek noteikts, ka </w:t>
            </w:r>
            <w:r w:rsidR="00C9650E" w:rsidRPr="00A118BE">
              <w:rPr>
                <w:rFonts w:eastAsia="Times New Roman"/>
                <w:bCs/>
                <w:sz w:val="24"/>
                <w:szCs w:val="24"/>
                <w:lang w:eastAsia="lv-LV"/>
              </w:rPr>
              <w:t>Aģentūra piecu darbdienu laikā pēc tam, kad saņemts lēmums par rīcību ar izņemto mantu, kura nav konfiscējama, bet ir realizēta, sagatavo paziņojumu izņemtās mantas īpašniekam. Savukārt, Izņemtās mantas īpašnieks mēneša laikā pēc lēmuma par administratīvā soda spēkā stāšanās iesniedz aģentūrā iesniegumu ar lūgumu atdot tās pašas sugas un kvalitātes mantu, atlīdzināt izņemtās mantas vērtību vai realizācijā gūtos ieņēmumus (ja realizēti apaļie kokmateriāli).</w:t>
            </w:r>
          </w:p>
          <w:p w14:paraId="4C511FDA" w14:textId="15E47B34" w:rsidR="0073738E" w:rsidRPr="00A118BE" w:rsidRDefault="0073738E" w:rsidP="008E2615">
            <w:pPr>
              <w:pStyle w:val="ListParagraph"/>
              <w:numPr>
                <w:ilvl w:val="0"/>
                <w:numId w:val="7"/>
              </w:numPr>
              <w:ind w:left="0" w:firstLine="269"/>
              <w:jc w:val="both"/>
              <w:rPr>
                <w:rFonts w:eastAsia="Times New Roman"/>
                <w:bCs/>
                <w:sz w:val="24"/>
                <w:szCs w:val="24"/>
                <w:lang w:eastAsia="lv-LV"/>
              </w:rPr>
            </w:pPr>
            <w:r w:rsidRPr="00A118BE">
              <w:rPr>
                <w:rFonts w:eastAsia="Times New Roman"/>
                <w:bCs/>
                <w:sz w:val="24"/>
                <w:szCs w:val="24"/>
                <w:lang w:eastAsia="lv-LV"/>
              </w:rPr>
              <w:t xml:space="preserve">Projekta 7.nodaļa nosaka ar izņemtās mantas un dokumenta nodošanu glabāšanā, glabāšanu, iznīcināšanu un realizāciju saistīto izdevumu aprēķināšanas un informēšanas kārtību. Projektā ir noteikts, ka procesuālo izdevumu apmēru par izņemtās mantas nodošanu glabāšanā, glabāšanu, iznīcināšanu vai realizāciju nosaka saskaņā ar </w:t>
            </w:r>
            <w:r w:rsidR="00072A74" w:rsidRPr="00A118BE">
              <w:rPr>
                <w:rFonts w:eastAsia="Times New Roman"/>
                <w:bCs/>
                <w:sz w:val="24"/>
                <w:szCs w:val="24"/>
                <w:lang w:eastAsia="lv-LV"/>
              </w:rPr>
              <w:t>iestādes faktiskajām izmaksām</w:t>
            </w:r>
            <w:r w:rsidR="00B941F9" w:rsidRPr="00A118BE">
              <w:rPr>
                <w:rFonts w:eastAsia="Times New Roman"/>
                <w:bCs/>
                <w:sz w:val="24"/>
                <w:szCs w:val="24"/>
                <w:lang w:eastAsia="lv-LV"/>
              </w:rPr>
              <w:t xml:space="preserve">, ņemot vērā darbības, kas tika </w:t>
            </w:r>
            <w:r w:rsidR="00B941F9" w:rsidRPr="00A118BE">
              <w:rPr>
                <w:sz w:val="24"/>
                <w:szCs w:val="24"/>
              </w:rPr>
              <w:t>veiktas nodrošinot izņemtās mantas vai dokumenta nodošanu glabāšanā, glabāšanu, iznīcināšanu vai realizāciju, kā arī šo darbību veidu, apjomu un izcenojumu</w:t>
            </w:r>
            <w:r w:rsidR="00072A74" w:rsidRPr="00A118BE">
              <w:rPr>
                <w:rFonts w:eastAsia="Times New Roman"/>
                <w:bCs/>
                <w:sz w:val="24"/>
                <w:szCs w:val="24"/>
                <w:lang w:eastAsia="lv-LV"/>
              </w:rPr>
              <w:t xml:space="preserve">. </w:t>
            </w:r>
            <w:r w:rsidR="00BA79A3">
              <w:rPr>
                <w:rFonts w:eastAsia="Times New Roman"/>
                <w:bCs/>
                <w:sz w:val="24"/>
                <w:szCs w:val="24"/>
                <w:lang w:eastAsia="lv-LV"/>
              </w:rPr>
              <w:t>I</w:t>
            </w:r>
            <w:r w:rsidR="00D46E41">
              <w:rPr>
                <w:rFonts w:eastAsia="Times New Roman"/>
                <w:bCs/>
                <w:sz w:val="24"/>
                <w:szCs w:val="24"/>
                <w:lang w:eastAsia="lv-LV"/>
              </w:rPr>
              <w:t>zdevumu aprēķin</w:t>
            </w:r>
            <w:r w:rsidR="0066603B">
              <w:rPr>
                <w:rFonts w:eastAsia="Times New Roman"/>
                <w:bCs/>
                <w:sz w:val="24"/>
                <w:szCs w:val="24"/>
                <w:lang w:eastAsia="lv-LV"/>
              </w:rPr>
              <w:t>āšanas metodika normatīvajos aktos ir noteikta attiecībā uz iestāžu maksas pakalpojumu noteikšanu</w:t>
            </w:r>
            <w:r w:rsidR="00393835">
              <w:rPr>
                <w:rFonts w:eastAsia="Times New Roman"/>
                <w:bCs/>
                <w:sz w:val="24"/>
                <w:szCs w:val="24"/>
                <w:lang w:eastAsia="lv-LV"/>
              </w:rPr>
              <w:t xml:space="preserve"> un š</w:t>
            </w:r>
            <w:r w:rsidR="00BA79A3">
              <w:rPr>
                <w:rFonts w:eastAsia="Times New Roman"/>
                <w:bCs/>
                <w:sz w:val="24"/>
                <w:szCs w:val="24"/>
                <w:lang w:eastAsia="lv-LV"/>
              </w:rPr>
              <w:t>āda</w:t>
            </w:r>
            <w:r w:rsidR="00393835">
              <w:rPr>
                <w:rFonts w:eastAsia="Times New Roman"/>
                <w:bCs/>
                <w:sz w:val="24"/>
                <w:szCs w:val="24"/>
                <w:lang w:eastAsia="lv-LV"/>
              </w:rPr>
              <w:t xml:space="preserve"> metodika pēc analoģijas </w:t>
            </w:r>
            <w:r w:rsidR="00BA79A3">
              <w:rPr>
                <w:rFonts w:eastAsia="Times New Roman"/>
                <w:bCs/>
                <w:sz w:val="24"/>
                <w:szCs w:val="24"/>
                <w:lang w:eastAsia="lv-LV"/>
              </w:rPr>
              <w:t>būtu</w:t>
            </w:r>
            <w:r w:rsidR="00393835">
              <w:rPr>
                <w:rFonts w:eastAsia="Times New Roman"/>
                <w:bCs/>
                <w:sz w:val="24"/>
                <w:szCs w:val="24"/>
                <w:lang w:eastAsia="lv-LV"/>
              </w:rPr>
              <w:t xml:space="preserve"> piemērojama arī attiecībā uz aģentūras </w:t>
            </w:r>
            <w:r w:rsidR="00BA79A3">
              <w:rPr>
                <w:rFonts w:eastAsia="Times New Roman"/>
                <w:bCs/>
                <w:sz w:val="24"/>
                <w:szCs w:val="24"/>
                <w:lang w:eastAsia="lv-LV"/>
              </w:rPr>
              <w:t>glabāšanas izmaksu noteikšanu</w:t>
            </w:r>
            <w:r w:rsidR="00A977BB">
              <w:rPr>
                <w:rFonts w:eastAsia="Times New Roman"/>
                <w:bCs/>
                <w:sz w:val="24"/>
                <w:szCs w:val="24"/>
                <w:lang w:eastAsia="lv-LV"/>
              </w:rPr>
              <w:t>. Ņemot vērā norādīto</w:t>
            </w:r>
            <w:r w:rsidR="00BA79A3">
              <w:rPr>
                <w:rFonts w:eastAsia="Times New Roman"/>
                <w:bCs/>
                <w:sz w:val="24"/>
                <w:szCs w:val="24"/>
                <w:lang w:eastAsia="lv-LV"/>
              </w:rPr>
              <w:t>, p</w:t>
            </w:r>
            <w:r w:rsidR="00B941F9" w:rsidRPr="00A118BE">
              <w:rPr>
                <w:rFonts w:eastAsia="Times New Roman"/>
                <w:bCs/>
                <w:sz w:val="24"/>
                <w:szCs w:val="24"/>
                <w:lang w:eastAsia="lv-LV"/>
              </w:rPr>
              <w:t>rojekts paredz</w:t>
            </w:r>
            <w:r w:rsidR="00F72E91" w:rsidRPr="00A118BE">
              <w:rPr>
                <w:rFonts w:eastAsia="Times New Roman"/>
                <w:bCs/>
                <w:sz w:val="24"/>
                <w:szCs w:val="24"/>
                <w:lang w:eastAsia="lv-LV"/>
              </w:rPr>
              <w:t>, ka</w:t>
            </w:r>
            <w:r w:rsidR="00BD4B5F" w:rsidRPr="00A118BE">
              <w:rPr>
                <w:rFonts w:eastAsia="Times New Roman"/>
                <w:bCs/>
                <w:sz w:val="24"/>
                <w:szCs w:val="24"/>
                <w:lang w:eastAsia="lv-LV"/>
              </w:rPr>
              <w:t xml:space="preserve"> </w:t>
            </w:r>
            <w:r w:rsidR="00BD4B5F" w:rsidRPr="00A118BE">
              <w:rPr>
                <w:sz w:val="24"/>
                <w:szCs w:val="24"/>
              </w:rPr>
              <w:t>nosakot izdevumu izmaksas, piemēro metodiku</w:t>
            </w:r>
            <w:r w:rsidR="00A977BB">
              <w:rPr>
                <w:sz w:val="24"/>
                <w:szCs w:val="24"/>
              </w:rPr>
              <w:t xml:space="preserve">, kas </w:t>
            </w:r>
            <w:r w:rsidR="00A977BB" w:rsidRPr="00A118BE">
              <w:rPr>
                <w:sz w:val="24"/>
                <w:szCs w:val="24"/>
              </w:rPr>
              <w:t xml:space="preserve">normatīvajos aktos </w:t>
            </w:r>
            <w:r w:rsidR="00A977BB">
              <w:rPr>
                <w:sz w:val="24"/>
                <w:szCs w:val="24"/>
              </w:rPr>
              <w:t>paredzēta</w:t>
            </w:r>
            <w:r w:rsidR="00BD4B5F" w:rsidRPr="00A118BE">
              <w:rPr>
                <w:sz w:val="24"/>
                <w:szCs w:val="24"/>
              </w:rPr>
              <w:t xml:space="preserve"> iestāžu sniegto maksas pakalpojumu izcenojumu noteikšanai.</w:t>
            </w:r>
            <w:r w:rsidR="00F72E91" w:rsidRPr="00A118BE">
              <w:rPr>
                <w:rFonts w:eastAsia="Times New Roman"/>
                <w:bCs/>
                <w:sz w:val="24"/>
                <w:szCs w:val="24"/>
                <w:lang w:eastAsia="lv-LV"/>
              </w:rPr>
              <w:t xml:space="preserve"> </w:t>
            </w:r>
            <w:r w:rsidR="005B210F" w:rsidRPr="00A118BE">
              <w:rPr>
                <w:rFonts w:eastAsia="Times New Roman"/>
                <w:bCs/>
                <w:sz w:val="24"/>
                <w:szCs w:val="24"/>
                <w:lang w:eastAsia="lv-LV"/>
              </w:rPr>
              <w:lastRenderedPageBreak/>
              <w:t>Turklāt,</w:t>
            </w:r>
            <w:r w:rsidR="00301615" w:rsidRPr="00A118BE">
              <w:rPr>
                <w:rFonts w:eastAsia="Times New Roman"/>
                <w:bCs/>
                <w:sz w:val="24"/>
                <w:szCs w:val="24"/>
                <w:lang w:eastAsia="lv-LV"/>
              </w:rPr>
              <w:t xml:space="preserve"> Projektā ir noteikts, ka Aģentūra 10 darbdienu laikā informē amatpersonu par nolēmuma par izņemtās mantas un dokumenta iznīcināšanu vai realizācijas izpildi un nosūta minēto faktu apliecinošu dokumentu, kā arī iesniedz aprēķinus par izdevumiem, kas saistīti ar izņemtās mantas un dokumenta nodošanu glabāšanā, glabāšanu, iznīcināšanu vai realizāciju, lai minētos izdevumus iekļautu procesuālajos izdevumos.</w:t>
            </w:r>
          </w:p>
          <w:p w14:paraId="4C511FDC" w14:textId="77777777" w:rsidR="00AB56D7" w:rsidRPr="00A118BE" w:rsidRDefault="00AB56D7" w:rsidP="00FC25F8">
            <w:pPr>
              <w:pStyle w:val="ListParagraph"/>
              <w:ind w:left="269"/>
              <w:jc w:val="both"/>
              <w:rPr>
                <w:rFonts w:eastAsia="Times New Roman"/>
                <w:sz w:val="24"/>
                <w:szCs w:val="24"/>
                <w:lang w:eastAsia="lv-LV"/>
              </w:rPr>
            </w:pPr>
          </w:p>
        </w:tc>
      </w:tr>
      <w:tr w:rsidR="00E5323B" w:rsidRPr="003D3060" w14:paraId="4C511FE1" w14:textId="77777777" w:rsidTr="005F7364">
        <w:trPr>
          <w:tblCellSpacing w:w="15" w:type="dxa"/>
        </w:trPr>
        <w:tc>
          <w:tcPr>
            <w:tcW w:w="314" w:type="dxa"/>
            <w:tcBorders>
              <w:top w:val="outset" w:sz="6" w:space="0" w:color="auto"/>
              <w:left w:val="outset" w:sz="6" w:space="0" w:color="auto"/>
              <w:bottom w:val="outset" w:sz="6" w:space="0" w:color="auto"/>
              <w:right w:val="outset" w:sz="6" w:space="0" w:color="auto"/>
            </w:tcBorders>
            <w:hideMark/>
          </w:tcPr>
          <w:p w14:paraId="4C511FDE"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lastRenderedPageBreak/>
              <w:t>3.</w:t>
            </w:r>
          </w:p>
        </w:tc>
        <w:tc>
          <w:tcPr>
            <w:tcW w:w="1529" w:type="dxa"/>
            <w:tcBorders>
              <w:top w:val="outset" w:sz="6" w:space="0" w:color="auto"/>
              <w:left w:val="outset" w:sz="6" w:space="0" w:color="auto"/>
              <w:bottom w:val="outset" w:sz="6" w:space="0" w:color="auto"/>
              <w:right w:val="outset" w:sz="6" w:space="0" w:color="auto"/>
            </w:tcBorders>
            <w:hideMark/>
          </w:tcPr>
          <w:p w14:paraId="4C511FDF"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Projekta izstrādē iesaistītās institūcijas un publiskas personas kapitālsabiedrības</w:t>
            </w:r>
          </w:p>
        </w:tc>
        <w:tc>
          <w:tcPr>
            <w:tcW w:w="7258" w:type="dxa"/>
            <w:tcBorders>
              <w:top w:val="outset" w:sz="6" w:space="0" w:color="auto"/>
              <w:left w:val="outset" w:sz="6" w:space="0" w:color="auto"/>
              <w:bottom w:val="outset" w:sz="6" w:space="0" w:color="auto"/>
              <w:right w:val="outset" w:sz="6" w:space="0" w:color="auto"/>
            </w:tcBorders>
            <w:hideMark/>
          </w:tcPr>
          <w:p w14:paraId="4C511FE0" w14:textId="77777777" w:rsidR="00090D33" w:rsidRPr="003D3060" w:rsidRDefault="00B8040B" w:rsidP="00B8040B">
            <w:pPr>
              <w:spacing w:after="0" w:line="240" w:lineRule="auto"/>
              <w:ind w:firstLine="222"/>
              <w:jc w:val="both"/>
              <w:rPr>
                <w:rFonts w:ascii="Times New Roman" w:eastAsia="Times New Roman" w:hAnsi="Times New Roman"/>
                <w:sz w:val="24"/>
                <w:szCs w:val="24"/>
                <w:lang w:eastAsia="lv-LV"/>
              </w:rPr>
            </w:pPr>
            <w:r w:rsidRPr="00B8040B">
              <w:rPr>
                <w:rFonts w:ascii="Times New Roman" w:eastAsia="Times New Roman" w:hAnsi="Times New Roman"/>
                <w:sz w:val="24"/>
                <w:szCs w:val="24"/>
                <w:lang w:eastAsia="lv-LV"/>
              </w:rPr>
              <w:t>No</w:t>
            </w:r>
            <w:r>
              <w:rPr>
                <w:rFonts w:ascii="Times New Roman" w:eastAsia="Times New Roman" w:hAnsi="Times New Roman"/>
                <w:sz w:val="24"/>
                <w:szCs w:val="24"/>
                <w:lang w:eastAsia="lv-LV"/>
              </w:rPr>
              <w:t xml:space="preserve">drošinājuma valsts aģentūra un </w:t>
            </w:r>
            <w:r w:rsidRPr="00B8040B">
              <w:rPr>
                <w:rFonts w:ascii="Times New Roman" w:eastAsia="Times New Roman" w:hAnsi="Times New Roman"/>
                <w:sz w:val="24"/>
                <w:szCs w:val="24"/>
                <w:lang w:eastAsia="lv-LV"/>
              </w:rPr>
              <w:t>Iekšlietu ministrija.</w:t>
            </w:r>
          </w:p>
        </w:tc>
      </w:tr>
      <w:tr w:rsidR="00E5323B" w:rsidRPr="003D3060" w14:paraId="4C511FE5" w14:textId="77777777" w:rsidTr="005F7364">
        <w:trPr>
          <w:tblCellSpacing w:w="15" w:type="dxa"/>
        </w:trPr>
        <w:tc>
          <w:tcPr>
            <w:tcW w:w="314" w:type="dxa"/>
            <w:tcBorders>
              <w:top w:val="outset" w:sz="6" w:space="0" w:color="auto"/>
              <w:left w:val="outset" w:sz="6" w:space="0" w:color="auto"/>
              <w:bottom w:val="outset" w:sz="6" w:space="0" w:color="auto"/>
              <w:right w:val="outset" w:sz="6" w:space="0" w:color="auto"/>
            </w:tcBorders>
            <w:hideMark/>
          </w:tcPr>
          <w:p w14:paraId="4C511FE2"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4.</w:t>
            </w:r>
          </w:p>
        </w:tc>
        <w:tc>
          <w:tcPr>
            <w:tcW w:w="1529" w:type="dxa"/>
            <w:tcBorders>
              <w:top w:val="outset" w:sz="6" w:space="0" w:color="auto"/>
              <w:left w:val="outset" w:sz="6" w:space="0" w:color="auto"/>
              <w:bottom w:val="outset" w:sz="6" w:space="0" w:color="auto"/>
              <w:right w:val="outset" w:sz="6" w:space="0" w:color="auto"/>
            </w:tcBorders>
            <w:hideMark/>
          </w:tcPr>
          <w:p w14:paraId="4C511FE3"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Cita informācija</w:t>
            </w:r>
          </w:p>
        </w:tc>
        <w:tc>
          <w:tcPr>
            <w:tcW w:w="7258" w:type="dxa"/>
            <w:tcBorders>
              <w:top w:val="outset" w:sz="6" w:space="0" w:color="auto"/>
              <w:left w:val="outset" w:sz="6" w:space="0" w:color="auto"/>
              <w:bottom w:val="outset" w:sz="6" w:space="0" w:color="auto"/>
              <w:right w:val="outset" w:sz="6" w:space="0" w:color="auto"/>
            </w:tcBorders>
            <w:hideMark/>
          </w:tcPr>
          <w:p w14:paraId="4C511FE4" w14:textId="77777777" w:rsidR="00090D33" w:rsidRPr="003D3060" w:rsidRDefault="00090D33" w:rsidP="008E2615">
            <w:pPr>
              <w:spacing w:after="0" w:line="240" w:lineRule="auto"/>
              <w:ind w:firstLine="224"/>
              <w:rPr>
                <w:rFonts w:ascii="Times New Roman" w:eastAsia="Times New Roman" w:hAnsi="Times New Roman"/>
                <w:iCs/>
                <w:sz w:val="24"/>
                <w:szCs w:val="24"/>
                <w:lang w:eastAsia="lv-LV"/>
              </w:rPr>
            </w:pPr>
            <w:r w:rsidRPr="003D3060">
              <w:rPr>
                <w:rFonts w:ascii="Times New Roman" w:eastAsia="Times New Roman" w:hAnsi="Times New Roman"/>
                <w:sz w:val="24"/>
                <w:szCs w:val="24"/>
                <w:lang w:eastAsia="lv-LV"/>
              </w:rPr>
              <w:t>Nav</w:t>
            </w:r>
          </w:p>
        </w:tc>
      </w:tr>
    </w:tbl>
    <w:p w14:paraId="4C511FE6"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178"/>
        <w:gridCol w:w="6452"/>
      </w:tblGrid>
      <w:tr w:rsidR="00E5323B" w:rsidRPr="003D3060" w14:paraId="4C511F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511FE7" w14:textId="77777777" w:rsidR="00655F2C" w:rsidRPr="003D3060" w:rsidRDefault="00E5323B" w:rsidP="00E5323B">
            <w:pPr>
              <w:spacing w:after="0" w:line="240" w:lineRule="auto"/>
              <w:rPr>
                <w:rFonts w:ascii="Times New Roman" w:eastAsia="Times New Roman" w:hAnsi="Times New Roman"/>
                <w:b/>
                <w:bCs/>
                <w:iCs/>
                <w:sz w:val="24"/>
                <w:szCs w:val="24"/>
                <w:lang w:eastAsia="lv-LV"/>
              </w:rPr>
            </w:pPr>
            <w:r w:rsidRPr="003D3060">
              <w:rPr>
                <w:rFonts w:ascii="Times New Roman" w:eastAsia="Times New Roman" w:hAnsi="Times New Roman"/>
                <w:b/>
                <w:bCs/>
                <w:iCs/>
                <w:sz w:val="24"/>
                <w:szCs w:val="24"/>
                <w:lang w:eastAsia="lv-LV"/>
              </w:rPr>
              <w:t>II. Tiesību akta projekta ietekme uz sabiedrību, tautsaimniecības attīstību un administratīvo slogu</w:t>
            </w:r>
          </w:p>
        </w:tc>
      </w:tr>
      <w:tr w:rsidR="00E5323B" w:rsidRPr="003D3060" w14:paraId="4C511FEF" w14:textId="77777777" w:rsidTr="00A22A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11FE9"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1.</w:t>
            </w:r>
          </w:p>
        </w:tc>
        <w:tc>
          <w:tcPr>
            <w:tcW w:w="1165" w:type="pct"/>
            <w:tcBorders>
              <w:top w:val="outset" w:sz="6" w:space="0" w:color="auto"/>
              <w:left w:val="outset" w:sz="6" w:space="0" w:color="auto"/>
              <w:bottom w:val="outset" w:sz="6" w:space="0" w:color="auto"/>
              <w:right w:val="outset" w:sz="6" w:space="0" w:color="auto"/>
            </w:tcBorders>
            <w:hideMark/>
          </w:tcPr>
          <w:p w14:paraId="4C511FEA"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Sabiedrības mērķgrupas, kuras tiesiskais regulējums ietekmē vai varētu ietekmēt</w:t>
            </w:r>
          </w:p>
        </w:tc>
        <w:tc>
          <w:tcPr>
            <w:tcW w:w="3474" w:type="pct"/>
            <w:tcBorders>
              <w:top w:val="outset" w:sz="6" w:space="0" w:color="auto"/>
              <w:left w:val="outset" w:sz="6" w:space="0" w:color="auto"/>
              <w:bottom w:val="outset" w:sz="6" w:space="0" w:color="auto"/>
              <w:right w:val="outset" w:sz="6" w:space="0" w:color="auto"/>
            </w:tcBorders>
            <w:hideMark/>
          </w:tcPr>
          <w:p w14:paraId="4C511FEB" w14:textId="77777777" w:rsidR="00D16BF8" w:rsidRPr="00D16BF8" w:rsidRDefault="00D16BF8" w:rsidP="00F012F6">
            <w:pPr>
              <w:spacing w:after="0" w:line="240" w:lineRule="auto"/>
              <w:ind w:firstLine="217"/>
              <w:jc w:val="both"/>
              <w:rPr>
                <w:rFonts w:ascii="Times New Roman" w:eastAsia="Times New Roman" w:hAnsi="Times New Roman"/>
                <w:sz w:val="24"/>
                <w:szCs w:val="24"/>
                <w:lang w:eastAsia="lv-LV"/>
              </w:rPr>
            </w:pPr>
            <w:r w:rsidRPr="00D16BF8">
              <w:rPr>
                <w:rFonts w:ascii="Times New Roman" w:eastAsia="Times New Roman" w:hAnsi="Times New Roman"/>
                <w:sz w:val="24"/>
                <w:szCs w:val="24"/>
                <w:lang w:eastAsia="lv-LV"/>
              </w:rPr>
              <w:t xml:space="preserve">Projekts tieši attiecas uz administratīvi sodītām personām un personām, kurām administratīvo pārkāpumu lietu ietvaros ir izņemta manta, kā arī administratīvo pārkāpumu lietās izņemtās mantas vai dokumenta īpašniekiem. </w:t>
            </w:r>
            <w:proofErr w:type="gramStart"/>
            <w:r w:rsidRPr="00D16B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18</w:t>
            </w:r>
            <w:r w:rsidRPr="00D16BF8">
              <w:rPr>
                <w:rFonts w:ascii="Times New Roman" w:eastAsia="Times New Roman" w:hAnsi="Times New Roman"/>
                <w:sz w:val="24"/>
                <w:szCs w:val="24"/>
                <w:lang w:eastAsia="lv-LV"/>
              </w:rPr>
              <w:t>.gadā</w:t>
            </w:r>
            <w:proofErr w:type="gramEnd"/>
            <w:r w:rsidRPr="00D16BF8">
              <w:rPr>
                <w:rFonts w:ascii="Times New Roman" w:eastAsia="Times New Roman" w:hAnsi="Times New Roman"/>
                <w:sz w:val="24"/>
                <w:szCs w:val="24"/>
                <w:lang w:eastAsia="lv-LV"/>
              </w:rPr>
              <w:t xml:space="preserve"> aģentūrā </w:t>
            </w:r>
            <w:r w:rsidR="006346CA" w:rsidRPr="00D16BF8">
              <w:rPr>
                <w:rFonts w:ascii="Times New Roman" w:eastAsia="Times New Roman" w:hAnsi="Times New Roman"/>
                <w:sz w:val="24"/>
                <w:szCs w:val="24"/>
                <w:lang w:eastAsia="lv-LV"/>
              </w:rPr>
              <w:t xml:space="preserve">vērsās </w:t>
            </w:r>
            <w:r w:rsidR="006346CA">
              <w:rPr>
                <w:rFonts w:ascii="Times New Roman" w:eastAsia="Times New Roman" w:hAnsi="Times New Roman"/>
                <w:sz w:val="24"/>
                <w:szCs w:val="24"/>
                <w:lang w:eastAsia="lv-LV"/>
              </w:rPr>
              <w:t>3310</w:t>
            </w:r>
            <w:r w:rsidR="006346CA" w:rsidRPr="00D16BF8">
              <w:rPr>
                <w:rFonts w:ascii="Times New Roman" w:eastAsia="Times New Roman" w:hAnsi="Times New Roman"/>
                <w:sz w:val="24"/>
                <w:szCs w:val="24"/>
                <w:lang w:eastAsia="lv-LV"/>
              </w:rPr>
              <w:t xml:space="preserve"> personas </w:t>
            </w:r>
            <w:r w:rsidRPr="00D16BF8">
              <w:rPr>
                <w:rFonts w:ascii="Times New Roman" w:eastAsia="Times New Roman" w:hAnsi="Times New Roman"/>
                <w:sz w:val="24"/>
                <w:szCs w:val="24"/>
                <w:lang w:eastAsia="lv-LV"/>
              </w:rPr>
              <w:t>ar iesniegumu par administratīvā pārkāpuma li</w:t>
            </w:r>
            <w:r w:rsidR="00F012F6">
              <w:rPr>
                <w:rFonts w:ascii="Times New Roman" w:eastAsia="Times New Roman" w:hAnsi="Times New Roman"/>
                <w:sz w:val="24"/>
                <w:szCs w:val="24"/>
                <w:lang w:eastAsia="lv-LV"/>
              </w:rPr>
              <w:t>etā izņemtās mantas atdošanu</w:t>
            </w:r>
            <w:r w:rsidRPr="00D16BF8">
              <w:rPr>
                <w:rFonts w:ascii="Times New Roman" w:eastAsia="Times New Roman" w:hAnsi="Times New Roman"/>
                <w:sz w:val="24"/>
                <w:szCs w:val="24"/>
                <w:lang w:eastAsia="lv-LV"/>
              </w:rPr>
              <w:t>.</w:t>
            </w:r>
          </w:p>
          <w:p w14:paraId="4C511FEC" w14:textId="2B57B71D" w:rsidR="00D16BF8" w:rsidRPr="00D16BF8" w:rsidRDefault="00D87208" w:rsidP="008E2615">
            <w:pPr>
              <w:spacing w:after="0" w:line="240" w:lineRule="auto"/>
              <w:ind w:firstLine="22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16BF8" w:rsidRPr="00D16BF8">
              <w:rPr>
                <w:rFonts w:ascii="Times New Roman" w:eastAsia="Times New Roman" w:hAnsi="Times New Roman"/>
                <w:sz w:val="24"/>
                <w:szCs w:val="24"/>
                <w:lang w:eastAsia="lv-LV"/>
              </w:rPr>
              <w:t>Vienlaikus projekts tieši attiecas uz</w:t>
            </w:r>
            <w:r w:rsidR="0063079E">
              <w:rPr>
                <w:rFonts w:ascii="Times New Roman" w:eastAsia="Times New Roman" w:hAnsi="Times New Roman"/>
                <w:sz w:val="24"/>
                <w:szCs w:val="24"/>
                <w:lang w:eastAsia="lv-LV"/>
              </w:rPr>
              <w:t xml:space="preserve"> Administratīvā pārkāpuma procesa dalībniekiem –</w:t>
            </w:r>
            <w:r w:rsidR="00D16BF8" w:rsidRPr="00D16BF8">
              <w:rPr>
                <w:rFonts w:ascii="Times New Roman" w:eastAsia="Times New Roman" w:hAnsi="Times New Roman"/>
                <w:sz w:val="24"/>
                <w:szCs w:val="24"/>
                <w:lang w:eastAsia="lv-LV"/>
              </w:rPr>
              <w:t xml:space="preserve"> </w:t>
            </w:r>
            <w:r w:rsidR="00D16BF8">
              <w:rPr>
                <w:rFonts w:ascii="Times New Roman" w:eastAsia="Times New Roman" w:hAnsi="Times New Roman"/>
                <w:sz w:val="24"/>
                <w:szCs w:val="24"/>
                <w:lang w:eastAsia="lv-LV"/>
              </w:rPr>
              <w:t>iestādēm</w:t>
            </w:r>
            <w:r w:rsidR="00D16BF8" w:rsidRPr="00D16BF8">
              <w:rPr>
                <w:rFonts w:ascii="Times New Roman" w:eastAsia="Times New Roman" w:hAnsi="Times New Roman"/>
                <w:sz w:val="24"/>
                <w:szCs w:val="24"/>
                <w:lang w:eastAsia="lv-LV"/>
              </w:rPr>
              <w:t xml:space="preserve"> (amatpersonām), kurām ir tiesī</w:t>
            </w:r>
            <w:r w:rsidR="00D16BF8">
              <w:rPr>
                <w:rFonts w:ascii="Times New Roman" w:eastAsia="Times New Roman" w:hAnsi="Times New Roman"/>
                <w:sz w:val="24"/>
                <w:szCs w:val="24"/>
                <w:lang w:eastAsia="lv-LV"/>
              </w:rPr>
              <w:t>bas izņemt mantas vai dokumentus</w:t>
            </w:r>
            <w:r w:rsidR="00D16BF8" w:rsidRPr="00D16BF8">
              <w:rPr>
                <w:rFonts w:ascii="Times New Roman" w:eastAsia="Times New Roman" w:hAnsi="Times New Roman"/>
                <w:sz w:val="24"/>
                <w:szCs w:val="24"/>
                <w:lang w:eastAsia="lv-LV"/>
              </w:rPr>
              <w:t>,</w:t>
            </w:r>
            <w:r w:rsidR="0063079E">
              <w:rPr>
                <w:rFonts w:ascii="Times New Roman" w:eastAsia="Times New Roman" w:hAnsi="Times New Roman"/>
                <w:sz w:val="24"/>
                <w:szCs w:val="24"/>
                <w:lang w:eastAsia="lv-LV"/>
              </w:rPr>
              <w:t xml:space="preserve"> vai tiesības veikt administratīvā pārkāpuma procesu</w:t>
            </w:r>
            <w:r w:rsidR="00D16BF8" w:rsidRPr="00D16BF8">
              <w:rPr>
                <w:rFonts w:ascii="Times New Roman" w:eastAsia="Times New Roman" w:hAnsi="Times New Roman"/>
                <w:sz w:val="24"/>
                <w:szCs w:val="24"/>
                <w:lang w:eastAsia="lv-LV"/>
              </w:rPr>
              <w:t xml:space="preserve"> un </w:t>
            </w:r>
            <w:r w:rsidR="0063079E">
              <w:rPr>
                <w:rFonts w:ascii="Times New Roman" w:eastAsia="Times New Roman" w:hAnsi="Times New Roman"/>
                <w:sz w:val="24"/>
                <w:szCs w:val="24"/>
                <w:lang w:eastAsia="lv-LV"/>
              </w:rPr>
              <w:t>A</w:t>
            </w:r>
            <w:r w:rsidR="00D16BF8" w:rsidRPr="00D16BF8">
              <w:rPr>
                <w:rFonts w:ascii="Times New Roman" w:eastAsia="Times New Roman" w:hAnsi="Times New Roman"/>
                <w:sz w:val="24"/>
                <w:szCs w:val="24"/>
                <w:lang w:eastAsia="lv-LV"/>
              </w:rPr>
              <w:t xml:space="preserve">ģentūru. </w:t>
            </w:r>
          </w:p>
          <w:p w14:paraId="4C511FED" w14:textId="77777777" w:rsidR="00F012F6" w:rsidRDefault="00D16BF8" w:rsidP="00F012F6">
            <w:pPr>
              <w:spacing w:after="0" w:line="240" w:lineRule="auto"/>
              <w:ind w:firstLine="365"/>
              <w:jc w:val="both"/>
              <w:rPr>
                <w:rFonts w:ascii="Times New Roman" w:eastAsia="Times New Roman" w:hAnsi="Times New Roman"/>
                <w:sz w:val="24"/>
                <w:szCs w:val="24"/>
                <w:lang w:eastAsia="lv-LV"/>
              </w:rPr>
            </w:pPr>
            <w:r w:rsidRPr="00D16BF8">
              <w:rPr>
                <w:rFonts w:ascii="Times New Roman" w:eastAsia="Times New Roman" w:hAnsi="Times New Roman"/>
                <w:sz w:val="24"/>
                <w:szCs w:val="24"/>
                <w:lang w:eastAsia="lv-LV"/>
              </w:rPr>
              <w:t>Bez tam projekts tieši attiecas uz zvēri</w:t>
            </w:r>
            <w:r w:rsidR="00F012F6">
              <w:rPr>
                <w:rFonts w:ascii="Times New Roman" w:eastAsia="Times New Roman" w:hAnsi="Times New Roman"/>
                <w:sz w:val="24"/>
                <w:szCs w:val="24"/>
                <w:lang w:eastAsia="lv-LV"/>
              </w:rPr>
              <w:t>nātiem tiesu izpildītājiem, kuriem tiek sūtīti izpildrīkojumi piespiedu izpildei par izdevumiem</w:t>
            </w:r>
            <w:r w:rsidR="00F012F6" w:rsidRPr="00F012F6">
              <w:rPr>
                <w:rFonts w:ascii="Times New Roman" w:eastAsia="Times New Roman" w:hAnsi="Times New Roman"/>
                <w:sz w:val="24"/>
                <w:szCs w:val="24"/>
                <w:lang w:eastAsia="lv-LV"/>
              </w:rPr>
              <w:t>, kas radušies sakarā ar administratīvā pārkāpuma lietā izņemtās mantas un dokumentu nodošanu glabāšanā, glabāšanu un iznīcināšanu</w:t>
            </w:r>
            <w:r w:rsidR="00F012F6">
              <w:rPr>
                <w:rFonts w:ascii="Times New Roman" w:eastAsia="Times New Roman" w:hAnsi="Times New Roman"/>
                <w:sz w:val="24"/>
                <w:szCs w:val="24"/>
                <w:lang w:eastAsia="lv-LV"/>
              </w:rPr>
              <w:t xml:space="preserve">. </w:t>
            </w:r>
            <w:proofErr w:type="gramStart"/>
            <w:r w:rsidR="00F012F6">
              <w:rPr>
                <w:rFonts w:ascii="Times New Roman" w:eastAsia="Times New Roman" w:hAnsi="Times New Roman"/>
                <w:sz w:val="24"/>
                <w:szCs w:val="24"/>
                <w:lang w:eastAsia="lv-LV"/>
              </w:rPr>
              <w:t>2018.gadā</w:t>
            </w:r>
            <w:proofErr w:type="gramEnd"/>
            <w:r w:rsidR="00F012F6">
              <w:rPr>
                <w:rFonts w:ascii="Times New Roman" w:eastAsia="Times New Roman" w:hAnsi="Times New Roman"/>
                <w:sz w:val="24"/>
                <w:szCs w:val="24"/>
                <w:lang w:eastAsia="lv-LV"/>
              </w:rPr>
              <w:t xml:space="preserve"> zvērinātiem tiesu izpildītājiem nosūtīti 1883 izpildrīkojumi.</w:t>
            </w:r>
          </w:p>
          <w:p w14:paraId="4C511FEE" w14:textId="77777777" w:rsidR="00D87208" w:rsidRPr="003D3060" w:rsidRDefault="00F012F6" w:rsidP="00F012F6">
            <w:pPr>
              <w:spacing w:after="0" w:line="240" w:lineRule="auto"/>
              <w:ind w:firstLine="36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D87208" w:rsidRPr="00D87208">
              <w:rPr>
                <w:rFonts w:ascii="Times New Roman" w:eastAsia="Times New Roman" w:hAnsi="Times New Roman"/>
                <w:sz w:val="24"/>
                <w:szCs w:val="24"/>
                <w:lang w:eastAsia="lv-LV"/>
              </w:rPr>
              <w:t>Projekts pastarpināti ietekmē administratīvo pārkāpumu lietās izņemtās mantas vai dokumenta īpašnieku pilnvarotās personas un notārus, komercķīlu ņēmējus, ja izņemtajai mantai ir reģistrēta komercķīla, kā arī valsts akciju sabiedrību „Ceļu satiksmes drošības direkcija” attiecībā uz transportlīdzekļu un to vadītāju valsts reģistrā norādīto transportlīdzekļu, kuri izņemti administratīvo pārkāpumu lietās, atrašanās vietu, bez tam procesa virzītājus, ja par administratīvo pārkāpumu uzsākts kriminālprocess un attiecīgajā administratīvā pārkāpuma lietā ir izņemta manta. Administratīvo pārkāpumu lietās izņemtās mantas, kam reģistrēta komercķīla un kas nodota glabāšanā aģentūrā, aptuvenais īpatsvars 20</w:t>
            </w:r>
            <w:r w:rsidR="00D87208">
              <w:rPr>
                <w:rFonts w:ascii="Times New Roman" w:eastAsia="Times New Roman" w:hAnsi="Times New Roman"/>
                <w:sz w:val="24"/>
                <w:szCs w:val="24"/>
                <w:lang w:eastAsia="lv-LV"/>
              </w:rPr>
              <w:t>18</w:t>
            </w:r>
            <w:r w:rsidR="00D87208" w:rsidRPr="00D87208">
              <w:rPr>
                <w:rFonts w:ascii="Times New Roman" w:eastAsia="Times New Roman" w:hAnsi="Times New Roman"/>
                <w:sz w:val="24"/>
                <w:szCs w:val="24"/>
                <w:lang w:eastAsia="lv-LV"/>
              </w:rPr>
              <w:t>.gadā bija</w:t>
            </w:r>
            <w:r w:rsidR="0009214D">
              <w:rPr>
                <w:rFonts w:ascii="Times New Roman" w:eastAsia="Times New Roman" w:hAnsi="Times New Roman"/>
                <w:sz w:val="24"/>
                <w:szCs w:val="24"/>
                <w:lang w:eastAsia="lv-LV"/>
              </w:rPr>
              <w:t xml:space="preserve"> 0,5%</w:t>
            </w:r>
            <w:r w:rsidR="00D87208" w:rsidRPr="00D87208">
              <w:rPr>
                <w:rFonts w:ascii="Times New Roman" w:eastAsia="Times New Roman" w:hAnsi="Times New Roman"/>
                <w:sz w:val="24"/>
                <w:szCs w:val="24"/>
                <w:lang w:eastAsia="lv-LV"/>
              </w:rPr>
              <w:t xml:space="preserve">  no visas </w:t>
            </w:r>
            <w:r w:rsidR="00D87208" w:rsidRPr="00D87208">
              <w:rPr>
                <w:rFonts w:ascii="Times New Roman" w:eastAsia="Times New Roman" w:hAnsi="Times New Roman"/>
                <w:sz w:val="24"/>
                <w:szCs w:val="24"/>
                <w:lang w:eastAsia="lv-LV"/>
              </w:rPr>
              <w:lastRenderedPageBreak/>
              <w:t xml:space="preserve">administratīvo pārkāpumu lietās izņemtās mantas, kas glabājās </w:t>
            </w:r>
            <w:r w:rsidR="00D87208">
              <w:rPr>
                <w:rFonts w:ascii="Times New Roman" w:eastAsia="Times New Roman" w:hAnsi="Times New Roman"/>
                <w:sz w:val="24"/>
                <w:szCs w:val="24"/>
                <w:lang w:eastAsia="lv-LV"/>
              </w:rPr>
              <w:t>A</w:t>
            </w:r>
            <w:r w:rsidR="00D87208" w:rsidRPr="00D87208">
              <w:rPr>
                <w:rFonts w:ascii="Times New Roman" w:eastAsia="Times New Roman" w:hAnsi="Times New Roman"/>
                <w:sz w:val="24"/>
                <w:szCs w:val="24"/>
                <w:lang w:eastAsia="lv-LV"/>
              </w:rPr>
              <w:t>ģentūrā. Par citas minētās mērķgrupas skaitlisko lielumu šobrīd nav pieejamu datu.</w:t>
            </w:r>
          </w:p>
        </w:tc>
      </w:tr>
      <w:tr w:rsidR="00E5323B" w:rsidRPr="003D3060" w14:paraId="4C511FF3" w14:textId="77777777" w:rsidTr="00A22A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11FF0"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lastRenderedPageBreak/>
              <w:t>2.</w:t>
            </w:r>
          </w:p>
        </w:tc>
        <w:tc>
          <w:tcPr>
            <w:tcW w:w="1165" w:type="pct"/>
            <w:tcBorders>
              <w:top w:val="outset" w:sz="6" w:space="0" w:color="auto"/>
              <w:left w:val="outset" w:sz="6" w:space="0" w:color="auto"/>
              <w:bottom w:val="outset" w:sz="6" w:space="0" w:color="auto"/>
              <w:right w:val="outset" w:sz="6" w:space="0" w:color="auto"/>
            </w:tcBorders>
            <w:hideMark/>
          </w:tcPr>
          <w:p w14:paraId="4C511FF1"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Tiesiskā regulējuma ietekme uz tautsaimniecību un administratīvo slogu</w:t>
            </w:r>
          </w:p>
        </w:tc>
        <w:tc>
          <w:tcPr>
            <w:tcW w:w="3474" w:type="pct"/>
            <w:tcBorders>
              <w:top w:val="outset" w:sz="6" w:space="0" w:color="auto"/>
              <w:left w:val="outset" w:sz="6" w:space="0" w:color="auto"/>
              <w:bottom w:val="outset" w:sz="6" w:space="0" w:color="auto"/>
              <w:right w:val="outset" w:sz="6" w:space="0" w:color="auto"/>
            </w:tcBorders>
            <w:hideMark/>
          </w:tcPr>
          <w:p w14:paraId="4C511FF2" w14:textId="77777777" w:rsidR="00090D33" w:rsidRPr="003D3060" w:rsidRDefault="008E2615" w:rsidP="008E2615">
            <w:pPr>
              <w:spacing w:after="0" w:line="240" w:lineRule="auto"/>
              <w:ind w:firstLine="223"/>
              <w:jc w:val="both"/>
              <w:rPr>
                <w:rFonts w:ascii="Times New Roman" w:eastAsia="Times New Roman" w:hAnsi="Times New Roman"/>
                <w:iCs/>
                <w:sz w:val="24"/>
                <w:szCs w:val="24"/>
                <w:lang w:eastAsia="lv-LV"/>
              </w:rPr>
            </w:pPr>
            <w:r>
              <w:rPr>
                <w:rFonts w:ascii="Times New Roman" w:eastAsia="Times New Roman" w:hAnsi="Times New Roman"/>
                <w:sz w:val="24"/>
                <w:szCs w:val="24"/>
                <w:lang w:eastAsia="lv-LV"/>
              </w:rPr>
              <w:t xml:space="preserve">   </w:t>
            </w:r>
            <w:r w:rsidR="00124927" w:rsidRPr="00124927">
              <w:rPr>
                <w:rFonts w:ascii="Times New Roman" w:eastAsia="Times New Roman" w:hAnsi="Times New Roman"/>
                <w:sz w:val="24"/>
                <w:szCs w:val="24"/>
                <w:lang w:eastAsia="lv-LV"/>
              </w:rPr>
              <w:t>Projekts ietekmēs administratīvā pārkāpuma lietā izņemtās mantas vai dokumenta īpašnieka, viņa pilnvarotās personas un atbildīgās institūcijas lēmumā norādītās personas iespējas un tiesības saņemt izņemto mantu vai dokumentu vai atlīdzību par realizēto vai iznīcināto izņemto mantu un personas, kurai uzlikts administratīvais sods, pienākumu segt ar izņemtās mantas vai dokumenta nodošanu glabāšanā, glabāšanu vai iznīcināšanu saistītos izdevumus. Projekts minētām personām jaunas tiesības un jaunus pienākumus nerada un viņām nodrošina vienlīdzīgas tiesības un iespējas.</w:t>
            </w:r>
          </w:p>
        </w:tc>
      </w:tr>
      <w:tr w:rsidR="00E5323B" w:rsidRPr="003D3060" w14:paraId="4C511FF8" w14:textId="77777777" w:rsidTr="00A22A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11FF4"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3.</w:t>
            </w:r>
          </w:p>
        </w:tc>
        <w:tc>
          <w:tcPr>
            <w:tcW w:w="1165" w:type="pct"/>
            <w:tcBorders>
              <w:top w:val="outset" w:sz="6" w:space="0" w:color="auto"/>
              <w:left w:val="outset" w:sz="6" w:space="0" w:color="auto"/>
              <w:bottom w:val="outset" w:sz="6" w:space="0" w:color="auto"/>
              <w:right w:val="outset" w:sz="6" w:space="0" w:color="auto"/>
            </w:tcBorders>
            <w:hideMark/>
          </w:tcPr>
          <w:p w14:paraId="4C511FF5"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Administratīvo izmaksu monetārs novērtējums</w:t>
            </w:r>
          </w:p>
        </w:tc>
        <w:tc>
          <w:tcPr>
            <w:tcW w:w="3474" w:type="pct"/>
            <w:tcBorders>
              <w:top w:val="outset" w:sz="6" w:space="0" w:color="auto"/>
              <w:left w:val="outset" w:sz="6" w:space="0" w:color="auto"/>
              <w:bottom w:val="outset" w:sz="6" w:space="0" w:color="auto"/>
              <w:right w:val="outset" w:sz="6" w:space="0" w:color="auto"/>
            </w:tcBorders>
            <w:hideMark/>
          </w:tcPr>
          <w:p w14:paraId="4C511FF6" w14:textId="0036656F" w:rsidR="00090D33" w:rsidRPr="008D6D33" w:rsidRDefault="00054E7A" w:rsidP="00090D33">
            <w:pPr>
              <w:spacing w:after="0" w:line="240" w:lineRule="auto"/>
              <w:jc w:val="both"/>
              <w:rPr>
                <w:rFonts w:ascii="Times New Roman" w:eastAsia="Times New Roman" w:hAnsi="Times New Roman"/>
                <w:iCs/>
                <w:sz w:val="24"/>
                <w:szCs w:val="24"/>
                <w:lang w:eastAsia="lv-LV"/>
              </w:rPr>
            </w:pPr>
            <w:r w:rsidRPr="008D6D33">
              <w:rPr>
                <w:rFonts w:ascii="Times New Roman" w:eastAsia="Times New Roman" w:hAnsi="Times New Roman"/>
                <w:iCs/>
                <w:sz w:val="24"/>
                <w:szCs w:val="24"/>
                <w:lang w:eastAsia="lv-LV"/>
              </w:rPr>
              <w:t xml:space="preserve">Projekts </w:t>
            </w:r>
            <w:r w:rsidR="00F72D24" w:rsidRPr="008D6D33">
              <w:rPr>
                <w:rFonts w:ascii="Times New Roman" w:eastAsia="Times New Roman" w:hAnsi="Times New Roman"/>
                <w:iCs/>
                <w:sz w:val="24"/>
                <w:szCs w:val="24"/>
                <w:lang w:eastAsia="lv-LV"/>
              </w:rPr>
              <w:t>konceptuāli</w:t>
            </w:r>
            <w:r w:rsidRPr="008D6D33">
              <w:rPr>
                <w:rFonts w:ascii="Times New Roman" w:eastAsia="Times New Roman" w:hAnsi="Times New Roman"/>
                <w:iCs/>
                <w:sz w:val="24"/>
                <w:szCs w:val="24"/>
                <w:lang w:eastAsia="lv-LV"/>
              </w:rPr>
              <w:t xml:space="preserve"> nemaina pašreiz noteikto </w:t>
            </w:r>
            <w:r w:rsidR="00F72D24" w:rsidRPr="008D6D33">
              <w:rPr>
                <w:rFonts w:ascii="Times New Roman" w:eastAsia="Times New Roman" w:hAnsi="Times New Roman"/>
                <w:iCs/>
                <w:sz w:val="24"/>
                <w:szCs w:val="24"/>
                <w:lang w:eastAsia="lv-LV"/>
              </w:rPr>
              <w:t>kārtību, līdz</w:t>
            </w:r>
            <w:proofErr w:type="gramStart"/>
            <w:r w:rsidR="00F72D24" w:rsidRPr="008D6D33">
              <w:rPr>
                <w:rFonts w:ascii="Times New Roman" w:eastAsia="Times New Roman" w:hAnsi="Times New Roman"/>
                <w:iCs/>
                <w:sz w:val="24"/>
                <w:szCs w:val="24"/>
                <w:lang w:eastAsia="lv-LV"/>
              </w:rPr>
              <w:t xml:space="preserve"> ar ko tam </w:t>
            </w:r>
            <w:r w:rsidR="008D6D33" w:rsidRPr="008D6D33">
              <w:rPr>
                <w:rFonts w:ascii="Times New Roman" w:eastAsia="Times New Roman" w:hAnsi="Times New Roman"/>
                <w:iCs/>
                <w:sz w:val="24"/>
                <w:szCs w:val="24"/>
                <w:lang w:eastAsia="lv-LV"/>
              </w:rPr>
              <w:t>nav ietekmes uz administratīvajām izmaksām</w:t>
            </w:r>
            <w:proofErr w:type="gramEnd"/>
            <w:r w:rsidR="008D6D33" w:rsidRPr="008D6D33">
              <w:rPr>
                <w:rFonts w:ascii="Times New Roman" w:eastAsia="Times New Roman" w:hAnsi="Times New Roman"/>
                <w:iCs/>
                <w:sz w:val="24"/>
                <w:szCs w:val="24"/>
                <w:lang w:eastAsia="lv-LV"/>
              </w:rPr>
              <w:t>.</w:t>
            </w:r>
          </w:p>
          <w:p w14:paraId="4C511FF7" w14:textId="77777777" w:rsidR="00090D33" w:rsidRPr="003D3060" w:rsidRDefault="00090D33" w:rsidP="00E5323B">
            <w:pPr>
              <w:spacing w:after="0" w:line="240" w:lineRule="auto"/>
              <w:rPr>
                <w:rFonts w:ascii="Times New Roman" w:eastAsia="Times New Roman" w:hAnsi="Times New Roman"/>
                <w:iCs/>
                <w:sz w:val="24"/>
                <w:szCs w:val="24"/>
                <w:lang w:eastAsia="lv-LV"/>
              </w:rPr>
            </w:pPr>
          </w:p>
        </w:tc>
      </w:tr>
      <w:tr w:rsidR="00E5323B" w:rsidRPr="003D3060" w14:paraId="4C511FFC" w14:textId="77777777" w:rsidTr="00A22A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11FF9"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4.</w:t>
            </w:r>
          </w:p>
        </w:tc>
        <w:tc>
          <w:tcPr>
            <w:tcW w:w="1165" w:type="pct"/>
            <w:tcBorders>
              <w:top w:val="outset" w:sz="6" w:space="0" w:color="auto"/>
              <w:left w:val="outset" w:sz="6" w:space="0" w:color="auto"/>
              <w:bottom w:val="outset" w:sz="6" w:space="0" w:color="auto"/>
              <w:right w:val="outset" w:sz="6" w:space="0" w:color="auto"/>
            </w:tcBorders>
            <w:hideMark/>
          </w:tcPr>
          <w:p w14:paraId="4C511FFA"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Atbilstības izmaksu monetārs novērtējums</w:t>
            </w:r>
          </w:p>
        </w:tc>
        <w:tc>
          <w:tcPr>
            <w:tcW w:w="3474" w:type="pct"/>
            <w:tcBorders>
              <w:top w:val="outset" w:sz="6" w:space="0" w:color="auto"/>
              <w:left w:val="outset" w:sz="6" w:space="0" w:color="auto"/>
              <w:bottom w:val="outset" w:sz="6" w:space="0" w:color="auto"/>
              <w:right w:val="outset" w:sz="6" w:space="0" w:color="auto"/>
            </w:tcBorders>
            <w:hideMark/>
          </w:tcPr>
          <w:p w14:paraId="4C511FFB" w14:textId="77777777" w:rsidR="00090D33" w:rsidRPr="003D3060" w:rsidRDefault="008E2615" w:rsidP="00EE5482">
            <w:pPr>
              <w:spacing w:after="0" w:line="240" w:lineRule="auto"/>
              <w:ind w:firstLine="223"/>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 </w:t>
            </w:r>
            <w:r w:rsidR="00CD0C85" w:rsidRPr="003D3060">
              <w:rPr>
                <w:rFonts w:ascii="Times New Roman" w:eastAsia="Times New Roman" w:hAnsi="Times New Roman"/>
                <w:iCs/>
                <w:sz w:val="24"/>
                <w:szCs w:val="24"/>
                <w:lang w:eastAsia="lv-LV"/>
              </w:rPr>
              <w:t>Noteikumu projekts neparedz atbilstības izmaksas.</w:t>
            </w:r>
          </w:p>
        </w:tc>
      </w:tr>
      <w:tr w:rsidR="00E5323B" w:rsidRPr="00FB1150" w14:paraId="4C512000" w14:textId="77777777" w:rsidTr="00A22A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511FFD" w14:textId="77777777" w:rsidR="00655F2C"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5.</w:t>
            </w:r>
          </w:p>
        </w:tc>
        <w:tc>
          <w:tcPr>
            <w:tcW w:w="1165" w:type="pct"/>
            <w:tcBorders>
              <w:top w:val="outset" w:sz="6" w:space="0" w:color="auto"/>
              <w:left w:val="outset" w:sz="6" w:space="0" w:color="auto"/>
              <w:bottom w:val="outset" w:sz="6" w:space="0" w:color="auto"/>
              <w:right w:val="outset" w:sz="6" w:space="0" w:color="auto"/>
            </w:tcBorders>
            <w:hideMark/>
          </w:tcPr>
          <w:p w14:paraId="4C511FFE" w14:textId="77777777" w:rsidR="00E5323B"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Cita informācija</w:t>
            </w:r>
          </w:p>
        </w:tc>
        <w:tc>
          <w:tcPr>
            <w:tcW w:w="3474" w:type="pct"/>
            <w:tcBorders>
              <w:top w:val="outset" w:sz="6" w:space="0" w:color="auto"/>
              <w:left w:val="outset" w:sz="6" w:space="0" w:color="auto"/>
              <w:bottom w:val="outset" w:sz="6" w:space="0" w:color="auto"/>
              <w:right w:val="outset" w:sz="6" w:space="0" w:color="auto"/>
            </w:tcBorders>
            <w:hideMark/>
          </w:tcPr>
          <w:p w14:paraId="4C511FFF" w14:textId="77777777" w:rsidR="00E5323B" w:rsidRPr="00FB1150" w:rsidRDefault="009279AA"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Nav</w:t>
            </w:r>
          </w:p>
        </w:tc>
      </w:tr>
    </w:tbl>
    <w:p w14:paraId="4C512001" w14:textId="77777777" w:rsidR="00E5323B"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 xml:space="preserve">  </w:t>
      </w:r>
    </w:p>
    <w:p w14:paraId="4C512002" w14:textId="77777777" w:rsidR="009E00E6" w:rsidRPr="00FB1150" w:rsidRDefault="009E00E6" w:rsidP="00E5323B">
      <w:pPr>
        <w:spacing w:after="0" w:line="240" w:lineRule="auto"/>
        <w:rPr>
          <w:rFonts w:ascii="Times New Roman" w:eastAsia="Times New Roman" w:hAnsi="Times New Roman"/>
          <w:iCs/>
          <w:sz w:val="24"/>
          <w:szCs w:val="24"/>
          <w:lang w:eastAsia="lv-LV"/>
        </w:rPr>
      </w:pPr>
    </w:p>
    <w:tbl>
      <w:tblPr>
        <w:tblW w:w="5106"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12"/>
      </w:tblGrid>
      <w:tr w:rsidR="000C2FB7" w:rsidRPr="00FB1150" w14:paraId="2F196EB5" w14:textId="77777777" w:rsidTr="000C2FB7">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118ED1F5" w14:textId="77777777" w:rsidR="000C2FB7" w:rsidRPr="00FB1150" w:rsidRDefault="000C2FB7">
            <w:pPr>
              <w:spacing w:after="120" w:line="276" w:lineRule="auto"/>
              <w:jc w:val="center"/>
              <w:rPr>
                <w:rFonts w:ascii="Times New Roman" w:hAnsi="Times New Roman"/>
                <w:b/>
                <w:bCs/>
                <w:sz w:val="24"/>
                <w:szCs w:val="24"/>
              </w:rPr>
            </w:pPr>
            <w:r w:rsidRPr="00FB1150">
              <w:rPr>
                <w:rFonts w:ascii="Times New Roman" w:hAnsi="Times New Roman"/>
                <w:b/>
                <w:bCs/>
                <w:sz w:val="24"/>
                <w:szCs w:val="24"/>
              </w:rPr>
              <w:t>III. Tiesību akta projekta ietekme uz valsts budžetu un pašvaldību budžetiem</w:t>
            </w:r>
          </w:p>
        </w:tc>
      </w:tr>
      <w:tr w:rsidR="000C2FB7" w:rsidRPr="00FB1150" w14:paraId="3B59458E" w14:textId="77777777" w:rsidTr="000C2FB7">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DB8F343" w14:textId="77777777" w:rsidR="000C2FB7" w:rsidRPr="00FB1150" w:rsidRDefault="000C2FB7">
            <w:pPr>
              <w:spacing w:after="120" w:line="276" w:lineRule="auto"/>
              <w:jc w:val="center"/>
              <w:rPr>
                <w:rFonts w:ascii="Times New Roman" w:hAnsi="Times New Roman"/>
                <w:b/>
                <w:bCs/>
                <w:sz w:val="24"/>
                <w:szCs w:val="24"/>
              </w:rPr>
            </w:pPr>
            <w:r w:rsidRPr="00FB1150">
              <w:rPr>
                <w:rFonts w:ascii="Times New Roman" w:hAnsi="Times New Roman"/>
                <w:sz w:val="24"/>
                <w:szCs w:val="24"/>
              </w:rPr>
              <w:t>Projekts šo jomu neskar.</w:t>
            </w:r>
          </w:p>
        </w:tc>
      </w:tr>
    </w:tbl>
    <w:p w14:paraId="4C512003" w14:textId="77777777" w:rsidR="009E00E6" w:rsidRPr="00FB1150" w:rsidRDefault="009E00E6" w:rsidP="00E5323B">
      <w:pPr>
        <w:spacing w:after="0" w:line="240" w:lineRule="auto"/>
        <w:rPr>
          <w:rFonts w:ascii="Times New Roman" w:eastAsia="Times New Roman" w:hAnsi="Times New Roman"/>
          <w:iCs/>
          <w:sz w:val="24"/>
          <w:szCs w:val="24"/>
          <w:lang w:eastAsia="lv-LV"/>
        </w:rPr>
      </w:pPr>
    </w:p>
    <w:p w14:paraId="4C512004" w14:textId="77777777" w:rsidR="009E00E6" w:rsidRPr="00FB1150" w:rsidRDefault="009E00E6" w:rsidP="00E5323B">
      <w:pPr>
        <w:spacing w:after="0" w:line="240" w:lineRule="auto"/>
        <w:rPr>
          <w:rFonts w:ascii="Times New Roman" w:eastAsia="Times New Roman" w:hAnsi="Times New Roman"/>
          <w:iCs/>
          <w:sz w:val="24"/>
          <w:szCs w:val="24"/>
          <w:lang w:eastAsia="lv-LV"/>
        </w:rPr>
      </w:pPr>
    </w:p>
    <w:p w14:paraId="4C5120EB" w14:textId="2DB89DEC" w:rsidR="00E5323B"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84"/>
        <w:gridCol w:w="5564"/>
      </w:tblGrid>
      <w:tr w:rsidR="00E5323B" w:rsidRPr="00FB1150" w14:paraId="4C5120ED" w14:textId="77777777" w:rsidTr="00B844F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C5120EC" w14:textId="77777777" w:rsidR="00655F2C" w:rsidRPr="00FB1150" w:rsidRDefault="00E5323B" w:rsidP="00E5323B">
            <w:pPr>
              <w:spacing w:after="0" w:line="240" w:lineRule="auto"/>
              <w:rPr>
                <w:rFonts w:ascii="Times New Roman" w:eastAsia="Times New Roman" w:hAnsi="Times New Roman"/>
                <w:b/>
                <w:bCs/>
                <w:iCs/>
                <w:sz w:val="24"/>
                <w:szCs w:val="24"/>
                <w:lang w:eastAsia="lv-LV"/>
              </w:rPr>
            </w:pPr>
            <w:r w:rsidRPr="00FB1150">
              <w:rPr>
                <w:rFonts w:ascii="Times New Roman" w:eastAsia="Times New Roman" w:hAnsi="Times New Roman"/>
                <w:b/>
                <w:bCs/>
                <w:iCs/>
                <w:sz w:val="24"/>
                <w:szCs w:val="24"/>
                <w:lang w:eastAsia="lv-LV"/>
              </w:rPr>
              <w:t>IV. Tiesību akta projekta ietekme uz spēkā esošo tiesību normu sistēmu</w:t>
            </w:r>
          </w:p>
        </w:tc>
      </w:tr>
      <w:tr w:rsidR="00E5323B" w:rsidRPr="00FB1150" w14:paraId="4C5120F1" w14:textId="77777777" w:rsidTr="00B844FA">
        <w:trPr>
          <w:trHeight w:val="1385"/>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0EE" w14:textId="77777777" w:rsidR="00655F2C"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1.</w:t>
            </w:r>
          </w:p>
        </w:tc>
        <w:tc>
          <w:tcPr>
            <w:tcW w:w="1665" w:type="pct"/>
            <w:tcBorders>
              <w:top w:val="outset" w:sz="6" w:space="0" w:color="auto"/>
              <w:left w:val="outset" w:sz="6" w:space="0" w:color="auto"/>
              <w:bottom w:val="outset" w:sz="6" w:space="0" w:color="auto"/>
              <w:right w:val="outset" w:sz="6" w:space="0" w:color="auto"/>
            </w:tcBorders>
            <w:hideMark/>
          </w:tcPr>
          <w:p w14:paraId="4C5120EF" w14:textId="77777777" w:rsidR="00E5323B" w:rsidRPr="00FB1150" w:rsidRDefault="00E5323B" w:rsidP="00E5323B">
            <w:pPr>
              <w:spacing w:after="0" w:line="240" w:lineRule="auto"/>
              <w:rPr>
                <w:rFonts w:ascii="Times New Roman" w:eastAsia="Times New Roman" w:hAnsi="Times New Roman"/>
                <w:iCs/>
                <w:sz w:val="24"/>
                <w:szCs w:val="24"/>
                <w:lang w:eastAsia="lv-LV"/>
              </w:rPr>
            </w:pPr>
            <w:r w:rsidRPr="00FB1150">
              <w:rPr>
                <w:rFonts w:ascii="Times New Roman" w:eastAsia="Times New Roman" w:hAnsi="Times New Roman"/>
                <w:iCs/>
                <w:sz w:val="24"/>
                <w:szCs w:val="24"/>
                <w:lang w:eastAsia="lv-LV"/>
              </w:rPr>
              <w:t>Saistītie tiesību aktu projekti</w:t>
            </w:r>
          </w:p>
        </w:tc>
        <w:tc>
          <w:tcPr>
            <w:tcW w:w="2976" w:type="pct"/>
            <w:tcBorders>
              <w:top w:val="outset" w:sz="6" w:space="0" w:color="auto"/>
              <w:left w:val="outset" w:sz="6" w:space="0" w:color="auto"/>
              <w:bottom w:val="single" w:sz="4" w:space="0" w:color="AEAAAA"/>
              <w:right w:val="outset" w:sz="6" w:space="0" w:color="auto"/>
            </w:tcBorders>
            <w:hideMark/>
          </w:tcPr>
          <w:p w14:paraId="4C5120F0" w14:textId="77777777" w:rsidR="00A944D8" w:rsidRPr="00FB1150" w:rsidRDefault="005838FC" w:rsidP="00204BDD">
            <w:pPr>
              <w:spacing w:after="0" w:line="240" w:lineRule="auto"/>
              <w:ind w:firstLine="135"/>
              <w:jc w:val="both"/>
              <w:rPr>
                <w:rFonts w:ascii="Times New Roman" w:eastAsia="Times New Roman" w:hAnsi="Times New Roman"/>
                <w:iCs/>
                <w:sz w:val="24"/>
                <w:szCs w:val="24"/>
                <w:lang w:eastAsia="lv-LV"/>
              </w:rPr>
            </w:pPr>
            <w:r w:rsidRPr="00FB1150">
              <w:rPr>
                <w:rFonts w:ascii="Times New Roman" w:eastAsia="Times New Roman" w:hAnsi="Times New Roman"/>
                <w:bCs/>
                <w:iCs/>
                <w:sz w:val="24"/>
                <w:szCs w:val="24"/>
                <w:lang w:eastAsia="lv-LV"/>
              </w:rPr>
              <w:t>Administratīvās atbildības likums.</w:t>
            </w:r>
          </w:p>
        </w:tc>
      </w:tr>
      <w:tr w:rsidR="00E5323B" w:rsidRPr="003D3060" w14:paraId="4C5120F5" w14:textId="77777777" w:rsidTr="00B844FA">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0F2"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2.</w:t>
            </w:r>
          </w:p>
        </w:tc>
        <w:tc>
          <w:tcPr>
            <w:tcW w:w="1665" w:type="pct"/>
            <w:tcBorders>
              <w:top w:val="outset" w:sz="6" w:space="0" w:color="auto"/>
              <w:left w:val="outset" w:sz="6" w:space="0" w:color="auto"/>
              <w:bottom w:val="outset" w:sz="6" w:space="0" w:color="auto"/>
              <w:right w:val="outset" w:sz="6" w:space="0" w:color="auto"/>
            </w:tcBorders>
            <w:hideMark/>
          </w:tcPr>
          <w:p w14:paraId="4C5120F3"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Atbildīgā institūcija</w:t>
            </w:r>
          </w:p>
        </w:tc>
        <w:tc>
          <w:tcPr>
            <w:tcW w:w="2976" w:type="pct"/>
            <w:tcBorders>
              <w:top w:val="outset" w:sz="6" w:space="0" w:color="auto"/>
              <w:left w:val="outset" w:sz="6" w:space="0" w:color="auto"/>
              <w:bottom w:val="outset" w:sz="6" w:space="0" w:color="auto"/>
              <w:right w:val="outset" w:sz="6" w:space="0" w:color="auto"/>
            </w:tcBorders>
            <w:hideMark/>
          </w:tcPr>
          <w:p w14:paraId="4C5120F4" w14:textId="77777777" w:rsidR="00E5323B" w:rsidRPr="003D3060" w:rsidRDefault="005838FC" w:rsidP="00DC546C">
            <w:pPr>
              <w:tabs>
                <w:tab w:val="left" w:pos="3390"/>
              </w:tabs>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Iekšlietu ministrija</w:t>
            </w:r>
            <w:r w:rsidR="00A944D8" w:rsidRPr="003D3060">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Nodrošinājuma valsts aģentūra.</w:t>
            </w:r>
            <w:r w:rsidR="00DC546C" w:rsidRPr="003D3060">
              <w:rPr>
                <w:rFonts w:ascii="Times New Roman" w:eastAsia="Times New Roman" w:hAnsi="Times New Roman"/>
                <w:iCs/>
                <w:sz w:val="24"/>
                <w:szCs w:val="24"/>
                <w:lang w:eastAsia="lv-LV"/>
              </w:rPr>
              <w:tab/>
            </w:r>
          </w:p>
        </w:tc>
      </w:tr>
      <w:tr w:rsidR="00E5323B" w:rsidRPr="003D3060" w14:paraId="4C5120F9" w14:textId="77777777" w:rsidTr="00B844FA">
        <w:trPr>
          <w:trHeight w:val="20"/>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0F6"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3.</w:t>
            </w:r>
          </w:p>
        </w:tc>
        <w:tc>
          <w:tcPr>
            <w:tcW w:w="1665" w:type="pct"/>
            <w:tcBorders>
              <w:top w:val="outset" w:sz="6" w:space="0" w:color="auto"/>
              <w:left w:val="outset" w:sz="6" w:space="0" w:color="auto"/>
              <w:bottom w:val="outset" w:sz="6" w:space="0" w:color="auto"/>
              <w:right w:val="outset" w:sz="6" w:space="0" w:color="auto"/>
            </w:tcBorders>
            <w:hideMark/>
          </w:tcPr>
          <w:p w14:paraId="4C5120F7"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Cita informācija</w:t>
            </w:r>
          </w:p>
        </w:tc>
        <w:tc>
          <w:tcPr>
            <w:tcW w:w="2976" w:type="pct"/>
            <w:tcBorders>
              <w:top w:val="outset" w:sz="6" w:space="0" w:color="auto"/>
              <w:left w:val="outset" w:sz="6" w:space="0" w:color="auto"/>
              <w:bottom w:val="outset" w:sz="6" w:space="0" w:color="auto"/>
              <w:right w:val="outset" w:sz="6" w:space="0" w:color="auto"/>
            </w:tcBorders>
            <w:hideMark/>
          </w:tcPr>
          <w:p w14:paraId="4C5120F8" w14:textId="77777777" w:rsidR="00E5323B" w:rsidRPr="003D3060" w:rsidRDefault="00A944D8"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Nav</w:t>
            </w:r>
          </w:p>
        </w:tc>
      </w:tr>
    </w:tbl>
    <w:p w14:paraId="4C5120FA"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 xml:space="preserve">  </w:t>
      </w:r>
    </w:p>
    <w:tbl>
      <w:tblPr>
        <w:tblW w:w="497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80"/>
      </w:tblGrid>
      <w:tr w:rsidR="00AB7D26" w:rsidRPr="00B773EC" w14:paraId="4C5120FC" w14:textId="77777777" w:rsidTr="00AB7D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120FB" w14:textId="77777777" w:rsidR="00AB7D26" w:rsidRPr="00B773EC" w:rsidRDefault="00AB7D26" w:rsidP="001C57A8">
            <w:pPr>
              <w:spacing w:after="0" w:line="240" w:lineRule="auto"/>
              <w:rPr>
                <w:rFonts w:ascii="Times New Roman" w:eastAsia="Times New Roman" w:hAnsi="Times New Roman"/>
                <w:b/>
                <w:bCs/>
                <w:iCs/>
                <w:sz w:val="24"/>
                <w:szCs w:val="24"/>
                <w:lang w:eastAsia="lv-LV"/>
              </w:rPr>
            </w:pPr>
            <w:r w:rsidRPr="00B773EC">
              <w:rPr>
                <w:rFonts w:ascii="Times New Roman" w:eastAsia="Times New Roman" w:hAnsi="Times New Roman"/>
                <w:b/>
                <w:bCs/>
                <w:iCs/>
                <w:sz w:val="24"/>
                <w:szCs w:val="24"/>
                <w:lang w:eastAsia="lv-LV"/>
              </w:rPr>
              <w:t>V. Tiesību akta projekta atbilstība Latvijas Republikas starptautiskajām saistībām</w:t>
            </w:r>
          </w:p>
        </w:tc>
      </w:tr>
      <w:tr w:rsidR="00AB7D26" w:rsidRPr="00B773EC" w14:paraId="4C5120FE" w14:textId="77777777" w:rsidTr="00AB7D26">
        <w:trPr>
          <w:trHeight w:val="213"/>
          <w:tblCellSpacing w:w="15" w:type="dxa"/>
        </w:trPr>
        <w:tc>
          <w:tcPr>
            <w:tcW w:w="4967" w:type="pct"/>
            <w:tcBorders>
              <w:top w:val="outset" w:sz="6" w:space="0" w:color="auto"/>
              <w:left w:val="outset" w:sz="6" w:space="0" w:color="auto"/>
              <w:right w:val="outset" w:sz="6" w:space="0" w:color="auto"/>
            </w:tcBorders>
            <w:hideMark/>
          </w:tcPr>
          <w:p w14:paraId="4C5120FD" w14:textId="77777777" w:rsidR="00AB7D26" w:rsidRPr="00B773EC" w:rsidRDefault="00AB7D26" w:rsidP="001C57A8">
            <w:pPr>
              <w:spacing w:after="0" w:line="240" w:lineRule="auto"/>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Projekts šo jomu neskar.</w:t>
            </w:r>
          </w:p>
        </w:tc>
      </w:tr>
    </w:tbl>
    <w:p w14:paraId="4C5120FF"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 xml:space="preserve">  </w:t>
      </w:r>
    </w:p>
    <w:p w14:paraId="4C512100"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5"/>
        <w:gridCol w:w="2038"/>
        <w:gridCol w:w="6658"/>
      </w:tblGrid>
      <w:tr w:rsidR="00AB7D26" w:rsidRPr="00B773EC" w14:paraId="4C512102" w14:textId="77777777" w:rsidTr="00EF4D2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4C512101" w14:textId="77777777" w:rsidR="00AB7D26" w:rsidRPr="00EF4D27" w:rsidRDefault="00AB7D26" w:rsidP="001C57A8">
            <w:pPr>
              <w:spacing w:after="0" w:line="240" w:lineRule="auto"/>
              <w:rPr>
                <w:rFonts w:ascii="Times New Roman" w:eastAsia="Times New Roman" w:hAnsi="Times New Roman"/>
                <w:b/>
                <w:bCs/>
                <w:iCs/>
                <w:sz w:val="24"/>
                <w:szCs w:val="24"/>
                <w:lang w:eastAsia="lv-LV"/>
              </w:rPr>
            </w:pPr>
            <w:r w:rsidRPr="00EF4D27">
              <w:rPr>
                <w:rFonts w:ascii="Times New Roman" w:eastAsia="Times New Roman" w:hAnsi="Times New Roman"/>
                <w:b/>
                <w:bCs/>
                <w:iCs/>
                <w:sz w:val="24"/>
                <w:szCs w:val="24"/>
                <w:lang w:eastAsia="lv-LV"/>
              </w:rPr>
              <w:t>VI. Sabiedrības līdzdalība un komunikācijas aktivitātes</w:t>
            </w:r>
          </w:p>
        </w:tc>
      </w:tr>
      <w:tr w:rsidR="00EF4D27" w:rsidRPr="00B773EC" w14:paraId="4C512104" w14:textId="77777777" w:rsidTr="00EF4D27">
        <w:trPr>
          <w:trHeight w:val="249"/>
          <w:tblCellSpacing w:w="15" w:type="dxa"/>
        </w:trPr>
        <w:tc>
          <w:tcPr>
            <w:tcW w:w="480" w:type="dxa"/>
            <w:tcBorders>
              <w:top w:val="outset" w:sz="6" w:space="0" w:color="auto"/>
              <w:left w:val="outset" w:sz="6" w:space="0" w:color="auto"/>
              <w:bottom w:val="outset" w:sz="6" w:space="0" w:color="auto"/>
              <w:right w:val="outset" w:sz="6" w:space="0" w:color="auto"/>
            </w:tcBorders>
            <w:hideMark/>
          </w:tcPr>
          <w:p w14:paraId="2F235B6A" w14:textId="0E4DC917" w:rsidR="00EF4D27" w:rsidRPr="00EF4D27" w:rsidRDefault="00EF4D27" w:rsidP="001C57A8">
            <w:pPr>
              <w:spacing w:after="0" w:line="240" w:lineRule="auto"/>
              <w:jc w:val="center"/>
              <w:rPr>
                <w:rFonts w:ascii="Times New Roman" w:eastAsia="Times New Roman" w:hAnsi="Times New Roman"/>
                <w:iCs/>
                <w:sz w:val="24"/>
                <w:szCs w:val="24"/>
                <w:lang w:eastAsia="lv-LV"/>
              </w:rPr>
            </w:pPr>
            <w:r w:rsidRPr="00EF4D27">
              <w:rPr>
                <w:rFonts w:ascii="Times New Roman" w:eastAsia="Times New Roman" w:hAnsi="Times New Roman"/>
                <w:iCs/>
                <w:sz w:val="24"/>
                <w:szCs w:val="24"/>
                <w:lang w:eastAsia="lv-LV"/>
              </w:rPr>
              <w:t>1.</w:t>
            </w:r>
          </w:p>
        </w:tc>
        <w:tc>
          <w:tcPr>
            <w:tcW w:w="2008" w:type="dxa"/>
            <w:tcBorders>
              <w:top w:val="outset" w:sz="6" w:space="0" w:color="auto"/>
              <w:left w:val="outset" w:sz="6" w:space="0" w:color="auto"/>
              <w:bottom w:val="outset" w:sz="6" w:space="0" w:color="auto"/>
              <w:right w:val="outset" w:sz="6" w:space="0" w:color="auto"/>
            </w:tcBorders>
          </w:tcPr>
          <w:p w14:paraId="7A76C80C" w14:textId="5CC2ED1D" w:rsidR="00EF4D27" w:rsidRPr="00EF4D27" w:rsidRDefault="00EF4D27" w:rsidP="00EF4D27">
            <w:pPr>
              <w:spacing w:after="0" w:line="240" w:lineRule="auto"/>
              <w:rPr>
                <w:rFonts w:ascii="Times New Roman" w:eastAsia="Times New Roman" w:hAnsi="Times New Roman"/>
                <w:iCs/>
                <w:sz w:val="24"/>
                <w:szCs w:val="24"/>
                <w:lang w:eastAsia="lv-LV"/>
              </w:rPr>
            </w:pPr>
            <w:r w:rsidRPr="00EF4D27">
              <w:rPr>
                <w:rFonts w:ascii="Times New Roman" w:hAnsi="Times New Roman"/>
                <w:sz w:val="24"/>
                <w:szCs w:val="24"/>
              </w:rPr>
              <w:t xml:space="preserve">Plānotās sabiedrības </w:t>
            </w:r>
            <w:r w:rsidRPr="00EF4D27">
              <w:rPr>
                <w:rFonts w:ascii="Times New Roman" w:hAnsi="Times New Roman"/>
                <w:sz w:val="24"/>
                <w:szCs w:val="24"/>
              </w:rPr>
              <w:lastRenderedPageBreak/>
              <w:t>līdzdalības un komunikācijas aktivitātes saistībā ar projektu</w:t>
            </w:r>
          </w:p>
        </w:tc>
        <w:tc>
          <w:tcPr>
            <w:tcW w:w="6613" w:type="dxa"/>
            <w:tcBorders>
              <w:top w:val="outset" w:sz="6" w:space="0" w:color="auto"/>
              <w:left w:val="outset" w:sz="6" w:space="0" w:color="auto"/>
              <w:bottom w:val="outset" w:sz="6" w:space="0" w:color="auto"/>
              <w:right w:val="outset" w:sz="6" w:space="0" w:color="auto"/>
            </w:tcBorders>
          </w:tcPr>
          <w:p w14:paraId="4C512103" w14:textId="5B183FB4" w:rsidR="00EF4D27" w:rsidRPr="00EF4D27" w:rsidRDefault="00EF4D27" w:rsidP="00EF4D27">
            <w:pPr>
              <w:spacing w:after="0" w:line="240" w:lineRule="auto"/>
              <w:jc w:val="both"/>
              <w:rPr>
                <w:rFonts w:ascii="Times New Roman" w:eastAsia="Times New Roman" w:hAnsi="Times New Roman"/>
                <w:iCs/>
                <w:sz w:val="24"/>
                <w:szCs w:val="24"/>
                <w:lang w:eastAsia="lv-LV"/>
              </w:rPr>
            </w:pPr>
            <w:r w:rsidRPr="00EF4D27">
              <w:rPr>
                <w:rFonts w:ascii="Times New Roman" w:hAnsi="Times New Roman"/>
                <w:sz w:val="24"/>
                <w:szCs w:val="24"/>
              </w:rPr>
              <w:lastRenderedPageBreak/>
              <w:t>Sabiedrības līdzdalība tik</w:t>
            </w:r>
            <w:r w:rsidR="006E5D1F">
              <w:rPr>
                <w:rFonts w:ascii="Times New Roman" w:hAnsi="Times New Roman"/>
                <w:sz w:val="24"/>
                <w:szCs w:val="24"/>
              </w:rPr>
              <w:t>s</w:t>
            </w:r>
            <w:r w:rsidRPr="00EF4D27">
              <w:rPr>
                <w:rFonts w:ascii="Times New Roman" w:hAnsi="Times New Roman"/>
                <w:sz w:val="24"/>
                <w:szCs w:val="24"/>
              </w:rPr>
              <w:t xml:space="preserve"> nodrošināta saskaņā ar Ministru kabineta 2009. gada 25. augusta noteikumiem Nr. 970 “Sabiedrības </w:t>
            </w:r>
            <w:r w:rsidRPr="00EF4D27">
              <w:rPr>
                <w:rFonts w:ascii="Times New Roman" w:hAnsi="Times New Roman"/>
                <w:sz w:val="24"/>
                <w:szCs w:val="24"/>
              </w:rPr>
              <w:lastRenderedPageBreak/>
              <w:t>līdzdalības kārtība attīstības plānošanas procesā”, sagatavojot un publicējot paziņojumu par līdzdalības procesu.</w:t>
            </w:r>
          </w:p>
        </w:tc>
      </w:tr>
      <w:tr w:rsidR="00EF4D27" w:rsidRPr="00B773EC" w14:paraId="2B56A35A" w14:textId="77777777" w:rsidTr="00EF4D27">
        <w:trPr>
          <w:trHeight w:val="249"/>
          <w:tblCellSpacing w:w="15" w:type="dxa"/>
        </w:trPr>
        <w:tc>
          <w:tcPr>
            <w:tcW w:w="480" w:type="dxa"/>
            <w:tcBorders>
              <w:top w:val="outset" w:sz="6" w:space="0" w:color="auto"/>
              <w:left w:val="outset" w:sz="6" w:space="0" w:color="auto"/>
              <w:bottom w:val="outset" w:sz="6" w:space="0" w:color="auto"/>
              <w:right w:val="outset" w:sz="6" w:space="0" w:color="auto"/>
            </w:tcBorders>
          </w:tcPr>
          <w:p w14:paraId="00E26760" w14:textId="769B84F6" w:rsidR="00EF4D27" w:rsidRPr="00EF4D27" w:rsidRDefault="00EF4D27" w:rsidP="001C57A8">
            <w:pPr>
              <w:spacing w:after="0" w:line="240" w:lineRule="auto"/>
              <w:jc w:val="center"/>
              <w:rPr>
                <w:rFonts w:ascii="Times New Roman" w:eastAsia="Times New Roman" w:hAnsi="Times New Roman"/>
                <w:iCs/>
                <w:sz w:val="24"/>
                <w:szCs w:val="24"/>
                <w:lang w:eastAsia="lv-LV"/>
              </w:rPr>
            </w:pPr>
            <w:r w:rsidRPr="00EF4D27">
              <w:rPr>
                <w:rFonts w:ascii="Times New Roman" w:eastAsia="Times New Roman" w:hAnsi="Times New Roman"/>
                <w:iCs/>
                <w:sz w:val="24"/>
                <w:szCs w:val="24"/>
                <w:lang w:eastAsia="lv-LV"/>
              </w:rPr>
              <w:lastRenderedPageBreak/>
              <w:t>2.</w:t>
            </w:r>
          </w:p>
        </w:tc>
        <w:tc>
          <w:tcPr>
            <w:tcW w:w="2008" w:type="dxa"/>
            <w:tcBorders>
              <w:top w:val="outset" w:sz="6" w:space="0" w:color="auto"/>
              <w:left w:val="outset" w:sz="6" w:space="0" w:color="auto"/>
              <w:bottom w:val="outset" w:sz="6" w:space="0" w:color="auto"/>
              <w:right w:val="outset" w:sz="6" w:space="0" w:color="auto"/>
            </w:tcBorders>
          </w:tcPr>
          <w:p w14:paraId="08A48075" w14:textId="4748C19C" w:rsidR="00EF4D27" w:rsidRPr="00EF4D27" w:rsidRDefault="00EF4D27" w:rsidP="00EF4D27">
            <w:pPr>
              <w:spacing w:after="0" w:line="240" w:lineRule="auto"/>
              <w:rPr>
                <w:rFonts w:ascii="Times New Roman" w:hAnsi="Times New Roman"/>
                <w:sz w:val="24"/>
                <w:szCs w:val="24"/>
              </w:rPr>
            </w:pPr>
            <w:r w:rsidRPr="00EF4D27">
              <w:rPr>
                <w:rFonts w:ascii="Times New Roman" w:hAnsi="Times New Roman"/>
                <w:sz w:val="24"/>
                <w:szCs w:val="24"/>
              </w:rPr>
              <w:t>Sabiedrības līdzdalība projekta izstrādē</w:t>
            </w:r>
          </w:p>
        </w:tc>
        <w:tc>
          <w:tcPr>
            <w:tcW w:w="6613" w:type="dxa"/>
            <w:tcBorders>
              <w:top w:val="outset" w:sz="6" w:space="0" w:color="auto"/>
              <w:left w:val="outset" w:sz="6" w:space="0" w:color="auto"/>
              <w:bottom w:val="outset" w:sz="6" w:space="0" w:color="auto"/>
              <w:right w:val="outset" w:sz="6" w:space="0" w:color="auto"/>
            </w:tcBorders>
          </w:tcPr>
          <w:p w14:paraId="2F1D605D" w14:textId="3702AF18" w:rsidR="00EF4D27" w:rsidRPr="00EF4D27" w:rsidRDefault="00EF4D27" w:rsidP="00EF4D27">
            <w:pPr>
              <w:spacing w:after="120" w:line="276" w:lineRule="auto"/>
              <w:jc w:val="both"/>
              <w:rPr>
                <w:rFonts w:ascii="Times New Roman" w:hAnsi="Times New Roman"/>
                <w:sz w:val="24"/>
                <w:szCs w:val="24"/>
              </w:rPr>
            </w:pPr>
            <w:r w:rsidRPr="00EF4D27">
              <w:rPr>
                <w:rFonts w:ascii="Times New Roman" w:hAnsi="Times New Roman"/>
                <w:sz w:val="24"/>
                <w:szCs w:val="24"/>
              </w:rPr>
              <w:t xml:space="preserve">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izstrādes stadijā, Ministru kabineta noteikumu projekts </w:t>
            </w:r>
            <w:r w:rsidR="006E5D1F">
              <w:rPr>
                <w:rFonts w:ascii="Times New Roman" w:hAnsi="Times New Roman"/>
                <w:sz w:val="24"/>
                <w:szCs w:val="24"/>
              </w:rPr>
              <w:t xml:space="preserve">tiks </w:t>
            </w:r>
            <w:r w:rsidRPr="00EF4D27">
              <w:rPr>
                <w:rFonts w:ascii="Times New Roman" w:hAnsi="Times New Roman"/>
                <w:sz w:val="24"/>
                <w:szCs w:val="24"/>
              </w:rPr>
              <w:t xml:space="preserve">ievietots Iekšlietu ministrijas </w:t>
            </w:r>
            <w:proofErr w:type="gramStart"/>
            <w:r w:rsidRPr="00EF4D27">
              <w:rPr>
                <w:rFonts w:ascii="Times New Roman" w:hAnsi="Times New Roman"/>
                <w:sz w:val="24"/>
                <w:szCs w:val="24"/>
              </w:rPr>
              <w:t>mājas lapā</w:t>
            </w:r>
            <w:proofErr w:type="gramEnd"/>
            <w:r w:rsidRPr="00EF4D27">
              <w:rPr>
                <w:rFonts w:ascii="Times New Roman" w:hAnsi="Times New Roman"/>
                <w:sz w:val="24"/>
                <w:szCs w:val="24"/>
              </w:rPr>
              <w:t xml:space="preserve"> sadaļā „Sabiedrības līdzdalība” apakšsadaļā ,,Diskusiju dokumenti”, tīmekļvietnes adrese: </w:t>
            </w:r>
          </w:p>
          <w:p w14:paraId="15069CE4" w14:textId="7D04033B" w:rsidR="00EF4D27" w:rsidRPr="00EF4D27" w:rsidRDefault="00EF4D27" w:rsidP="00EF4D27">
            <w:pPr>
              <w:spacing w:after="120" w:line="276" w:lineRule="auto"/>
              <w:jc w:val="both"/>
              <w:rPr>
                <w:rFonts w:ascii="Times New Roman" w:hAnsi="Times New Roman"/>
                <w:sz w:val="24"/>
                <w:szCs w:val="24"/>
              </w:rPr>
            </w:pPr>
            <w:r w:rsidRPr="00EF4D27">
              <w:rPr>
                <w:rFonts w:ascii="Times New Roman" w:hAnsi="Times New Roman"/>
                <w:sz w:val="24"/>
                <w:szCs w:val="24"/>
              </w:rPr>
              <w:t>http://www.iem.gov.lv/lat/sadarbiba_ar_nvo/diskusiju_dokumenti/.</w:t>
            </w:r>
          </w:p>
          <w:p w14:paraId="29E0ACEC" w14:textId="56C3B7D0" w:rsidR="00EF4D27" w:rsidRPr="00EF4D27" w:rsidRDefault="00EF4D27" w:rsidP="00EF4D27">
            <w:pPr>
              <w:spacing w:after="0" w:line="240" w:lineRule="auto"/>
              <w:jc w:val="both"/>
              <w:rPr>
                <w:rFonts w:ascii="Times New Roman" w:hAnsi="Times New Roman"/>
                <w:sz w:val="24"/>
                <w:szCs w:val="24"/>
              </w:rPr>
            </w:pPr>
            <w:r w:rsidRPr="00EF4D27">
              <w:rPr>
                <w:rFonts w:ascii="Times New Roman" w:hAnsi="Times New Roman"/>
                <w:sz w:val="24"/>
                <w:szCs w:val="24"/>
              </w:rPr>
              <w:t xml:space="preserve">Iekšlietu ministrija, izpildot Ministru kabineta </w:t>
            </w:r>
            <w:proofErr w:type="gramStart"/>
            <w:r w:rsidRPr="00EF4D27">
              <w:rPr>
                <w:rFonts w:ascii="Times New Roman" w:hAnsi="Times New Roman"/>
                <w:sz w:val="24"/>
                <w:szCs w:val="24"/>
              </w:rPr>
              <w:t>2009.gada</w:t>
            </w:r>
            <w:proofErr w:type="gramEnd"/>
            <w:r w:rsidRPr="00EF4D27">
              <w:rPr>
                <w:rFonts w:ascii="Times New Roman" w:hAnsi="Times New Roman"/>
                <w:sz w:val="24"/>
                <w:szCs w:val="24"/>
              </w:rPr>
              <w:t xml:space="preserve"> 25.augusta noteikumu Nr.970</w:t>
            </w:r>
            <w:r w:rsidR="00177C0A">
              <w:rPr>
                <w:rFonts w:ascii="Times New Roman" w:hAnsi="Times New Roman"/>
                <w:sz w:val="24"/>
                <w:szCs w:val="24"/>
              </w:rPr>
              <w:t xml:space="preserve"> </w:t>
            </w:r>
            <w:r w:rsidRPr="00EF4D27">
              <w:rPr>
                <w:rFonts w:ascii="Times New Roman" w:hAnsi="Times New Roman"/>
                <w:sz w:val="24"/>
                <w:szCs w:val="24"/>
              </w:rPr>
              <w:t>,,Sabiedrības līdzdalības kārtība</w:t>
            </w:r>
            <w:r w:rsidR="00177C0A">
              <w:rPr>
                <w:rFonts w:ascii="Times New Roman" w:hAnsi="Times New Roman"/>
                <w:sz w:val="24"/>
                <w:szCs w:val="24"/>
              </w:rPr>
              <w:t xml:space="preserve"> attīstības plānošanas procesā” </w:t>
            </w:r>
            <w:r w:rsidRPr="00EF4D27">
              <w:rPr>
                <w:rFonts w:ascii="Times New Roman" w:hAnsi="Times New Roman"/>
                <w:sz w:val="24"/>
                <w:szCs w:val="24"/>
              </w:rPr>
              <w:t>14.punktu, projektu nosūtī</w:t>
            </w:r>
            <w:r w:rsidR="00814E39">
              <w:rPr>
                <w:rFonts w:ascii="Times New Roman" w:hAnsi="Times New Roman"/>
                <w:sz w:val="24"/>
                <w:szCs w:val="24"/>
              </w:rPr>
              <w:t>s</w:t>
            </w:r>
            <w:r w:rsidRPr="00EF4D27">
              <w:rPr>
                <w:rFonts w:ascii="Times New Roman" w:hAnsi="Times New Roman"/>
                <w:sz w:val="24"/>
                <w:szCs w:val="24"/>
              </w:rPr>
              <w:t xml:space="preserve"> Valsts kancelejai.</w:t>
            </w:r>
          </w:p>
        </w:tc>
      </w:tr>
      <w:tr w:rsidR="00EF4D27" w:rsidRPr="00B773EC" w14:paraId="7149D86A" w14:textId="77777777" w:rsidTr="00EF4D27">
        <w:trPr>
          <w:trHeight w:val="249"/>
          <w:tblCellSpacing w:w="15" w:type="dxa"/>
        </w:trPr>
        <w:tc>
          <w:tcPr>
            <w:tcW w:w="480" w:type="dxa"/>
            <w:tcBorders>
              <w:top w:val="outset" w:sz="6" w:space="0" w:color="auto"/>
              <w:left w:val="outset" w:sz="6" w:space="0" w:color="auto"/>
              <w:bottom w:val="outset" w:sz="6" w:space="0" w:color="auto"/>
              <w:right w:val="outset" w:sz="6" w:space="0" w:color="auto"/>
            </w:tcBorders>
          </w:tcPr>
          <w:p w14:paraId="0FF0100A" w14:textId="5E48A26A" w:rsidR="00EF4D27" w:rsidRPr="00EF4D27" w:rsidRDefault="00EF4D27" w:rsidP="001C57A8">
            <w:pPr>
              <w:spacing w:after="0" w:line="240" w:lineRule="auto"/>
              <w:jc w:val="center"/>
              <w:rPr>
                <w:rFonts w:ascii="Times New Roman" w:eastAsia="Times New Roman" w:hAnsi="Times New Roman"/>
                <w:iCs/>
                <w:sz w:val="24"/>
                <w:szCs w:val="24"/>
                <w:lang w:eastAsia="lv-LV"/>
              </w:rPr>
            </w:pPr>
            <w:r w:rsidRPr="00EF4D27">
              <w:rPr>
                <w:rFonts w:ascii="Times New Roman" w:eastAsia="Times New Roman" w:hAnsi="Times New Roman"/>
                <w:iCs/>
                <w:sz w:val="24"/>
                <w:szCs w:val="24"/>
                <w:lang w:eastAsia="lv-LV"/>
              </w:rPr>
              <w:t>3.</w:t>
            </w:r>
          </w:p>
        </w:tc>
        <w:tc>
          <w:tcPr>
            <w:tcW w:w="2008" w:type="dxa"/>
            <w:tcBorders>
              <w:top w:val="outset" w:sz="6" w:space="0" w:color="auto"/>
              <w:left w:val="outset" w:sz="6" w:space="0" w:color="auto"/>
              <w:bottom w:val="outset" w:sz="6" w:space="0" w:color="auto"/>
              <w:right w:val="outset" w:sz="6" w:space="0" w:color="auto"/>
            </w:tcBorders>
          </w:tcPr>
          <w:p w14:paraId="07A3FE9E" w14:textId="09AD8B52" w:rsidR="00EF4D27" w:rsidRPr="00EF4D27" w:rsidRDefault="00EF4D27" w:rsidP="00EF4D27">
            <w:pPr>
              <w:spacing w:after="0" w:line="240" w:lineRule="auto"/>
              <w:rPr>
                <w:rFonts w:ascii="Times New Roman" w:hAnsi="Times New Roman"/>
                <w:sz w:val="24"/>
                <w:szCs w:val="24"/>
              </w:rPr>
            </w:pPr>
            <w:r w:rsidRPr="00EF4D27">
              <w:rPr>
                <w:rFonts w:ascii="Times New Roman" w:hAnsi="Times New Roman"/>
                <w:sz w:val="24"/>
                <w:szCs w:val="24"/>
              </w:rPr>
              <w:t>Sabiedrības līdzdalības rezultāti</w:t>
            </w:r>
          </w:p>
        </w:tc>
        <w:tc>
          <w:tcPr>
            <w:tcW w:w="6613" w:type="dxa"/>
            <w:tcBorders>
              <w:top w:val="outset" w:sz="6" w:space="0" w:color="auto"/>
              <w:left w:val="outset" w:sz="6" w:space="0" w:color="auto"/>
              <w:bottom w:val="outset" w:sz="6" w:space="0" w:color="auto"/>
              <w:right w:val="outset" w:sz="6" w:space="0" w:color="auto"/>
            </w:tcBorders>
          </w:tcPr>
          <w:p w14:paraId="396BA29B" w14:textId="5A7348F3" w:rsidR="00EF4D27" w:rsidRPr="00EF4D27" w:rsidRDefault="00EF4D27" w:rsidP="00EF4D27">
            <w:pPr>
              <w:spacing w:after="120" w:line="276" w:lineRule="auto"/>
              <w:jc w:val="both"/>
              <w:rPr>
                <w:rFonts w:ascii="Times New Roman" w:hAnsi="Times New Roman"/>
                <w:sz w:val="24"/>
                <w:szCs w:val="24"/>
              </w:rPr>
            </w:pPr>
            <w:r w:rsidRPr="00EF4D27">
              <w:rPr>
                <w:rFonts w:ascii="Times New Roman" w:hAnsi="Times New Roman"/>
                <w:sz w:val="24"/>
                <w:szCs w:val="24"/>
              </w:rPr>
              <w:t>Sabiedrības viedoklis par projektu nav saņemts.</w:t>
            </w:r>
          </w:p>
        </w:tc>
      </w:tr>
      <w:tr w:rsidR="00EF4D27" w:rsidRPr="00B773EC" w14:paraId="220B0316" w14:textId="77777777" w:rsidTr="00EF4D27">
        <w:trPr>
          <w:trHeight w:val="249"/>
          <w:tblCellSpacing w:w="15" w:type="dxa"/>
        </w:trPr>
        <w:tc>
          <w:tcPr>
            <w:tcW w:w="480" w:type="dxa"/>
            <w:tcBorders>
              <w:top w:val="outset" w:sz="6" w:space="0" w:color="auto"/>
              <w:left w:val="outset" w:sz="6" w:space="0" w:color="auto"/>
              <w:right w:val="outset" w:sz="6" w:space="0" w:color="auto"/>
            </w:tcBorders>
          </w:tcPr>
          <w:p w14:paraId="01796CBE" w14:textId="6D845323" w:rsidR="00EF4D27" w:rsidRPr="00EF4D27" w:rsidRDefault="00EF4D27" w:rsidP="001C57A8">
            <w:pPr>
              <w:spacing w:after="0" w:line="240" w:lineRule="auto"/>
              <w:jc w:val="center"/>
              <w:rPr>
                <w:rFonts w:ascii="Times New Roman" w:eastAsia="Times New Roman" w:hAnsi="Times New Roman"/>
                <w:iCs/>
                <w:sz w:val="24"/>
                <w:szCs w:val="24"/>
                <w:lang w:eastAsia="lv-LV"/>
              </w:rPr>
            </w:pPr>
            <w:r w:rsidRPr="00EF4D27">
              <w:rPr>
                <w:rFonts w:ascii="Times New Roman" w:eastAsia="Times New Roman" w:hAnsi="Times New Roman"/>
                <w:iCs/>
                <w:sz w:val="24"/>
                <w:szCs w:val="24"/>
                <w:lang w:eastAsia="lv-LV"/>
              </w:rPr>
              <w:t>4.</w:t>
            </w:r>
          </w:p>
        </w:tc>
        <w:tc>
          <w:tcPr>
            <w:tcW w:w="2008" w:type="dxa"/>
            <w:tcBorders>
              <w:top w:val="outset" w:sz="6" w:space="0" w:color="auto"/>
              <w:left w:val="outset" w:sz="6" w:space="0" w:color="auto"/>
              <w:right w:val="outset" w:sz="6" w:space="0" w:color="auto"/>
            </w:tcBorders>
          </w:tcPr>
          <w:p w14:paraId="2A4D7610" w14:textId="7442ECAE" w:rsidR="00EF4D27" w:rsidRPr="00EF4D27" w:rsidRDefault="00EF4D27" w:rsidP="00EF4D27">
            <w:pPr>
              <w:spacing w:after="0" w:line="240" w:lineRule="auto"/>
              <w:rPr>
                <w:rFonts w:ascii="Times New Roman" w:hAnsi="Times New Roman"/>
                <w:sz w:val="24"/>
                <w:szCs w:val="24"/>
              </w:rPr>
            </w:pPr>
            <w:r w:rsidRPr="00EF4D27">
              <w:rPr>
                <w:rFonts w:ascii="Times New Roman" w:hAnsi="Times New Roman"/>
                <w:sz w:val="24"/>
                <w:szCs w:val="24"/>
              </w:rPr>
              <w:t>Cita informācija</w:t>
            </w:r>
          </w:p>
        </w:tc>
        <w:tc>
          <w:tcPr>
            <w:tcW w:w="6613" w:type="dxa"/>
            <w:tcBorders>
              <w:top w:val="outset" w:sz="6" w:space="0" w:color="auto"/>
              <w:left w:val="outset" w:sz="6" w:space="0" w:color="auto"/>
              <w:right w:val="outset" w:sz="6" w:space="0" w:color="auto"/>
            </w:tcBorders>
          </w:tcPr>
          <w:p w14:paraId="78B710C3" w14:textId="59B266F2" w:rsidR="00EF4D27" w:rsidRPr="00EF4D27" w:rsidRDefault="00EF4D27" w:rsidP="00EF4D27">
            <w:pPr>
              <w:spacing w:after="120" w:line="276" w:lineRule="auto"/>
              <w:jc w:val="both"/>
              <w:rPr>
                <w:rFonts w:ascii="Times New Roman" w:hAnsi="Times New Roman"/>
                <w:sz w:val="24"/>
                <w:szCs w:val="24"/>
              </w:rPr>
            </w:pPr>
            <w:r w:rsidRPr="00EF4D27">
              <w:rPr>
                <w:rFonts w:ascii="Times New Roman" w:hAnsi="Times New Roman"/>
                <w:sz w:val="24"/>
                <w:szCs w:val="24"/>
              </w:rPr>
              <w:t>Nav.</w:t>
            </w:r>
          </w:p>
        </w:tc>
      </w:tr>
    </w:tbl>
    <w:p w14:paraId="4C512105" w14:textId="67AF5278" w:rsidR="00E5323B" w:rsidRPr="003D3060" w:rsidRDefault="00E5323B" w:rsidP="00E5323B">
      <w:pPr>
        <w:spacing w:after="0" w:line="240" w:lineRule="auto"/>
        <w:rPr>
          <w:rFonts w:ascii="Times New Roman" w:eastAsia="Times New Roman" w:hAnsi="Times New Roman"/>
          <w:iCs/>
          <w:sz w:val="24"/>
          <w:szCs w:val="24"/>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84"/>
        <w:gridCol w:w="5564"/>
      </w:tblGrid>
      <w:tr w:rsidR="00E5323B" w:rsidRPr="003D3060" w14:paraId="4C512107" w14:textId="77777777" w:rsidTr="00B844F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C512106" w14:textId="77777777" w:rsidR="00655F2C" w:rsidRPr="003D3060" w:rsidRDefault="00E5323B" w:rsidP="00E5323B">
            <w:pPr>
              <w:spacing w:after="0" w:line="240" w:lineRule="auto"/>
              <w:rPr>
                <w:rFonts w:ascii="Times New Roman" w:eastAsia="Times New Roman" w:hAnsi="Times New Roman"/>
                <w:b/>
                <w:bCs/>
                <w:iCs/>
                <w:sz w:val="24"/>
                <w:szCs w:val="24"/>
                <w:lang w:eastAsia="lv-LV"/>
              </w:rPr>
            </w:pPr>
            <w:r w:rsidRPr="003D3060">
              <w:rPr>
                <w:rFonts w:ascii="Times New Roman" w:eastAsia="Times New Roman" w:hAnsi="Times New Roman"/>
                <w:b/>
                <w:bCs/>
                <w:iCs/>
                <w:sz w:val="24"/>
                <w:szCs w:val="24"/>
                <w:lang w:eastAsia="lv-LV"/>
              </w:rPr>
              <w:t>VII. Tiesību akta projekta izpildes nodrošināšana un tās ietekme uz institūcijām</w:t>
            </w:r>
          </w:p>
        </w:tc>
      </w:tr>
      <w:tr w:rsidR="00E5323B" w:rsidRPr="003D3060" w14:paraId="4C51210B" w14:textId="77777777" w:rsidTr="00B844FA">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108"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1.</w:t>
            </w:r>
          </w:p>
        </w:tc>
        <w:tc>
          <w:tcPr>
            <w:tcW w:w="1665" w:type="pct"/>
            <w:tcBorders>
              <w:top w:val="outset" w:sz="6" w:space="0" w:color="auto"/>
              <w:left w:val="outset" w:sz="6" w:space="0" w:color="auto"/>
              <w:bottom w:val="outset" w:sz="6" w:space="0" w:color="auto"/>
              <w:right w:val="outset" w:sz="6" w:space="0" w:color="auto"/>
            </w:tcBorders>
            <w:hideMark/>
          </w:tcPr>
          <w:p w14:paraId="4C512109"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Projekta izpildē iesaistītās institūcijas</w:t>
            </w:r>
          </w:p>
        </w:tc>
        <w:tc>
          <w:tcPr>
            <w:tcW w:w="2976" w:type="pct"/>
            <w:tcBorders>
              <w:top w:val="outset" w:sz="6" w:space="0" w:color="auto"/>
              <w:left w:val="outset" w:sz="6" w:space="0" w:color="auto"/>
              <w:bottom w:val="outset" w:sz="6" w:space="0" w:color="auto"/>
              <w:right w:val="outset" w:sz="6" w:space="0" w:color="auto"/>
            </w:tcBorders>
            <w:hideMark/>
          </w:tcPr>
          <w:p w14:paraId="4C51210A" w14:textId="77777777" w:rsidR="00090D33" w:rsidRPr="003D3060" w:rsidRDefault="00AB7D26"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sz w:val="24"/>
                <w:szCs w:val="24"/>
                <w:lang w:eastAsia="lv-LV"/>
              </w:rPr>
              <w:t>Nodrošinājuma valsts aģentūra.</w:t>
            </w:r>
          </w:p>
        </w:tc>
      </w:tr>
      <w:tr w:rsidR="00E5323B" w:rsidRPr="003D3060" w14:paraId="4C51210F" w14:textId="77777777" w:rsidTr="00B844FA">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10C"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2.</w:t>
            </w:r>
          </w:p>
        </w:tc>
        <w:tc>
          <w:tcPr>
            <w:tcW w:w="1665" w:type="pct"/>
            <w:tcBorders>
              <w:top w:val="outset" w:sz="6" w:space="0" w:color="auto"/>
              <w:left w:val="outset" w:sz="6" w:space="0" w:color="auto"/>
              <w:bottom w:val="outset" w:sz="6" w:space="0" w:color="auto"/>
              <w:right w:val="outset" w:sz="6" w:space="0" w:color="auto"/>
            </w:tcBorders>
            <w:hideMark/>
          </w:tcPr>
          <w:p w14:paraId="4C51210D"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Projekta izpildes ietekme uz pārvaldes funkcijām un institucionālo struktūru.</w:t>
            </w:r>
            <w:r w:rsidRPr="003D3060">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2976" w:type="pct"/>
            <w:tcBorders>
              <w:top w:val="outset" w:sz="6" w:space="0" w:color="auto"/>
              <w:left w:val="outset" w:sz="6" w:space="0" w:color="auto"/>
              <w:bottom w:val="outset" w:sz="6" w:space="0" w:color="auto"/>
              <w:right w:val="outset" w:sz="6" w:space="0" w:color="auto"/>
            </w:tcBorders>
            <w:hideMark/>
          </w:tcPr>
          <w:p w14:paraId="4C51210E" w14:textId="77777777" w:rsidR="009A79AA" w:rsidRPr="003D3060" w:rsidRDefault="00AB7D26" w:rsidP="00AB7D26">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r w:rsidR="00EE0BA1" w:rsidRPr="003D3060">
              <w:rPr>
                <w:rFonts w:ascii="Times New Roman" w:eastAsia="Times New Roman" w:hAnsi="Times New Roman"/>
                <w:iCs/>
                <w:sz w:val="24"/>
                <w:szCs w:val="24"/>
                <w:lang w:eastAsia="lv-LV"/>
              </w:rPr>
              <w:t xml:space="preserve"> </w:t>
            </w:r>
          </w:p>
        </w:tc>
      </w:tr>
      <w:tr w:rsidR="00E5323B" w:rsidRPr="003D3060" w14:paraId="4C512113" w14:textId="77777777" w:rsidTr="00B844FA">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4C512110" w14:textId="77777777" w:rsidR="00655F2C"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3.</w:t>
            </w:r>
          </w:p>
        </w:tc>
        <w:tc>
          <w:tcPr>
            <w:tcW w:w="1665" w:type="pct"/>
            <w:tcBorders>
              <w:top w:val="outset" w:sz="6" w:space="0" w:color="auto"/>
              <w:left w:val="outset" w:sz="6" w:space="0" w:color="auto"/>
              <w:bottom w:val="outset" w:sz="6" w:space="0" w:color="auto"/>
              <w:right w:val="outset" w:sz="6" w:space="0" w:color="auto"/>
            </w:tcBorders>
            <w:hideMark/>
          </w:tcPr>
          <w:p w14:paraId="4C512111" w14:textId="77777777" w:rsidR="00E5323B" w:rsidRPr="003D3060" w:rsidRDefault="00E5323B"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iCs/>
                <w:sz w:val="24"/>
                <w:szCs w:val="24"/>
                <w:lang w:eastAsia="lv-LV"/>
              </w:rPr>
              <w:t>Cita informācija</w:t>
            </w:r>
          </w:p>
        </w:tc>
        <w:tc>
          <w:tcPr>
            <w:tcW w:w="2976" w:type="pct"/>
            <w:tcBorders>
              <w:top w:val="outset" w:sz="6" w:space="0" w:color="auto"/>
              <w:left w:val="outset" w:sz="6" w:space="0" w:color="auto"/>
              <w:bottom w:val="outset" w:sz="6" w:space="0" w:color="auto"/>
              <w:right w:val="outset" w:sz="6" w:space="0" w:color="auto"/>
            </w:tcBorders>
            <w:hideMark/>
          </w:tcPr>
          <w:p w14:paraId="4C512112" w14:textId="77777777" w:rsidR="002C2462" w:rsidRPr="003D3060" w:rsidRDefault="002C2462" w:rsidP="00E5323B">
            <w:pPr>
              <w:spacing w:after="0" w:line="240" w:lineRule="auto"/>
              <w:rPr>
                <w:rFonts w:ascii="Times New Roman" w:eastAsia="Times New Roman" w:hAnsi="Times New Roman"/>
                <w:iCs/>
                <w:sz w:val="24"/>
                <w:szCs w:val="24"/>
                <w:lang w:eastAsia="lv-LV"/>
              </w:rPr>
            </w:pPr>
            <w:r w:rsidRPr="003D3060">
              <w:rPr>
                <w:rFonts w:ascii="Times New Roman" w:eastAsia="Times New Roman" w:hAnsi="Times New Roman"/>
                <w:sz w:val="24"/>
                <w:szCs w:val="24"/>
                <w:lang w:eastAsia="lv-LV"/>
              </w:rPr>
              <w:t>Nav</w:t>
            </w:r>
          </w:p>
        </w:tc>
      </w:tr>
    </w:tbl>
    <w:p w14:paraId="4C512114" w14:textId="77777777" w:rsidR="00E5323B" w:rsidRPr="003D3060" w:rsidRDefault="00E5323B" w:rsidP="00894C55">
      <w:pPr>
        <w:spacing w:after="0" w:line="240" w:lineRule="auto"/>
        <w:rPr>
          <w:rFonts w:ascii="Times New Roman" w:hAnsi="Times New Roman"/>
          <w:sz w:val="28"/>
          <w:szCs w:val="28"/>
        </w:rPr>
      </w:pPr>
    </w:p>
    <w:p w14:paraId="4C512115" w14:textId="77777777" w:rsidR="00B9323B" w:rsidRDefault="00B9323B" w:rsidP="00B9323B">
      <w:pPr>
        <w:tabs>
          <w:tab w:val="left" w:pos="6237"/>
        </w:tabs>
        <w:spacing w:after="0" w:line="240" w:lineRule="auto"/>
        <w:ind w:firstLine="720"/>
        <w:rPr>
          <w:rFonts w:ascii="Times New Roman" w:hAnsi="Times New Roman"/>
          <w:sz w:val="28"/>
          <w:szCs w:val="28"/>
        </w:rPr>
      </w:pPr>
    </w:p>
    <w:p w14:paraId="4C512116" w14:textId="77777777" w:rsidR="00B9323B" w:rsidRDefault="00B9323B" w:rsidP="00B9323B">
      <w:pPr>
        <w:tabs>
          <w:tab w:val="left" w:pos="6237"/>
        </w:tabs>
        <w:spacing w:after="0" w:line="240" w:lineRule="auto"/>
        <w:ind w:firstLine="720"/>
        <w:rPr>
          <w:rFonts w:ascii="Times New Roman" w:hAnsi="Times New Roman"/>
          <w:sz w:val="28"/>
          <w:szCs w:val="28"/>
        </w:rPr>
      </w:pPr>
      <w:r>
        <w:rPr>
          <w:rFonts w:ascii="Times New Roman" w:hAnsi="Times New Roman"/>
          <w:sz w:val="28"/>
          <w:szCs w:val="28"/>
        </w:rPr>
        <w:t>Iekšlietu</w:t>
      </w:r>
      <w:r w:rsidRPr="00B773EC">
        <w:rPr>
          <w:rFonts w:ascii="Times New Roman" w:hAnsi="Times New Roman"/>
          <w:sz w:val="28"/>
          <w:szCs w:val="28"/>
        </w:rPr>
        <w:t xml:space="preserve"> ministrs</w:t>
      </w:r>
      <w:r w:rsidRPr="00B773EC">
        <w:rPr>
          <w:rFonts w:ascii="Times New Roman" w:hAnsi="Times New Roman"/>
          <w:sz w:val="28"/>
          <w:szCs w:val="28"/>
        </w:rPr>
        <w:tab/>
      </w:r>
      <w:r>
        <w:rPr>
          <w:rFonts w:ascii="Times New Roman" w:hAnsi="Times New Roman"/>
          <w:sz w:val="28"/>
          <w:szCs w:val="28"/>
        </w:rPr>
        <w:t xml:space="preserve">Sandis </w:t>
      </w:r>
      <w:proofErr w:type="spellStart"/>
      <w:r>
        <w:rPr>
          <w:rFonts w:ascii="Times New Roman" w:hAnsi="Times New Roman"/>
          <w:sz w:val="28"/>
          <w:szCs w:val="28"/>
        </w:rPr>
        <w:t>Ģirģens</w:t>
      </w:r>
      <w:proofErr w:type="spellEnd"/>
    </w:p>
    <w:p w14:paraId="4C512117" w14:textId="77777777" w:rsidR="00B9323B" w:rsidRPr="00F82089" w:rsidRDefault="00B9323B" w:rsidP="00B9323B">
      <w:pPr>
        <w:tabs>
          <w:tab w:val="left" w:pos="6237"/>
        </w:tabs>
        <w:spacing w:after="0" w:line="240" w:lineRule="auto"/>
        <w:rPr>
          <w:rFonts w:ascii="Times New Roman" w:hAnsi="Times New Roman"/>
          <w:sz w:val="24"/>
          <w:szCs w:val="24"/>
        </w:rPr>
      </w:pPr>
    </w:p>
    <w:p w14:paraId="4C512118" w14:textId="77777777" w:rsidR="00B9323B" w:rsidRPr="00F82089" w:rsidRDefault="00B9323B" w:rsidP="00B9323B">
      <w:pPr>
        <w:tabs>
          <w:tab w:val="left" w:pos="6237"/>
        </w:tabs>
        <w:spacing w:after="0" w:line="240" w:lineRule="auto"/>
        <w:rPr>
          <w:rFonts w:ascii="Times New Roman" w:hAnsi="Times New Roman"/>
          <w:sz w:val="24"/>
          <w:szCs w:val="24"/>
        </w:rPr>
      </w:pPr>
    </w:p>
    <w:p w14:paraId="4C512119" w14:textId="77777777" w:rsidR="00AA5177" w:rsidRDefault="00B9323B" w:rsidP="00B9323B">
      <w:pPr>
        <w:tabs>
          <w:tab w:val="left" w:pos="6237"/>
        </w:tabs>
        <w:spacing w:after="0" w:line="240" w:lineRule="auto"/>
        <w:ind w:firstLine="720"/>
        <w:rPr>
          <w:rFonts w:ascii="Times New Roman" w:hAnsi="Times New Roman"/>
          <w:sz w:val="28"/>
          <w:szCs w:val="28"/>
        </w:rPr>
      </w:pPr>
      <w:r>
        <w:rPr>
          <w:rFonts w:ascii="Times New Roman" w:hAnsi="Times New Roman"/>
          <w:sz w:val="28"/>
          <w:szCs w:val="28"/>
        </w:rPr>
        <w:t>Vīza: valsts sekretārs</w:t>
      </w:r>
      <w:r>
        <w:rPr>
          <w:rFonts w:ascii="Times New Roman" w:hAnsi="Times New Roman"/>
          <w:sz w:val="28"/>
          <w:szCs w:val="28"/>
        </w:rPr>
        <w:tab/>
      </w:r>
      <w:proofErr w:type="spellStart"/>
      <w:r>
        <w:rPr>
          <w:rFonts w:ascii="Times New Roman" w:hAnsi="Times New Roman"/>
          <w:sz w:val="28"/>
          <w:szCs w:val="28"/>
        </w:rPr>
        <w:t>Dimitrijs</w:t>
      </w:r>
      <w:proofErr w:type="spellEnd"/>
      <w:r>
        <w:rPr>
          <w:rFonts w:ascii="Times New Roman" w:hAnsi="Times New Roman"/>
          <w:sz w:val="28"/>
          <w:szCs w:val="28"/>
        </w:rPr>
        <w:t xml:space="preserve"> </w:t>
      </w:r>
      <w:proofErr w:type="spellStart"/>
      <w:r>
        <w:rPr>
          <w:rFonts w:ascii="Times New Roman" w:hAnsi="Times New Roman"/>
          <w:sz w:val="28"/>
          <w:szCs w:val="28"/>
        </w:rPr>
        <w:t>Trofimovs</w:t>
      </w:r>
      <w:proofErr w:type="spellEnd"/>
    </w:p>
    <w:p w14:paraId="4C51211A" w14:textId="77777777" w:rsidR="00AA5177" w:rsidRDefault="00AA5177" w:rsidP="00130BBD">
      <w:pPr>
        <w:tabs>
          <w:tab w:val="left" w:pos="6237"/>
        </w:tabs>
        <w:spacing w:after="0" w:line="240" w:lineRule="auto"/>
        <w:rPr>
          <w:rFonts w:ascii="Times New Roman" w:hAnsi="Times New Roman"/>
          <w:sz w:val="28"/>
          <w:szCs w:val="28"/>
        </w:rPr>
      </w:pPr>
    </w:p>
    <w:p w14:paraId="4C51211F" w14:textId="7E322083" w:rsidR="00AA5177" w:rsidRDefault="00AA5177" w:rsidP="00130BBD">
      <w:pPr>
        <w:tabs>
          <w:tab w:val="left" w:pos="6237"/>
        </w:tabs>
        <w:spacing w:after="0" w:line="240" w:lineRule="auto"/>
        <w:rPr>
          <w:rFonts w:ascii="Times New Roman" w:hAnsi="Times New Roman"/>
          <w:sz w:val="28"/>
          <w:szCs w:val="28"/>
        </w:rPr>
      </w:pPr>
    </w:p>
    <w:p w14:paraId="4C512120" w14:textId="14812953" w:rsidR="00B9323B" w:rsidRDefault="00B9323B" w:rsidP="00B9323B">
      <w:pPr>
        <w:tabs>
          <w:tab w:val="left" w:pos="6237"/>
        </w:tabs>
        <w:spacing w:after="0" w:line="240" w:lineRule="auto"/>
        <w:rPr>
          <w:rFonts w:ascii="Times New Roman" w:hAnsi="Times New Roman"/>
          <w:sz w:val="20"/>
          <w:szCs w:val="20"/>
        </w:rPr>
      </w:pPr>
      <w:proofErr w:type="spellStart"/>
      <w:r>
        <w:rPr>
          <w:rFonts w:ascii="Times New Roman" w:hAnsi="Times New Roman"/>
          <w:sz w:val="20"/>
          <w:szCs w:val="20"/>
        </w:rPr>
        <w:t>Mālijs</w:t>
      </w:r>
      <w:proofErr w:type="spellEnd"/>
      <w:r w:rsidR="00063DD7">
        <w:rPr>
          <w:rFonts w:ascii="Times New Roman" w:hAnsi="Times New Roman"/>
          <w:sz w:val="20"/>
          <w:szCs w:val="20"/>
        </w:rPr>
        <w:t>,</w:t>
      </w:r>
      <w:r w:rsidRPr="003D3060">
        <w:rPr>
          <w:rFonts w:ascii="Times New Roman" w:hAnsi="Times New Roman"/>
          <w:sz w:val="20"/>
          <w:szCs w:val="20"/>
        </w:rPr>
        <w:t xml:space="preserve"> </w:t>
      </w:r>
      <w:r w:rsidR="00063DD7" w:rsidRPr="00063DD7">
        <w:rPr>
          <w:rFonts w:ascii="Times New Roman" w:hAnsi="Times New Roman"/>
          <w:sz w:val="20"/>
          <w:szCs w:val="20"/>
        </w:rPr>
        <w:t>67218654</w:t>
      </w:r>
    </w:p>
    <w:p w14:paraId="4C512121" w14:textId="77777777" w:rsidR="00B9323B" w:rsidRDefault="003F61AC" w:rsidP="00B9323B">
      <w:pPr>
        <w:tabs>
          <w:tab w:val="left" w:pos="6237"/>
        </w:tabs>
        <w:spacing w:after="0" w:line="240" w:lineRule="auto"/>
        <w:rPr>
          <w:rFonts w:ascii="Times New Roman" w:hAnsi="Times New Roman"/>
          <w:sz w:val="20"/>
          <w:szCs w:val="20"/>
        </w:rPr>
      </w:pPr>
      <w:hyperlink r:id="rId8" w:history="1">
        <w:r w:rsidR="00B9323B" w:rsidRPr="00CD40A8">
          <w:rPr>
            <w:rStyle w:val="Hyperlink"/>
            <w:rFonts w:ascii="Times New Roman" w:hAnsi="Times New Roman"/>
            <w:sz w:val="20"/>
            <w:szCs w:val="20"/>
          </w:rPr>
          <w:t>Raivis.Malijs@agentura.iem.gov.lv</w:t>
        </w:r>
      </w:hyperlink>
      <w:r w:rsidR="00B9323B">
        <w:rPr>
          <w:rFonts w:ascii="Times New Roman" w:hAnsi="Times New Roman"/>
          <w:sz w:val="20"/>
          <w:szCs w:val="20"/>
        </w:rPr>
        <w:t xml:space="preserve"> </w:t>
      </w:r>
    </w:p>
    <w:p w14:paraId="4C512122" w14:textId="7A373E4A" w:rsidR="009E00E6" w:rsidRDefault="009E00E6" w:rsidP="00B9323B">
      <w:pPr>
        <w:tabs>
          <w:tab w:val="left" w:pos="6237"/>
        </w:tabs>
        <w:spacing w:after="0" w:line="240" w:lineRule="auto"/>
        <w:rPr>
          <w:rFonts w:ascii="Times New Roman" w:hAnsi="Times New Roman"/>
          <w:sz w:val="20"/>
          <w:szCs w:val="20"/>
        </w:rPr>
      </w:pPr>
      <w:r>
        <w:rPr>
          <w:rFonts w:ascii="Times New Roman" w:hAnsi="Times New Roman"/>
          <w:sz w:val="20"/>
          <w:szCs w:val="20"/>
        </w:rPr>
        <w:t>Avotiņš</w:t>
      </w:r>
      <w:r w:rsidR="00063DD7">
        <w:rPr>
          <w:rFonts w:ascii="Times New Roman" w:hAnsi="Times New Roman"/>
          <w:sz w:val="20"/>
          <w:szCs w:val="20"/>
        </w:rPr>
        <w:t>,</w:t>
      </w:r>
      <w:r>
        <w:rPr>
          <w:rFonts w:ascii="Times New Roman" w:hAnsi="Times New Roman"/>
          <w:sz w:val="20"/>
          <w:szCs w:val="20"/>
        </w:rPr>
        <w:t xml:space="preserve"> 67219136</w:t>
      </w:r>
    </w:p>
    <w:p w14:paraId="4C512123" w14:textId="77777777" w:rsidR="00AA5177" w:rsidRPr="009E00E6" w:rsidRDefault="009E00E6" w:rsidP="00130BBD">
      <w:pPr>
        <w:tabs>
          <w:tab w:val="left" w:pos="6237"/>
        </w:tabs>
        <w:spacing w:after="0" w:line="240" w:lineRule="auto"/>
        <w:rPr>
          <w:rFonts w:ascii="Times New Roman" w:hAnsi="Times New Roman"/>
          <w:sz w:val="20"/>
          <w:szCs w:val="20"/>
        </w:rPr>
      </w:pPr>
      <w:r w:rsidRPr="009E00E6">
        <w:rPr>
          <w:rStyle w:val="Hyperlink"/>
          <w:rFonts w:ascii="Times New Roman" w:hAnsi="Times New Roman"/>
          <w:sz w:val="20"/>
          <w:szCs w:val="20"/>
        </w:rPr>
        <w:t>Gatis.Avotins@agentura.iem.gov.lv</w:t>
      </w:r>
    </w:p>
    <w:sectPr w:rsidR="00AA5177" w:rsidRPr="009E00E6"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9FD65" w14:textId="77777777" w:rsidR="003F61AC" w:rsidRDefault="003F61AC" w:rsidP="00894C55">
      <w:pPr>
        <w:spacing w:after="0" w:line="240" w:lineRule="auto"/>
      </w:pPr>
      <w:r>
        <w:separator/>
      </w:r>
    </w:p>
  </w:endnote>
  <w:endnote w:type="continuationSeparator" w:id="0">
    <w:p w14:paraId="06FBE594" w14:textId="77777777" w:rsidR="003F61AC" w:rsidRDefault="003F61A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12A" w14:textId="6897ADF8" w:rsidR="00D34D6D" w:rsidRPr="00C37758" w:rsidRDefault="00C37758" w:rsidP="00B42434">
    <w:pPr>
      <w:pStyle w:val="Foo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Pr>
        <w:rFonts w:ascii="Times New Roman" w:hAnsi="Times New Roman"/>
        <w:noProof/>
        <w:sz w:val="20"/>
        <w:szCs w:val="20"/>
      </w:rPr>
      <w:t>IEMAnot_160719_AAL</w:t>
    </w:r>
    <w:r>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12B" w14:textId="4AA19E81" w:rsidR="00D34D6D" w:rsidRPr="009A2654" w:rsidRDefault="00D34D6D">
    <w:pPr>
      <w:pStyle w:val="Foo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C37758">
      <w:rPr>
        <w:rFonts w:ascii="Times New Roman" w:hAnsi="Times New Roman"/>
        <w:noProof/>
        <w:sz w:val="20"/>
        <w:szCs w:val="20"/>
      </w:rPr>
      <w:t>IEMAnot_160719_AAL</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4756" w14:textId="77777777" w:rsidR="003F61AC" w:rsidRDefault="003F61AC" w:rsidP="00894C55">
      <w:pPr>
        <w:spacing w:after="0" w:line="240" w:lineRule="auto"/>
      </w:pPr>
      <w:r>
        <w:separator/>
      </w:r>
    </w:p>
  </w:footnote>
  <w:footnote w:type="continuationSeparator" w:id="0">
    <w:p w14:paraId="1D9D52D5" w14:textId="77777777" w:rsidR="003F61AC" w:rsidRDefault="003F61AC"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128" w14:textId="68F511D7" w:rsidR="00D34D6D" w:rsidRPr="00C25B49" w:rsidRDefault="00D34D6D">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564BBA">
      <w:rPr>
        <w:rFonts w:ascii="Times New Roman" w:hAnsi="Times New Roman"/>
        <w:noProof/>
        <w:sz w:val="24"/>
        <w:szCs w:val="20"/>
      </w:rPr>
      <w:t>5</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705B"/>
    <w:multiLevelType w:val="hybridMultilevel"/>
    <w:tmpl w:val="F392B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243526"/>
    <w:multiLevelType w:val="hybridMultilevel"/>
    <w:tmpl w:val="4C46B2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526EE"/>
    <w:multiLevelType w:val="hybridMultilevel"/>
    <w:tmpl w:val="6022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61E2"/>
    <w:multiLevelType w:val="hybridMultilevel"/>
    <w:tmpl w:val="EFC03B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57C34"/>
    <w:multiLevelType w:val="multilevel"/>
    <w:tmpl w:val="50982A1A"/>
    <w:lvl w:ilvl="0">
      <w:start w:val="4"/>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27385492"/>
    <w:multiLevelType w:val="multilevel"/>
    <w:tmpl w:val="B0844956"/>
    <w:lvl w:ilvl="0">
      <w:start w:val="1"/>
      <w:numFmt w:val="decimal"/>
      <w:lvlText w:val="%1."/>
      <w:lvlJc w:val="left"/>
      <w:pPr>
        <w:ind w:left="629" w:hanging="360"/>
      </w:pPr>
      <w:rPr>
        <w:rFonts w:hint="default"/>
        <w:b w:val="0"/>
      </w:rPr>
    </w:lvl>
    <w:lvl w:ilvl="1">
      <w:start w:val="1"/>
      <w:numFmt w:val="decimal"/>
      <w:isLgl/>
      <w:lvlText w:val="%1.%2."/>
      <w:lvlJc w:val="left"/>
      <w:pPr>
        <w:ind w:left="629" w:hanging="360"/>
      </w:pPr>
      <w:rPr>
        <w:rFonts w:hint="default"/>
      </w:rPr>
    </w:lvl>
    <w:lvl w:ilvl="2">
      <w:start w:val="1"/>
      <w:numFmt w:val="decimal"/>
      <w:isLgl/>
      <w:lvlText w:val="%1.%2.%3."/>
      <w:lvlJc w:val="left"/>
      <w:pPr>
        <w:ind w:left="989" w:hanging="720"/>
      </w:pPr>
      <w:rPr>
        <w:rFonts w:hint="default"/>
      </w:rPr>
    </w:lvl>
    <w:lvl w:ilvl="3">
      <w:start w:val="1"/>
      <w:numFmt w:val="decimal"/>
      <w:isLgl/>
      <w:lvlText w:val="%1.%2.%3.%4."/>
      <w:lvlJc w:val="left"/>
      <w:pPr>
        <w:ind w:left="989" w:hanging="720"/>
      </w:pPr>
      <w:rPr>
        <w:rFonts w:hint="default"/>
      </w:rPr>
    </w:lvl>
    <w:lvl w:ilvl="4">
      <w:start w:val="1"/>
      <w:numFmt w:val="decimal"/>
      <w:isLgl/>
      <w:lvlText w:val="%1.%2.%3.%4.%5."/>
      <w:lvlJc w:val="left"/>
      <w:pPr>
        <w:ind w:left="1349" w:hanging="1080"/>
      </w:pPr>
      <w:rPr>
        <w:rFonts w:hint="default"/>
      </w:rPr>
    </w:lvl>
    <w:lvl w:ilvl="5">
      <w:start w:val="1"/>
      <w:numFmt w:val="decimal"/>
      <w:isLgl/>
      <w:lvlText w:val="%1.%2.%3.%4.%5.%6."/>
      <w:lvlJc w:val="left"/>
      <w:pPr>
        <w:ind w:left="1349" w:hanging="1080"/>
      </w:pPr>
      <w:rPr>
        <w:rFonts w:hint="default"/>
      </w:rPr>
    </w:lvl>
    <w:lvl w:ilvl="6">
      <w:start w:val="1"/>
      <w:numFmt w:val="decimal"/>
      <w:isLgl/>
      <w:lvlText w:val="%1.%2.%3.%4.%5.%6.%7."/>
      <w:lvlJc w:val="left"/>
      <w:pPr>
        <w:ind w:left="1709" w:hanging="1440"/>
      </w:pPr>
      <w:rPr>
        <w:rFonts w:hint="default"/>
      </w:rPr>
    </w:lvl>
    <w:lvl w:ilvl="7">
      <w:start w:val="1"/>
      <w:numFmt w:val="decimal"/>
      <w:isLgl/>
      <w:lvlText w:val="%1.%2.%3.%4.%5.%6.%7.%8."/>
      <w:lvlJc w:val="left"/>
      <w:pPr>
        <w:ind w:left="1709" w:hanging="1440"/>
      </w:pPr>
      <w:rPr>
        <w:rFonts w:hint="default"/>
      </w:rPr>
    </w:lvl>
    <w:lvl w:ilvl="8">
      <w:start w:val="1"/>
      <w:numFmt w:val="decimal"/>
      <w:isLgl/>
      <w:lvlText w:val="%1.%2.%3.%4.%5.%6.%7.%8.%9."/>
      <w:lvlJc w:val="left"/>
      <w:pPr>
        <w:ind w:left="2069" w:hanging="1800"/>
      </w:pPr>
      <w:rPr>
        <w:rFonts w:hint="default"/>
      </w:rPr>
    </w:lvl>
  </w:abstractNum>
  <w:abstractNum w:abstractNumId="6" w15:restartNumberingAfterBreak="0">
    <w:nsid w:val="2D0138C7"/>
    <w:multiLevelType w:val="hybridMultilevel"/>
    <w:tmpl w:val="5F6A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2937CB"/>
    <w:multiLevelType w:val="hybridMultilevel"/>
    <w:tmpl w:val="874033C8"/>
    <w:lvl w:ilvl="0" w:tplc="684E003E">
      <w:start w:val="3"/>
      <w:numFmt w:val="bullet"/>
      <w:lvlText w:val="-"/>
      <w:lvlJc w:val="left"/>
      <w:pPr>
        <w:ind w:left="405" w:hanging="360"/>
      </w:pPr>
      <w:rPr>
        <w:rFonts w:ascii="Calibri" w:eastAsia="Calibri" w:hAnsi="Calibri"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8" w15:restartNumberingAfterBreak="0">
    <w:nsid w:val="405B1A90"/>
    <w:multiLevelType w:val="hybridMultilevel"/>
    <w:tmpl w:val="D8B88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6B523E"/>
    <w:multiLevelType w:val="hybridMultilevel"/>
    <w:tmpl w:val="D4068518"/>
    <w:lvl w:ilvl="0" w:tplc="BCCA394E">
      <w:start w:val="1"/>
      <w:numFmt w:val="decimal"/>
      <w:lvlText w:val="%1."/>
      <w:lvlJc w:val="left"/>
      <w:pPr>
        <w:ind w:left="629" w:hanging="360"/>
      </w:pPr>
      <w:rPr>
        <w:rFonts w:hint="default"/>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0" w15:restartNumberingAfterBreak="0">
    <w:nsid w:val="5E535C78"/>
    <w:multiLevelType w:val="hybridMultilevel"/>
    <w:tmpl w:val="4944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71E7E"/>
    <w:multiLevelType w:val="hybridMultilevel"/>
    <w:tmpl w:val="46F47C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623C6E0E"/>
    <w:multiLevelType w:val="multilevel"/>
    <w:tmpl w:val="9F002F50"/>
    <w:lvl w:ilvl="0">
      <w:start w:val="80"/>
      <w:numFmt w:val="decimal"/>
      <w:lvlText w:val="%1."/>
      <w:lvlJc w:val="left"/>
      <w:pPr>
        <w:ind w:left="2912" w:hanging="360"/>
      </w:pPr>
      <w:rPr>
        <w:rFonts w:hint="default"/>
        <w:b w:val="0"/>
        <w:color w:val="auto"/>
      </w:rPr>
    </w:lvl>
    <w:lvl w:ilvl="1">
      <w:start w:val="1"/>
      <w:numFmt w:val="decimal"/>
      <w:isLgl/>
      <w:lvlText w:val="%1.%2."/>
      <w:lvlJc w:val="left"/>
      <w:pPr>
        <w:ind w:left="272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887" w:hanging="1440"/>
      </w:pPr>
      <w:rPr>
        <w:rFonts w:hint="default"/>
      </w:rPr>
    </w:lvl>
    <w:lvl w:ilvl="6">
      <w:start w:val="1"/>
      <w:numFmt w:val="decimal"/>
      <w:isLgl/>
      <w:lvlText w:val="%1.%2.%3.%4.%5.%6.%7."/>
      <w:lvlJc w:val="left"/>
      <w:pPr>
        <w:ind w:left="5607" w:hanging="1800"/>
      </w:pPr>
      <w:rPr>
        <w:rFonts w:hint="default"/>
      </w:rPr>
    </w:lvl>
    <w:lvl w:ilvl="7">
      <w:start w:val="1"/>
      <w:numFmt w:val="decimal"/>
      <w:isLgl/>
      <w:lvlText w:val="%1.%2.%3.%4.%5.%6.%7.%8."/>
      <w:lvlJc w:val="left"/>
      <w:pPr>
        <w:ind w:left="5967" w:hanging="1800"/>
      </w:pPr>
      <w:rPr>
        <w:rFonts w:hint="default"/>
      </w:rPr>
    </w:lvl>
    <w:lvl w:ilvl="8">
      <w:start w:val="1"/>
      <w:numFmt w:val="decimal"/>
      <w:isLgl/>
      <w:lvlText w:val="%1.%2.%3.%4.%5.%6.%7.%8.%9."/>
      <w:lvlJc w:val="left"/>
      <w:pPr>
        <w:ind w:left="6687" w:hanging="2160"/>
      </w:pPr>
      <w:rPr>
        <w:rFonts w:hint="default"/>
      </w:rPr>
    </w:lvl>
  </w:abstractNum>
  <w:abstractNum w:abstractNumId="13" w15:restartNumberingAfterBreak="0">
    <w:nsid w:val="667267C5"/>
    <w:multiLevelType w:val="multilevel"/>
    <w:tmpl w:val="9F002F50"/>
    <w:lvl w:ilvl="0">
      <w:start w:val="80"/>
      <w:numFmt w:val="decimal"/>
      <w:lvlText w:val="%1."/>
      <w:lvlJc w:val="left"/>
      <w:pPr>
        <w:ind w:left="2912" w:hanging="360"/>
      </w:pPr>
      <w:rPr>
        <w:rFonts w:hint="default"/>
        <w:b w:val="0"/>
        <w:color w:val="auto"/>
      </w:rPr>
    </w:lvl>
    <w:lvl w:ilvl="1">
      <w:start w:val="1"/>
      <w:numFmt w:val="decimal"/>
      <w:isLgl/>
      <w:lvlText w:val="%1.%2."/>
      <w:lvlJc w:val="left"/>
      <w:pPr>
        <w:ind w:left="272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887" w:hanging="1440"/>
      </w:pPr>
      <w:rPr>
        <w:rFonts w:hint="default"/>
      </w:rPr>
    </w:lvl>
    <w:lvl w:ilvl="6">
      <w:start w:val="1"/>
      <w:numFmt w:val="decimal"/>
      <w:isLgl/>
      <w:lvlText w:val="%1.%2.%3.%4.%5.%6.%7."/>
      <w:lvlJc w:val="left"/>
      <w:pPr>
        <w:ind w:left="5607" w:hanging="1800"/>
      </w:pPr>
      <w:rPr>
        <w:rFonts w:hint="default"/>
      </w:rPr>
    </w:lvl>
    <w:lvl w:ilvl="7">
      <w:start w:val="1"/>
      <w:numFmt w:val="decimal"/>
      <w:isLgl/>
      <w:lvlText w:val="%1.%2.%3.%4.%5.%6.%7.%8."/>
      <w:lvlJc w:val="left"/>
      <w:pPr>
        <w:ind w:left="5967" w:hanging="1800"/>
      </w:pPr>
      <w:rPr>
        <w:rFonts w:hint="default"/>
      </w:rPr>
    </w:lvl>
    <w:lvl w:ilvl="8">
      <w:start w:val="1"/>
      <w:numFmt w:val="decimal"/>
      <w:isLgl/>
      <w:lvlText w:val="%1.%2.%3.%4.%5.%6.%7.%8.%9."/>
      <w:lvlJc w:val="left"/>
      <w:pPr>
        <w:ind w:left="6687" w:hanging="2160"/>
      </w:pPr>
      <w:rPr>
        <w:rFonts w:hint="default"/>
      </w:rPr>
    </w:lvl>
  </w:abstractNum>
  <w:abstractNum w:abstractNumId="14" w15:restartNumberingAfterBreak="0">
    <w:nsid w:val="74936B60"/>
    <w:multiLevelType w:val="hybridMultilevel"/>
    <w:tmpl w:val="B0C29940"/>
    <w:lvl w:ilvl="0" w:tplc="A21A558E">
      <w:start w:val="2"/>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A377A1"/>
    <w:multiLevelType w:val="hybridMultilevel"/>
    <w:tmpl w:val="5F6A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0"/>
  </w:num>
  <w:num w:numId="5">
    <w:abstractNumId w:val="4"/>
  </w:num>
  <w:num w:numId="6">
    <w:abstractNumId w:val="9"/>
  </w:num>
  <w:num w:numId="7">
    <w:abstractNumId w:val="5"/>
  </w:num>
  <w:num w:numId="8">
    <w:abstractNumId w:val="8"/>
  </w:num>
  <w:num w:numId="9">
    <w:abstractNumId w:val="1"/>
  </w:num>
  <w:num w:numId="10">
    <w:abstractNumId w:val="11"/>
  </w:num>
  <w:num w:numId="11">
    <w:abstractNumId w:val="12"/>
  </w:num>
  <w:num w:numId="12">
    <w:abstractNumId w:val="13"/>
  </w:num>
  <w:num w:numId="13">
    <w:abstractNumId w:val="7"/>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28D"/>
    <w:rsid w:val="0001095F"/>
    <w:rsid w:val="0001341C"/>
    <w:rsid w:val="00020A50"/>
    <w:rsid w:val="00021CE0"/>
    <w:rsid w:val="00043677"/>
    <w:rsid w:val="00046D17"/>
    <w:rsid w:val="00050E19"/>
    <w:rsid w:val="00052470"/>
    <w:rsid w:val="00052D64"/>
    <w:rsid w:val="00054E7A"/>
    <w:rsid w:val="00061629"/>
    <w:rsid w:val="00061CDC"/>
    <w:rsid w:val="00063DD7"/>
    <w:rsid w:val="000645EE"/>
    <w:rsid w:val="00064D43"/>
    <w:rsid w:val="00070650"/>
    <w:rsid w:val="00072163"/>
    <w:rsid w:val="00072A74"/>
    <w:rsid w:val="00076E8E"/>
    <w:rsid w:val="00081845"/>
    <w:rsid w:val="00085193"/>
    <w:rsid w:val="000862CB"/>
    <w:rsid w:val="00090D33"/>
    <w:rsid w:val="0009214D"/>
    <w:rsid w:val="000976BA"/>
    <w:rsid w:val="000A61F5"/>
    <w:rsid w:val="000A7078"/>
    <w:rsid w:val="000A7767"/>
    <w:rsid w:val="000B3F6A"/>
    <w:rsid w:val="000B7C52"/>
    <w:rsid w:val="000C2FB7"/>
    <w:rsid w:val="000C43DC"/>
    <w:rsid w:val="000C62B0"/>
    <w:rsid w:val="000D12EC"/>
    <w:rsid w:val="000D3223"/>
    <w:rsid w:val="000D5407"/>
    <w:rsid w:val="000E0F6E"/>
    <w:rsid w:val="000E5AE1"/>
    <w:rsid w:val="000F189F"/>
    <w:rsid w:val="000F6EE1"/>
    <w:rsid w:val="001004CB"/>
    <w:rsid w:val="00100711"/>
    <w:rsid w:val="001017EB"/>
    <w:rsid w:val="00107A28"/>
    <w:rsid w:val="001113DD"/>
    <w:rsid w:val="001119CC"/>
    <w:rsid w:val="001159CC"/>
    <w:rsid w:val="001223A9"/>
    <w:rsid w:val="0012325E"/>
    <w:rsid w:val="00124927"/>
    <w:rsid w:val="00130BBD"/>
    <w:rsid w:val="00132860"/>
    <w:rsid w:val="0013616F"/>
    <w:rsid w:val="00137EAF"/>
    <w:rsid w:val="00141FC4"/>
    <w:rsid w:val="00143757"/>
    <w:rsid w:val="00147B5C"/>
    <w:rsid w:val="0015019D"/>
    <w:rsid w:val="00150659"/>
    <w:rsid w:val="001521ED"/>
    <w:rsid w:val="0015648F"/>
    <w:rsid w:val="0015691F"/>
    <w:rsid w:val="0016408E"/>
    <w:rsid w:val="00166CC6"/>
    <w:rsid w:val="00172B34"/>
    <w:rsid w:val="00175F9D"/>
    <w:rsid w:val="00177373"/>
    <w:rsid w:val="0017745A"/>
    <w:rsid w:val="00177C0A"/>
    <w:rsid w:val="001822E7"/>
    <w:rsid w:val="00187B95"/>
    <w:rsid w:val="00192FD3"/>
    <w:rsid w:val="001A25E4"/>
    <w:rsid w:val="001A47D1"/>
    <w:rsid w:val="001B6D5F"/>
    <w:rsid w:val="001C010D"/>
    <w:rsid w:val="001C1B6F"/>
    <w:rsid w:val="001C20C5"/>
    <w:rsid w:val="001C241D"/>
    <w:rsid w:val="001C2531"/>
    <w:rsid w:val="001C311E"/>
    <w:rsid w:val="001C4774"/>
    <w:rsid w:val="001C4B0F"/>
    <w:rsid w:val="001E5B70"/>
    <w:rsid w:val="001F1B7C"/>
    <w:rsid w:val="001F24D3"/>
    <w:rsid w:val="001F2D0B"/>
    <w:rsid w:val="00204BDD"/>
    <w:rsid w:val="00206146"/>
    <w:rsid w:val="002105C7"/>
    <w:rsid w:val="00212691"/>
    <w:rsid w:val="00213375"/>
    <w:rsid w:val="002151ED"/>
    <w:rsid w:val="00217391"/>
    <w:rsid w:val="0022290A"/>
    <w:rsid w:val="002231FB"/>
    <w:rsid w:val="002276BA"/>
    <w:rsid w:val="00233CDC"/>
    <w:rsid w:val="002341F9"/>
    <w:rsid w:val="00235702"/>
    <w:rsid w:val="00243426"/>
    <w:rsid w:val="002463DE"/>
    <w:rsid w:val="0024713A"/>
    <w:rsid w:val="00255BE3"/>
    <w:rsid w:val="0026377C"/>
    <w:rsid w:val="00272689"/>
    <w:rsid w:val="00273451"/>
    <w:rsid w:val="00276679"/>
    <w:rsid w:val="002805E1"/>
    <w:rsid w:val="00284CCC"/>
    <w:rsid w:val="002869F8"/>
    <w:rsid w:val="00287D6B"/>
    <w:rsid w:val="002902E7"/>
    <w:rsid w:val="0029084A"/>
    <w:rsid w:val="002947E9"/>
    <w:rsid w:val="0029653A"/>
    <w:rsid w:val="0029689F"/>
    <w:rsid w:val="002A17A8"/>
    <w:rsid w:val="002A17C3"/>
    <w:rsid w:val="002A5AAF"/>
    <w:rsid w:val="002A6B54"/>
    <w:rsid w:val="002C0851"/>
    <w:rsid w:val="002C1490"/>
    <w:rsid w:val="002C1919"/>
    <w:rsid w:val="002C2462"/>
    <w:rsid w:val="002C56A2"/>
    <w:rsid w:val="002D2CF3"/>
    <w:rsid w:val="002D3585"/>
    <w:rsid w:val="002D3C88"/>
    <w:rsid w:val="002D4C25"/>
    <w:rsid w:val="002E0C37"/>
    <w:rsid w:val="002E17B5"/>
    <w:rsid w:val="002E1C05"/>
    <w:rsid w:val="002E378A"/>
    <w:rsid w:val="002E42B0"/>
    <w:rsid w:val="002E60F3"/>
    <w:rsid w:val="002E71C7"/>
    <w:rsid w:val="002E782E"/>
    <w:rsid w:val="002F460D"/>
    <w:rsid w:val="003013BD"/>
    <w:rsid w:val="00301615"/>
    <w:rsid w:val="00321414"/>
    <w:rsid w:val="00322929"/>
    <w:rsid w:val="00322C9A"/>
    <w:rsid w:val="00330A90"/>
    <w:rsid w:val="003325B7"/>
    <w:rsid w:val="00343651"/>
    <w:rsid w:val="00346E6B"/>
    <w:rsid w:val="00354114"/>
    <w:rsid w:val="00372579"/>
    <w:rsid w:val="00372699"/>
    <w:rsid w:val="003741F3"/>
    <w:rsid w:val="00375628"/>
    <w:rsid w:val="003818DA"/>
    <w:rsid w:val="003854F4"/>
    <w:rsid w:val="003864B9"/>
    <w:rsid w:val="00393835"/>
    <w:rsid w:val="003951FE"/>
    <w:rsid w:val="00396830"/>
    <w:rsid w:val="00396EE9"/>
    <w:rsid w:val="003A3BAD"/>
    <w:rsid w:val="003A6E34"/>
    <w:rsid w:val="003B0BF9"/>
    <w:rsid w:val="003B6735"/>
    <w:rsid w:val="003B68B6"/>
    <w:rsid w:val="003C0533"/>
    <w:rsid w:val="003D3060"/>
    <w:rsid w:val="003E0344"/>
    <w:rsid w:val="003E0791"/>
    <w:rsid w:val="003E1684"/>
    <w:rsid w:val="003E4D72"/>
    <w:rsid w:val="003E7CC0"/>
    <w:rsid w:val="003F07D7"/>
    <w:rsid w:val="003F28AC"/>
    <w:rsid w:val="003F4931"/>
    <w:rsid w:val="003F61AC"/>
    <w:rsid w:val="00412D52"/>
    <w:rsid w:val="0042187A"/>
    <w:rsid w:val="0042406C"/>
    <w:rsid w:val="0042418C"/>
    <w:rsid w:val="00427124"/>
    <w:rsid w:val="00431505"/>
    <w:rsid w:val="00434F93"/>
    <w:rsid w:val="004375A5"/>
    <w:rsid w:val="00444CA7"/>
    <w:rsid w:val="00444FB7"/>
    <w:rsid w:val="004454FE"/>
    <w:rsid w:val="00455D04"/>
    <w:rsid w:val="00456E40"/>
    <w:rsid w:val="00457DD9"/>
    <w:rsid w:val="004611A7"/>
    <w:rsid w:val="004626FC"/>
    <w:rsid w:val="0047191B"/>
    <w:rsid w:val="00471F27"/>
    <w:rsid w:val="00472EC7"/>
    <w:rsid w:val="00485F36"/>
    <w:rsid w:val="00486982"/>
    <w:rsid w:val="0049053A"/>
    <w:rsid w:val="00492626"/>
    <w:rsid w:val="00497531"/>
    <w:rsid w:val="004A08B8"/>
    <w:rsid w:val="004A2334"/>
    <w:rsid w:val="004B3B28"/>
    <w:rsid w:val="004B61DE"/>
    <w:rsid w:val="004C3A12"/>
    <w:rsid w:val="004C69A4"/>
    <w:rsid w:val="004D14A7"/>
    <w:rsid w:val="004E469C"/>
    <w:rsid w:val="004E6651"/>
    <w:rsid w:val="004F3ADA"/>
    <w:rsid w:val="004F3E7A"/>
    <w:rsid w:val="004F64D9"/>
    <w:rsid w:val="0050178F"/>
    <w:rsid w:val="0050431F"/>
    <w:rsid w:val="005048EF"/>
    <w:rsid w:val="005079A6"/>
    <w:rsid w:val="00510B0B"/>
    <w:rsid w:val="00513D6A"/>
    <w:rsid w:val="0051424F"/>
    <w:rsid w:val="00530BE9"/>
    <w:rsid w:val="00531E73"/>
    <w:rsid w:val="00532A87"/>
    <w:rsid w:val="0054134E"/>
    <w:rsid w:val="005413BB"/>
    <w:rsid w:val="00544599"/>
    <w:rsid w:val="00550593"/>
    <w:rsid w:val="005515E5"/>
    <w:rsid w:val="0055239A"/>
    <w:rsid w:val="005540B7"/>
    <w:rsid w:val="005623F6"/>
    <w:rsid w:val="00563FE8"/>
    <w:rsid w:val="0056421A"/>
    <w:rsid w:val="00564BBA"/>
    <w:rsid w:val="0057703D"/>
    <w:rsid w:val="005838FC"/>
    <w:rsid w:val="00585DC4"/>
    <w:rsid w:val="005860F6"/>
    <w:rsid w:val="005905E7"/>
    <w:rsid w:val="00597CBF"/>
    <w:rsid w:val="005A1C20"/>
    <w:rsid w:val="005A531A"/>
    <w:rsid w:val="005B210F"/>
    <w:rsid w:val="005B3EF7"/>
    <w:rsid w:val="005B5FCB"/>
    <w:rsid w:val="005B62DD"/>
    <w:rsid w:val="005D6CE1"/>
    <w:rsid w:val="005D6F68"/>
    <w:rsid w:val="005E0298"/>
    <w:rsid w:val="005E28D7"/>
    <w:rsid w:val="005E313D"/>
    <w:rsid w:val="005F324D"/>
    <w:rsid w:val="005F7364"/>
    <w:rsid w:val="0061162D"/>
    <w:rsid w:val="00613EA1"/>
    <w:rsid w:val="006219F7"/>
    <w:rsid w:val="006305A3"/>
    <w:rsid w:val="0063079E"/>
    <w:rsid w:val="006346CA"/>
    <w:rsid w:val="006349A1"/>
    <w:rsid w:val="00636047"/>
    <w:rsid w:val="00637A70"/>
    <w:rsid w:val="0065472F"/>
    <w:rsid w:val="006557C0"/>
    <w:rsid w:val="0065593E"/>
    <w:rsid w:val="00655F2C"/>
    <w:rsid w:val="006629DE"/>
    <w:rsid w:val="0066603B"/>
    <w:rsid w:val="00671C6D"/>
    <w:rsid w:val="006760F4"/>
    <w:rsid w:val="00680885"/>
    <w:rsid w:val="00685546"/>
    <w:rsid w:val="0068632E"/>
    <w:rsid w:val="00691A3B"/>
    <w:rsid w:val="00695C47"/>
    <w:rsid w:val="00697236"/>
    <w:rsid w:val="006A3484"/>
    <w:rsid w:val="006A7442"/>
    <w:rsid w:val="006B05E0"/>
    <w:rsid w:val="006B77A5"/>
    <w:rsid w:val="006C1119"/>
    <w:rsid w:val="006C1939"/>
    <w:rsid w:val="006C619D"/>
    <w:rsid w:val="006D6799"/>
    <w:rsid w:val="006E02B9"/>
    <w:rsid w:val="006E1081"/>
    <w:rsid w:val="006E32F1"/>
    <w:rsid w:val="006E3A6E"/>
    <w:rsid w:val="006E3AAE"/>
    <w:rsid w:val="006E5D1F"/>
    <w:rsid w:val="006E6CEC"/>
    <w:rsid w:val="006F05CF"/>
    <w:rsid w:val="006F0EA3"/>
    <w:rsid w:val="006F4A6C"/>
    <w:rsid w:val="006F5944"/>
    <w:rsid w:val="006F6819"/>
    <w:rsid w:val="0070461D"/>
    <w:rsid w:val="00704CCA"/>
    <w:rsid w:val="00720585"/>
    <w:rsid w:val="00722DEA"/>
    <w:rsid w:val="007237F7"/>
    <w:rsid w:val="00731683"/>
    <w:rsid w:val="007329D5"/>
    <w:rsid w:val="0073738E"/>
    <w:rsid w:val="00740850"/>
    <w:rsid w:val="00752A50"/>
    <w:rsid w:val="007636CB"/>
    <w:rsid w:val="00771066"/>
    <w:rsid w:val="00772770"/>
    <w:rsid w:val="00773AF6"/>
    <w:rsid w:val="007907B0"/>
    <w:rsid w:val="00793594"/>
    <w:rsid w:val="00794F64"/>
    <w:rsid w:val="00795F71"/>
    <w:rsid w:val="007A07E7"/>
    <w:rsid w:val="007A39A8"/>
    <w:rsid w:val="007A7669"/>
    <w:rsid w:val="007B3E61"/>
    <w:rsid w:val="007B4D8D"/>
    <w:rsid w:val="007C2D41"/>
    <w:rsid w:val="007C3D5D"/>
    <w:rsid w:val="007C43AB"/>
    <w:rsid w:val="007C66F0"/>
    <w:rsid w:val="007D052D"/>
    <w:rsid w:val="007D1C7F"/>
    <w:rsid w:val="007E0ED8"/>
    <w:rsid w:val="007E5F7A"/>
    <w:rsid w:val="007E73AB"/>
    <w:rsid w:val="007F78A6"/>
    <w:rsid w:val="008106B7"/>
    <w:rsid w:val="00814E39"/>
    <w:rsid w:val="00816C11"/>
    <w:rsid w:val="008258F9"/>
    <w:rsid w:val="00827744"/>
    <w:rsid w:val="00827CEF"/>
    <w:rsid w:val="008333DB"/>
    <w:rsid w:val="008375D2"/>
    <w:rsid w:val="008420A9"/>
    <w:rsid w:val="00851612"/>
    <w:rsid w:val="0086177D"/>
    <w:rsid w:val="0086424A"/>
    <w:rsid w:val="00864DB4"/>
    <w:rsid w:val="008704F5"/>
    <w:rsid w:val="0087127B"/>
    <w:rsid w:val="00873D10"/>
    <w:rsid w:val="0087401A"/>
    <w:rsid w:val="00887E39"/>
    <w:rsid w:val="00894C55"/>
    <w:rsid w:val="00897861"/>
    <w:rsid w:val="008A0126"/>
    <w:rsid w:val="008A0463"/>
    <w:rsid w:val="008B17B6"/>
    <w:rsid w:val="008B574D"/>
    <w:rsid w:val="008B6429"/>
    <w:rsid w:val="008C4735"/>
    <w:rsid w:val="008C6512"/>
    <w:rsid w:val="008D6D33"/>
    <w:rsid w:val="008E2615"/>
    <w:rsid w:val="008E5EFA"/>
    <w:rsid w:val="008F10AA"/>
    <w:rsid w:val="008F6E21"/>
    <w:rsid w:val="008F703C"/>
    <w:rsid w:val="008F7BD0"/>
    <w:rsid w:val="0090100A"/>
    <w:rsid w:val="00901FF2"/>
    <w:rsid w:val="009033D3"/>
    <w:rsid w:val="00912C3A"/>
    <w:rsid w:val="0091365A"/>
    <w:rsid w:val="00914BB3"/>
    <w:rsid w:val="0092525F"/>
    <w:rsid w:val="009254CE"/>
    <w:rsid w:val="009279AA"/>
    <w:rsid w:val="00927B21"/>
    <w:rsid w:val="00932D6F"/>
    <w:rsid w:val="00941181"/>
    <w:rsid w:val="0094319D"/>
    <w:rsid w:val="00945603"/>
    <w:rsid w:val="00947142"/>
    <w:rsid w:val="009555AC"/>
    <w:rsid w:val="00961FBF"/>
    <w:rsid w:val="0096250F"/>
    <w:rsid w:val="00966A11"/>
    <w:rsid w:val="009719FE"/>
    <w:rsid w:val="00974AE9"/>
    <w:rsid w:val="00981583"/>
    <w:rsid w:val="0098229D"/>
    <w:rsid w:val="009856D9"/>
    <w:rsid w:val="009917E2"/>
    <w:rsid w:val="00994413"/>
    <w:rsid w:val="00997A56"/>
    <w:rsid w:val="009A00E1"/>
    <w:rsid w:val="009A2654"/>
    <w:rsid w:val="009A29B7"/>
    <w:rsid w:val="009A3AA1"/>
    <w:rsid w:val="009A577B"/>
    <w:rsid w:val="009A79AA"/>
    <w:rsid w:val="009A7F42"/>
    <w:rsid w:val="009C118C"/>
    <w:rsid w:val="009C4B55"/>
    <w:rsid w:val="009D2CFA"/>
    <w:rsid w:val="009D4E17"/>
    <w:rsid w:val="009D7E10"/>
    <w:rsid w:val="009E00E6"/>
    <w:rsid w:val="009E01E1"/>
    <w:rsid w:val="009F3EF0"/>
    <w:rsid w:val="00A025D4"/>
    <w:rsid w:val="00A02B44"/>
    <w:rsid w:val="00A0359F"/>
    <w:rsid w:val="00A04836"/>
    <w:rsid w:val="00A058E0"/>
    <w:rsid w:val="00A06BB3"/>
    <w:rsid w:val="00A077AD"/>
    <w:rsid w:val="00A10FC3"/>
    <w:rsid w:val="00A118BE"/>
    <w:rsid w:val="00A22A9D"/>
    <w:rsid w:val="00A27BAE"/>
    <w:rsid w:val="00A32B88"/>
    <w:rsid w:val="00A359AB"/>
    <w:rsid w:val="00A41861"/>
    <w:rsid w:val="00A43E48"/>
    <w:rsid w:val="00A46B7E"/>
    <w:rsid w:val="00A472B0"/>
    <w:rsid w:val="00A517E2"/>
    <w:rsid w:val="00A54DDD"/>
    <w:rsid w:val="00A55679"/>
    <w:rsid w:val="00A6073E"/>
    <w:rsid w:val="00A612B3"/>
    <w:rsid w:val="00A61484"/>
    <w:rsid w:val="00A63F7A"/>
    <w:rsid w:val="00A65CA5"/>
    <w:rsid w:val="00A80019"/>
    <w:rsid w:val="00A837E0"/>
    <w:rsid w:val="00A944D8"/>
    <w:rsid w:val="00A95A54"/>
    <w:rsid w:val="00A9648B"/>
    <w:rsid w:val="00A977BB"/>
    <w:rsid w:val="00AA5177"/>
    <w:rsid w:val="00AA5E03"/>
    <w:rsid w:val="00AB198A"/>
    <w:rsid w:val="00AB5556"/>
    <w:rsid w:val="00AB56D7"/>
    <w:rsid w:val="00AB6562"/>
    <w:rsid w:val="00AB7D26"/>
    <w:rsid w:val="00AC2124"/>
    <w:rsid w:val="00AC43D1"/>
    <w:rsid w:val="00AD02A9"/>
    <w:rsid w:val="00AD3544"/>
    <w:rsid w:val="00AD5A1F"/>
    <w:rsid w:val="00AD76C4"/>
    <w:rsid w:val="00AE5567"/>
    <w:rsid w:val="00AF1239"/>
    <w:rsid w:val="00AF3599"/>
    <w:rsid w:val="00AF6F38"/>
    <w:rsid w:val="00B0682A"/>
    <w:rsid w:val="00B06DA9"/>
    <w:rsid w:val="00B1025C"/>
    <w:rsid w:val="00B12A6A"/>
    <w:rsid w:val="00B13792"/>
    <w:rsid w:val="00B16480"/>
    <w:rsid w:val="00B179E0"/>
    <w:rsid w:val="00B17BA7"/>
    <w:rsid w:val="00B202F7"/>
    <w:rsid w:val="00B2140C"/>
    <w:rsid w:val="00B2165C"/>
    <w:rsid w:val="00B268B1"/>
    <w:rsid w:val="00B270D3"/>
    <w:rsid w:val="00B32A9B"/>
    <w:rsid w:val="00B42434"/>
    <w:rsid w:val="00B42C49"/>
    <w:rsid w:val="00B461C1"/>
    <w:rsid w:val="00B5628A"/>
    <w:rsid w:val="00B564E3"/>
    <w:rsid w:val="00B76E69"/>
    <w:rsid w:val="00B8040B"/>
    <w:rsid w:val="00B83EFB"/>
    <w:rsid w:val="00B844FA"/>
    <w:rsid w:val="00B85A00"/>
    <w:rsid w:val="00B90D8C"/>
    <w:rsid w:val="00B9323B"/>
    <w:rsid w:val="00B941F9"/>
    <w:rsid w:val="00BA071C"/>
    <w:rsid w:val="00BA14A8"/>
    <w:rsid w:val="00BA20AA"/>
    <w:rsid w:val="00BA2131"/>
    <w:rsid w:val="00BA2AB5"/>
    <w:rsid w:val="00BA69C7"/>
    <w:rsid w:val="00BA79A3"/>
    <w:rsid w:val="00BB13E8"/>
    <w:rsid w:val="00BB647B"/>
    <w:rsid w:val="00BC4FAA"/>
    <w:rsid w:val="00BC6A13"/>
    <w:rsid w:val="00BD037E"/>
    <w:rsid w:val="00BD2F4A"/>
    <w:rsid w:val="00BD4425"/>
    <w:rsid w:val="00BD4585"/>
    <w:rsid w:val="00BD4B5F"/>
    <w:rsid w:val="00BD5772"/>
    <w:rsid w:val="00BD5CCE"/>
    <w:rsid w:val="00BD602E"/>
    <w:rsid w:val="00BE4462"/>
    <w:rsid w:val="00BF549A"/>
    <w:rsid w:val="00BF6670"/>
    <w:rsid w:val="00C02185"/>
    <w:rsid w:val="00C05ED7"/>
    <w:rsid w:val="00C06466"/>
    <w:rsid w:val="00C12C3B"/>
    <w:rsid w:val="00C146D7"/>
    <w:rsid w:val="00C1600B"/>
    <w:rsid w:val="00C20D4A"/>
    <w:rsid w:val="00C25B49"/>
    <w:rsid w:val="00C306C0"/>
    <w:rsid w:val="00C37758"/>
    <w:rsid w:val="00C37951"/>
    <w:rsid w:val="00C43E29"/>
    <w:rsid w:val="00C45A61"/>
    <w:rsid w:val="00C55BC0"/>
    <w:rsid w:val="00C56ED1"/>
    <w:rsid w:val="00C61409"/>
    <w:rsid w:val="00C63796"/>
    <w:rsid w:val="00C66256"/>
    <w:rsid w:val="00C66E70"/>
    <w:rsid w:val="00C737D1"/>
    <w:rsid w:val="00C75DD4"/>
    <w:rsid w:val="00C84779"/>
    <w:rsid w:val="00C8531E"/>
    <w:rsid w:val="00C85A5C"/>
    <w:rsid w:val="00C8681C"/>
    <w:rsid w:val="00C958B5"/>
    <w:rsid w:val="00C95C9B"/>
    <w:rsid w:val="00C9650E"/>
    <w:rsid w:val="00C96732"/>
    <w:rsid w:val="00CA5A2E"/>
    <w:rsid w:val="00CC0D2D"/>
    <w:rsid w:val="00CC3777"/>
    <w:rsid w:val="00CC406C"/>
    <w:rsid w:val="00CC5B50"/>
    <w:rsid w:val="00CC65BF"/>
    <w:rsid w:val="00CD0C85"/>
    <w:rsid w:val="00CD3BCE"/>
    <w:rsid w:val="00CD55E3"/>
    <w:rsid w:val="00CD5BE2"/>
    <w:rsid w:val="00CE1D62"/>
    <w:rsid w:val="00CE5657"/>
    <w:rsid w:val="00CF4022"/>
    <w:rsid w:val="00CF5E0C"/>
    <w:rsid w:val="00CF605B"/>
    <w:rsid w:val="00CF7D2F"/>
    <w:rsid w:val="00D00561"/>
    <w:rsid w:val="00D06883"/>
    <w:rsid w:val="00D103D8"/>
    <w:rsid w:val="00D12F41"/>
    <w:rsid w:val="00D133F8"/>
    <w:rsid w:val="00D14A3E"/>
    <w:rsid w:val="00D154E8"/>
    <w:rsid w:val="00D16BF8"/>
    <w:rsid w:val="00D20978"/>
    <w:rsid w:val="00D22F9E"/>
    <w:rsid w:val="00D26162"/>
    <w:rsid w:val="00D27A8F"/>
    <w:rsid w:val="00D27DDF"/>
    <w:rsid w:val="00D34D6D"/>
    <w:rsid w:val="00D441D3"/>
    <w:rsid w:val="00D46E41"/>
    <w:rsid w:val="00D5635A"/>
    <w:rsid w:val="00D56D88"/>
    <w:rsid w:val="00D67100"/>
    <w:rsid w:val="00D730A9"/>
    <w:rsid w:val="00D74132"/>
    <w:rsid w:val="00D82CFA"/>
    <w:rsid w:val="00D84B62"/>
    <w:rsid w:val="00D865D0"/>
    <w:rsid w:val="00D87208"/>
    <w:rsid w:val="00DA1F24"/>
    <w:rsid w:val="00DA4842"/>
    <w:rsid w:val="00DB0211"/>
    <w:rsid w:val="00DB2960"/>
    <w:rsid w:val="00DB3611"/>
    <w:rsid w:val="00DB6B9D"/>
    <w:rsid w:val="00DC279A"/>
    <w:rsid w:val="00DC3A83"/>
    <w:rsid w:val="00DC4310"/>
    <w:rsid w:val="00DC546C"/>
    <w:rsid w:val="00DC68E0"/>
    <w:rsid w:val="00DD0AAF"/>
    <w:rsid w:val="00DD3B36"/>
    <w:rsid w:val="00DE3AB9"/>
    <w:rsid w:val="00DF1098"/>
    <w:rsid w:val="00DF29C8"/>
    <w:rsid w:val="00DF486E"/>
    <w:rsid w:val="00E00C68"/>
    <w:rsid w:val="00E04994"/>
    <w:rsid w:val="00E05AD8"/>
    <w:rsid w:val="00E07102"/>
    <w:rsid w:val="00E12AFB"/>
    <w:rsid w:val="00E12F6D"/>
    <w:rsid w:val="00E2163F"/>
    <w:rsid w:val="00E232D4"/>
    <w:rsid w:val="00E26C88"/>
    <w:rsid w:val="00E27646"/>
    <w:rsid w:val="00E27B3B"/>
    <w:rsid w:val="00E35CB4"/>
    <w:rsid w:val="00E35D97"/>
    <w:rsid w:val="00E3716B"/>
    <w:rsid w:val="00E37B56"/>
    <w:rsid w:val="00E4196F"/>
    <w:rsid w:val="00E41A63"/>
    <w:rsid w:val="00E4247A"/>
    <w:rsid w:val="00E43825"/>
    <w:rsid w:val="00E4686A"/>
    <w:rsid w:val="00E5323B"/>
    <w:rsid w:val="00E66789"/>
    <w:rsid w:val="00E709BC"/>
    <w:rsid w:val="00E7456A"/>
    <w:rsid w:val="00E80117"/>
    <w:rsid w:val="00E82163"/>
    <w:rsid w:val="00E86623"/>
    <w:rsid w:val="00E8671C"/>
    <w:rsid w:val="00E86D1C"/>
    <w:rsid w:val="00E8749E"/>
    <w:rsid w:val="00E90C01"/>
    <w:rsid w:val="00EA1B44"/>
    <w:rsid w:val="00EA486E"/>
    <w:rsid w:val="00EA6671"/>
    <w:rsid w:val="00EB2B7C"/>
    <w:rsid w:val="00ED7A3F"/>
    <w:rsid w:val="00EE0BA1"/>
    <w:rsid w:val="00EE472E"/>
    <w:rsid w:val="00EE5482"/>
    <w:rsid w:val="00EF4D27"/>
    <w:rsid w:val="00EF7EFC"/>
    <w:rsid w:val="00F012F6"/>
    <w:rsid w:val="00F05BCA"/>
    <w:rsid w:val="00F13767"/>
    <w:rsid w:val="00F178B9"/>
    <w:rsid w:val="00F20685"/>
    <w:rsid w:val="00F32B62"/>
    <w:rsid w:val="00F3412B"/>
    <w:rsid w:val="00F341FF"/>
    <w:rsid w:val="00F4588B"/>
    <w:rsid w:val="00F47FF7"/>
    <w:rsid w:val="00F525FA"/>
    <w:rsid w:val="00F56DE2"/>
    <w:rsid w:val="00F56EB5"/>
    <w:rsid w:val="00F57B0C"/>
    <w:rsid w:val="00F66C05"/>
    <w:rsid w:val="00F714BE"/>
    <w:rsid w:val="00F72B1B"/>
    <w:rsid w:val="00F72CDE"/>
    <w:rsid w:val="00F72D24"/>
    <w:rsid w:val="00F72E91"/>
    <w:rsid w:val="00F821DA"/>
    <w:rsid w:val="00F8299F"/>
    <w:rsid w:val="00F849CA"/>
    <w:rsid w:val="00F86118"/>
    <w:rsid w:val="00F90D16"/>
    <w:rsid w:val="00F93BC1"/>
    <w:rsid w:val="00F94A89"/>
    <w:rsid w:val="00FA0828"/>
    <w:rsid w:val="00FA67EF"/>
    <w:rsid w:val="00FB0A5F"/>
    <w:rsid w:val="00FB1150"/>
    <w:rsid w:val="00FB4A3B"/>
    <w:rsid w:val="00FC0799"/>
    <w:rsid w:val="00FC25F8"/>
    <w:rsid w:val="00FC5B87"/>
    <w:rsid w:val="00FC7737"/>
    <w:rsid w:val="00FD004D"/>
    <w:rsid w:val="00FD3F7C"/>
    <w:rsid w:val="00FD447B"/>
    <w:rsid w:val="00FD54F4"/>
    <w:rsid w:val="00FE31BB"/>
    <w:rsid w:val="00FE3E71"/>
    <w:rsid w:val="00FF1072"/>
    <w:rsid w:val="00FF4D16"/>
    <w:rsid w:val="00FF4F8E"/>
    <w:rsid w:val="00FF5F2B"/>
    <w:rsid w:val="00FF7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1FBA"/>
  <w15:docId w15:val="{D2AF64FC-2830-472D-98F0-77EB33BA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pPr>
      <w:spacing w:after="160" w:line="259" w:lineRule="auto"/>
    </w:pPr>
    <w:rPr>
      <w:sz w:val="22"/>
      <w:szCs w:val="22"/>
      <w:lang w:eastAsia="en-US"/>
    </w:rPr>
  </w:style>
  <w:style w:type="paragraph" w:styleId="Heading1">
    <w:name w:val="heading 1"/>
    <w:basedOn w:val="Normal"/>
    <w:next w:val="Normal"/>
    <w:link w:val="Heading1Char"/>
    <w:uiPriority w:val="9"/>
    <w:qFormat/>
    <w:rsid w:val="001C20C5"/>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090D33"/>
    <w:pPr>
      <w:spacing w:after="0" w:line="240" w:lineRule="auto"/>
      <w:ind w:left="720"/>
      <w:contextualSpacing/>
    </w:pPr>
    <w:rPr>
      <w:rFonts w:ascii="Times New Roman" w:hAnsi="Times New Roman"/>
      <w:sz w:val="28"/>
    </w:rPr>
  </w:style>
  <w:style w:type="character" w:styleId="CommentReference">
    <w:name w:val="annotation reference"/>
    <w:uiPriority w:val="99"/>
    <w:unhideWhenUsed/>
    <w:rsid w:val="00177373"/>
    <w:rPr>
      <w:sz w:val="16"/>
      <w:szCs w:val="16"/>
    </w:rPr>
  </w:style>
  <w:style w:type="paragraph" w:styleId="CommentText">
    <w:name w:val="annotation text"/>
    <w:basedOn w:val="Normal"/>
    <w:link w:val="CommentTextChar"/>
    <w:uiPriority w:val="99"/>
    <w:unhideWhenUsed/>
    <w:rsid w:val="00177373"/>
    <w:pPr>
      <w:spacing w:line="240" w:lineRule="auto"/>
    </w:pPr>
    <w:rPr>
      <w:sz w:val="20"/>
      <w:szCs w:val="20"/>
    </w:rPr>
  </w:style>
  <w:style w:type="character" w:customStyle="1" w:styleId="CommentTextChar">
    <w:name w:val="Comment Text Char"/>
    <w:link w:val="CommentText"/>
    <w:uiPriority w:val="99"/>
    <w:rsid w:val="00177373"/>
    <w:rPr>
      <w:sz w:val="20"/>
      <w:szCs w:val="20"/>
    </w:rPr>
  </w:style>
  <w:style w:type="paragraph" w:styleId="CommentSubject">
    <w:name w:val="annotation subject"/>
    <w:basedOn w:val="CommentText"/>
    <w:next w:val="CommentText"/>
    <w:link w:val="CommentSubjectChar"/>
    <w:uiPriority w:val="99"/>
    <w:semiHidden/>
    <w:unhideWhenUsed/>
    <w:rsid w:val="00177373"/>
    <w:rPr>
      <w:b/>
      <w:bCs/>
    </w:rPr>
  </w:style>
  <w:style w:type="character" w:customStyle="1" w:styleId="CommentSubjectChar">
    <w:name w:val="Comment Subject Char"/>
    <w:link w:val="CommentSubject"/>
    <w:uiPriority w:val="99"/>
    <w:semiHidden/>
    <w:rsid w:val="00177373"/>
    <w:rPr>
      <w:b/>
      <w:bCs/>
      <w:sz w:val="20"/>
      <w:szCs w:val="20"/>
    </w:rPr>
  </w:style>
  <w:style w:type="paragraph" w:styleId="Title">
    <w:name w:val="Title"/>
    <w:basedOn w:val="Normal"/>
    <w:link w:val="TitleChar"/>
    <w:qFormat/>
    <w:rsid w:val="00177373"/>
    <w:pPr>
      <w:spacing w:after="0" w:line="240" w:lineRule="auto"/>
      <w:jc w:val="center"/>
    </w:pPr>
    <w:rPr>
      <w:rFonts w:ascii="Times New Roman" w:eastAsia="Times New Roman" w:hAnsi="Times New Roman"/>
      <w:sz w:val="28"/>
      <w:szCs w:val="20"/>
    </w:rPr>
  </w:style>
  <w:style w:type="character" w:customStyle="1" w:styleId="TitleChar">
    <w:name w:val="Title Char"/>
    <w:link w:val="Title"/>
    <w:rsid w:val="00177373"/>
    <w:rPr>
      <w:rFonts w:ascii="Times New Roman" w:eastAsia="Times New Roman" w:hAnsi="Times New Roman" w:cs="Times New Roman"/>
      <w:sz w:val="28"/>
      <w:szCs w:val="20"/>
    </w:rPr>
  </w:style>
  <w:style w:type="character" w:customStyle="1" w:styleId="Heading1Char">
    <w:name w:val="Heading 1 Char"/>
    <w:link w:val="Heading1"/>
    <w:uiPriority w:val="9"/>
    <w:rsid w:val="001C20C5"/>
    <w:rPr>
      <w:rFonts w:ascii="Calibri Light" w:eastAsia="Times New Roman" w:hAnsi="Calibri Light" w:cs="Times New Roman"/>
      <w:b/>
      <w:bCs/>
      <w:kern w:val="32"/>
      <w:sz w:val="32"/>
      <w:szCs w:val="32"/>
      <w:lang w:eastAsia="en-US"/>
    </w:rPr>
  </w:style>
  <w:style w:type="table" w:customStyle="1" w:styleId="GridTable1Light1">
    <w:name w:val="Grid Table 1 Light1"/>
    <w:basedOn w:val="TableNormal"/>
    <w:uiPriority w:val="46"/>
    <w:rsid w:val="00D5635A"/>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aiskr">
    <w:name w:val="naiskr"/>
    <w:basedOn w:val="Normal"/>
    <w:rsid w:val="00FF4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CharChar">
    <w:name w:val="Rakstz. Char Char"/>
    <w:basedOn w:val="Normal"/>
    <w:rsid w:val="00FF4F8E"/>
    <w:pPr>
      <w:spacing w:before="40"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4816">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68350890">
      <w:bodyDiv w:val="1"/>
      <w:marLeft w:val="0"/>
      <w:marRight w:val="0"/>
      <w:marTop w:val="0"/>
      <w:marBottom w:val="0"/>
      <w:divBdr>
        <w:top w:val="none" w:sz="0" w:space="0" w:color="auto"/>
        <w:left w:val="none" w:sz="0" w:space="0" w:color="auto"/>
        <w:bottom w:val="none" w:sz="0" w:space="0" w:color="auto"/>
        <w:right w:val="none" w:sz="0" w:space="0" w:color="auto"/>
      </w:divBdr>
    </w:div>
    <w:div w:id="118490499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535339350">
      <w:bodyDiv w:val="1"/>
      <w:marLeft w:val="0"/>
      <w:marRight w:val="0"/>
      <w:marTop w:val="0"/>
      <w:marBottom w:val="0"/>
      <w:divBdr>
        <w:top w:val="none" w:sz="0" w:space="0" w:color="auto"/>
        <w:left w:val="none" w:sz="0" w:space="0" w:color="auto"/>
        <w:bottom w:val="none" w:sz="0" w:space="0" w:color="auto"/>
        <w:right w:val="none" w:sz="0" w:space="0" w:color="auto"/>
      </w:divBdr>
    </w:div>
    <w:div w:id="1883443967">
      <w:bodyDiv w:val="1"/>
      <w:marLeft w:val="0"/>
      <w:marRight w:val="0"/>
      <w:marTop w:val="0"/>
      <w:marBottom w:val="0"/>
      <w:divBdr>
        <w:top w:val="none" w:sz="0" w:space="0" w:color="auto"/>
        <w:left w:val="none" w:sz="0" w:space="0" w:color="auto"/>
        <w:bottom w:val="none" w:sz="0" w:space="0" w:color="auto"/>
        <w:right w:val="none" w:sz="0" w:space="0" w:color="auto"/>
      </w:divBdr>
    </w:div>
    <w:div w:id="20325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vis.Malijs@agentura.ie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C618-B8FC-407D-9F45-6FD65291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7700</Words>
  <Characters>4390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Noteikumi par kompleksa un saistīta tūrisma pakalpojuma sagatavošanas un sniegšanas kārtību, šo pakalpojumu sniedzēja un ceļotāja tiesībām un pienākumiem</vt:lpstr>
    </vt:vector>
  </TitlesOfParts>
  <Company>Microsoft</Company>
  <LinksUpToDate>false</LinksUpToDate>
  <CharactersWithSpaces>12066</CharactersWithSpaces>
  <SharedDoc>false</SharedDoc>
  <HLinks>
    <vt:vector size="36" baseType="variant">
      <vt:variant>
        <vt:i4>8060994</vt:i4>
      </vt:variant>
      <vt:variant>
        <vt:i4>15</vt:i4>
      </vt:variant>
      <vt:variant>
        <vt:i4>0</vt:i4>
      </vt:variant>
      <vt:variant>
        <vt:i4>5</vt:i4>
      </vt:variant>
      <vt:variant>
        <vt:lpwstr>mailto:Krista.Braca@em.gov.lv</vt:lpwstr>
      </vt:variant>
      <vt:variant>
        <vt:lpwstr/>
      </vt:variant>
      <vt:variant>
        <vt:i4>6226044</vt:i4>
      </vt:variant>
      <vt:variant>
        <vt:i4>12</vt:i4>
      </vt:variant>
      <vt:variant>
        <vt:i4>0</vt:i4>
      </vt:variant>
      <vt:variant>
        <vt:i4>5</vt:i4>
      </vt:variant>
      <vt:variant>
        <vt:lpwstr>mailto:Madara.Luka@em.gov.lv</vt:lpwstr>
      </vt:variant>
      <vt:variant>
        <vt:lpwstr/>
      </vt:variant>
      <vt:variant>
        <vt:i4>5439570</vt:i4>
      </vt:variant>
      <vt:variant>
        <vt:i4>9</vt:i4>
      </vt:variant>
      <vt:variant>
        <vt:i4>0</vt:i4>
      </vt:variant>
      <vt:variant>
        <vt:i4>5</vt:i4>
      </vt:variant>
      <vt:variant>
        <vt:lpwstr>https://likumi.lv/ta/id/88966-kriminallikums</vt:lpwstr>
      </vt:variant>
      <vt:variant>
        <vt:lpwstr>p280</vt:lpwstr>
      </vt:variant>
      <vt:variant>
        <vt:i4>6291572</vt:i4>
      </vt:variant>
      <vt:variant>
        <vt:i4>6</vt:i4>
      </vt:variant>
      <vt:variant>
        <vt:i4>0</vt:i4>
      </vt:variant>
      <vt:variant>
        <vt:i4>5</vt:i4>
      </vt:variant>
      <vt:variant>
        <vt:lpwstr>https://likumi.lv/ta/id/88966-kriminallikums</vt:lpwstr>
      </vt:variant>
      <vt:variant>
        <vt:lpwstr>n19</vt:lpwstr>
      </vt:variant>
      <vt:variant>
        <vt:i4>6291572</vt:i4>
      </vt:variant>
      <vt:variant>
        <vt:i4>3</vt:i4>
      </vt:variant>
      <vt:variant>
        <vt:i4>0</vt:i4>
      </vt:variant>
      <vt:variant>
        <vt:i4>5</vt:i4>
      </vt:variant>
      <vt:variant>
        <vt:lpwstr>https://likumi.lv/ta/id/88966-kriminallikums</vt:lpwstr>
      </vt:variant>
      <vt:variant>
        <vt:lpwstr>n18</vt:lpwstr>
      </vt:variant>
      <vt:variant>
        <vt:i4>5308442</vt:i4>
      </vt:variant>
      <vt:variant>
        <vt:i4>0</vt:i4>
      </vt:variant>
      <vt:variant>
        <vt:i4>0</vt:i4>
      </vt:variant>
      <vt:variant>
        <vt:i4>5</vt:i4>
      </vt:variant>
      <vt:variant>
        <vt:lpwstr>https://likumi.lv/ta/id/88966-kriminallikums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Sākotnējās ietekmes novērtējuma ziņojums (anotācija)</dc:subject>
  <dc:creator>Raivis Mālijs</dc:creator>
  <cp:lastModifiedBy>Inese Sproģe</cp:lastModifiedBy>
  <cp:revision>2</cp:revision>
  <cp:lastPrinted>2018-04-20T10:48:00Z</cp:lastPrinted>
  <dcterms:created xsi:type="dcterms:W3CDTF">2019-07-16T13:12:00Z</dcterms:created>
  <dcterms:modified xsi:type="dcterms:W3CDTF">2019-07-16T13:12:00Z</dcterms:modified>
</cp:coreProperties>
</file>