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BC" w:rsidRPr="005659E6" w:rsidRDefault="006C0EDA" w:rsidP="007F26BC">
      <w:pPr>
        <w:shd w:val="clear" w:color="auto" w:fill="FFFFFF"/>
        <w:spacing w:line="260" w:lineRule="exact"/>
        <w:jc w:val="center"/>
        <w:rPr>
          <w:b/>
          <w:bCs/>
          <w:sz w:val="26"/>
          <w:szCs w:val="26"/>
        </w:rPr>
      </w:pPr>
      <w:r w:rsidRPr="005659E6">
        <w:rPr>
          <w:b/>
          <w:sz w:val="26"/>
          <w:szCs w:val="26"/>
        </w:rPr>
        <w:t>Likum</w:t>
      </w:r>
      <w:r w:rsidR="007F26BC" w:rsidRPr="005659E6">
        <w:rPr>
          <w:b/>
          <w:sz w:val="26"/>
          <w:szCs w:val="26"/>
        </w:rPr>
        <w:t>projekta “</w:t>
      </w:r>
      <w:r w:rsidR="00456A35" w:rsidRPr="005659E6">
        <w:rPr>
          <w:b/>
          <w:sz w:val="26"/>
          <w:szCs w:val="26"/>
        </w:rPr>
        <w:t>Grozījumi</w:t>
      </w:r>
      <w:r w:rsidRPr="005659E6">
        <w:rPr>
          <w:b/>
          <w:sz w:val="26"/>
          <w:szCs w:val="26"/>
        </w:rPr>
        <w:t xml:space="preserve"> </w:t>
      </w:r>
      <w:r w:rsidR="005823E8" w:rsidRPr="005659E6">
        <w:rPr>
          <w:b/>
          <w:sz w:val="26"/>
          <w:szCs w:val="26"/>
        </w:rPr>
        <w:t>Ieroču aprites</w:t>
      </w:r>
      <w:r w:rsidR="00990D4B" w:rsidRPr="005659E6">
        <w:rPr>
          <w:b/>
          <w:sz w:val="26"/>
          <w:szCs w:val="26"/>
        </w:rPr>
        <w:t xml:space="preserve"> likumā</w:t>
      </w:r>
      <w:r w:rsidR="007F26BC" w:rsidRPr="005659E6">
        <w:rPr>
          <w:b/>
          <w:bCs/>
          <w:sz w:val="26"/>
          <w:szCs w:val="26"/>
        </w:rPr>
        <w:t>” sākotnējās ietekmes novērtējuma ziņojums (anotācija)</w:t>
      </w:r>
    </w:p>
    <w:p w:rsidR="007F26BC" w:rsidRPr="005659E6" w:rsidRDefault="007F26BC" w:rsidP="007F26BC">
      <w:pPr>
        <w:pStyle w:val="Title"/>
        <w:ind w:firstLine="539"/>
        <w:jc w:val="both"/>
        <w:rPr>
          <w:sz w:val="16"/>
          <w:szCs w:val="16"/>
        </w:rPr>
      </w:pPr>
    </w:p>
    <w:tbl>
      <w:tblPr>
        <w:tblW w:w="57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7087"/>
      </w:tblGrid>
      <w:tr w:rsidR="007F26BC" w:rsidRPr="005659E6" w:rsidTr="00C217F4">
        <w:trPr>
          <w:cantSplit/>
        </w:trPr>
        <w:tc>
          <w:tcPr>
            <w:tcW w:w="10348" w:type="dxa"/>
            <w:gridSpan w:val="2"/>
            <w:shd w:val="clear" w:color="auto" w:fill="FFFFFF"/>
            <w:vAlign w:val="center"/>
            <w:hideMark/>
          </w:tcPr>
          <w:p w:rsidR="007F26BC" w:rsidRPr="005659E6" w:rsidRDefault="007F26BC" w:rsidP="001A46FA">
            <w:pPr>
              <w:jc w:val="center"/>
              <w:rPr>
                <w:b/>
                <w:iCs/>
                <w:lang w:eastAsia="en-US"/>
              </w:rPr>
            </w:pPr>
            <w:r w:rsidRPr="005659E6">
              <w:rPr>
                <w:b/>
                <w:iCs/>
                <w:lang w:eastAsia="en-US"/>
              </w:rPr>
              <w:t>Tiesību akta projekta anotācijas kopsavilkums</w:t>
            </w:r>
          </w:p>
        </w:tc>
      </w:tr>
      <w:tr w:rsidR="00460918" w:rsidRPr="005659E6" w:rsidTr="00C217F4">
        <w:trPr>
          <w:cantSplit/>
        </w:trPr>
        <w:tc>
          <w:tcPr>
            <w:tcW w:w="3261" w:type="dxa"/>
            <w:shd w:val="clear" w:color="auto" w:fill="FFFFFF"/>
            <w:hideMark/>
          </w:tcPr>
          <w:p w:rsidR="007F26BC" w:rsidRPr="005659E6" w:rsidRDefault="007F26BC" w:rsidP="00747C5F">
            <w:pPr>
              <w:rPr>
                <w:iCs/>
                <w:lang w:eastAsia="en-US"/>
              </w:rPr>
            </w:pPr>
            <w:r w:rsidRPr="005659E6">
              <w:rPr>
                <w:iCs/>
                <w:lang w:eastAsia="en-US"/>
              </w:rPr>
              <w:t>Mērķis, risinājums un projekta spēkā stāšanās laiks</w:t>
            </w:r>
          </w:p>
        </w:tc>
        <w:tc>
          <w:tcPr>
            <w:tcW w:w="7087" w:type="dxa"/>
            <w:shd w:val="clear" w:color="auto" w:fill="FFFFFF"/>
            <w:hideMark/>
          </w:tcPr>
          <w:p w:rsidR="007F26BC" w:rsidRPr="005659E6" w:rsidRDefault="00186ED8" w:rsidP="00E231B2">
            <w:pPr>
              <w:jc w:val="both"/>
              <w:rPr>
                <w:rFonts w:eastAsia="+mn-ea"/>
                <w:bCs/>
              </w:rPr>
            </w:pPr>
            <w:r w:rsidRPr="005659E6">
              <w:t xml:space="preserve">Likumprojekta </w:t>
            </w:r>
            <w:r w:rsidR="00E231B2" w:rsidRPr="005659E6">
              <w:t>“Grozījum</w:t>
            </w:r>
            <w:r w:rsidR="00456A35" w:rsidRPr="005659E6">
              <w:t>i</w:t>
            </w:r>
            <w:r w:rsidRPr="005659E6">
              <w:t xml:space="preserve"> </w:t>
            </w:r>
            <w:r w:rsidR="00316C53" w:rsidRPr="005659E6">
              <w:t>Ieroču aprites</w:t>
            </w:r>
            <w:r w:rsidRPr="005659E6">
              <w:t xml:space="preserve"> likumā</w:t>
            </w:r>
            <w:r w:rsidRPr="005659E6">
              <w:rPr>
                <w:bCs/>
              </w:rPr>
              <w:t>”</w:t>
            </w:r>
            <w:r w:rsidRPr="005659E6">
              <w:rPr>
                <w:b/>
                <w:bCs/>
              </w:rPr>
              <w:t xml:space="preserve"> </w:t>
            </w:r>
            <w:r w:rsidRPr="005659E6">
              <w:rPr>
                <w:bCs/>
              </w:rPr>
              <w:t xml:space="preserve">(turpmāk – </w:t>
            </w:r>
            <w:r w:rsidR="00236780" w:rsidRPr="005659E6">
              <w:rPr>
                <w:bCs/>
              </w:rPr>
              <w:t>L</w:t>
            </w:r>
            <w:r w:rsidRPr="005659E6">
              <w:rPr>
                <w:bCs/>
              </w:rPr>
              <w:t>ikumprojekts)</w:t>
            </w:r>
            <w:r w:rsidRPr="005659E6">
              <w:rPr>
                <w:b/>
                <w:bCs/>
              </w:rPr>
              <w:t xml:space="preserve"> </w:t>
            </w:r>
            <w:r w:rsidR="005D116B" w:rsidRPr="005659E6">
              <w:t xml:space="preserve">mērķis ir </w:t>
            </w:r>
            <w:r w:rsidR="00146CAD" w:rsidRPr="005659E6">
              <w:rPr>
                <w:rFonts w:eastAsia="+mn-ea"/>
              </w:rPr>
              <w:t xml:space="preserve">nodrošināt </w:t>
            </w:r>
            <w:r w:rsidR="00146CAD" w:rsidRPr="005659E6">
              <w:rPr>
                <w:rFonts w:eastAsia="+mn-ea"/>
                <w:bCs/>
              </w:rPr>
              <w:t xml:space="preserve">Ministru kabineta 2014.gada 22.aprīļa sēdē </w:t>
            </w:r>
            <w:r w:rsidR="00E231B2" w:rsidRPr="005659E6">
              <w:rPr>
                <w:rFonts w:eastAsia="+mn-ea"/>
                <w:bCs/>
              </w:rPr>
              <w:t>dotā uzdevuma (prot. Nr.24 26.§) izpildi, attiecībā uz</w:t>
            </w:r>
            <w:r w:rsidR="00146CAD" w:rsidRPr="005659E6">
              <w:rPr>
                <w:rFonts w:eastAsia="+mn-ea"/>
                <w:bCs/>
              </w:rPr>
              <w:t xml:space="preserve"> nozaru administratīvo pārkāpumu kodifikācijas sistēmas ieviešanu.</w:t>
            </w:r>
          </w:p>
          <w:p w:rsidR="00E231B2" w:rsidRPr="005659E6" w:rsidRDefault="00E231B2" w:rsidP="00316C53">
            <w:pPr>
              <w:jc w:val="both"/>
              <w:rPr>
                <w:rFonts w:eastAsia="+mn-ea"/>
                <w:bCs/>
              </w:rPr>
            </w:pPr>
            <w:r w:rsidRPr="005659E6">
              <w:t>Likumprojektam</w:t>
            </w:r>
            <w:r w:rsidRPr="005659E6">
              <w:rPr>
                <w:iCs/>
                <w:lang w:eastAsia="en-US"/>
              </w:rPr>
              <w:t xml:space="preserve"> jāstājas </w:t>
            </w:r>
            <w:r w:rsidR="00316C53" w:rsidRPr="005659E6">
              <w:rPr>
                <w:iCs/>
                <w:lang w:eastAsia="en-US"/>
              </w:rPr>
              <w:t xml:space="preserve">spēkā </w:t>
            </w:r>
            <w:r w:rsidR="00316C53" w:rsidRPr="005659E6">
              <w:t>vienlaikus ar Administratīvās atbildības likumu.</w:t>
            </w:r>
          </w:p>
        </w:tc>
      </w:tr>
    </w:tbl>
    <w:p w:rsidR="007F26BC" w:rsidRPr="005659E6" w:rsidRDefault="007F26BC" w:rsidP="007F26BC">
      <w:pPr>
        <w:pStyle w:val="Title"/>
        <w:spacing w:line="260" w:lineRule="exact"/>
        <w:ind w:firstLine="539"/>
        <w:jc w:val="both"/>
        <w:rPr>
          <w:sz w:val="24"/>
          <w:szCs w:val="24"/>
        </w:rPr>
      </w:pPr>
    </w:p>
    <w:tbl>
      <w:tblPr>
        <w:tblW w:w="57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126"/>
        <w:gridCol w:w="151"/>
        <w:gridCol w:w="1972"/>
        <w:gridCol w:w="749"/>
        <w:gridCol w:w="6350"/>
      </w:tblGrid>
      <w:tr w:rsidR="007F26BC" w:rsidRPr="005659E6" w:rsidTr="00C60A70">
        <w:tc>
          <w:tcPr>
            <w:tcW w:w="5000" w:type="pct"/>
            <w:gridSpan w:val="5"/>
            <w:vAlign w:val="center"/>
            <w:hideMark/>
          </w:tcPr>
          <w:p w:rsidR="007F26BC" w:rsidRPr="005659E6" w:rsidRDefault="007F26BC" w:rsidP="001A46FA">
            <w:pPr>
              <w:jc w:val="center"/>
              <w:rPr>
                <w:b/>
                <w:bCs/>
              </w:rPr>
            </w:pPr>
            <w:r w:rsidRPr="005659E6">
              <w:rPr>
                <w:b/>
                <w:bCs/>
              </w:rPr>
              <w:t>I. Tiesību akta projekta izstrādes nepieciešamība</w:t>
            </w:r>
          </w:p>
        </w:tc>
      </w:tr>
      <w:tr w:rsidR="007F26BC" w:rsidRPr="005659E6" w:rsidTr="00C60A70">
        <w:tc>
          <w:tcPr>
            <w:tcW w:w="544" w:type="pct"/>
            <w:hideMark/>
          </w:tcPr>
          <w:p w:rsidR="007F26BC" w:rsidRPr="005659E6" w:rsidRDefault="007F26BC" w:rsidP="001A46FA">
            <w:pPr>
              <w:jc w:val="center"/>
            </w:pPr>
            <w:r w:rsidRPr="005659E6">
              <w:t>1.</w:t>
            </w:r>
          </w:p>
        </w:tc>
        <w:tc>
          <w:tcPr>
            <w:tcW w:w="1026" w:type="pct"/>
            <w:gridSpan w:val="2"/>
            <w:hideMark/>
          </w:tcPr>
          <w:p w:rsidR="007F26BC" w:rsidRPr="005659E6" w:rsidRDefault="007F26BC" w:rsidP="001A46FA">
            <w:r w:rsidRPr="005659E6">
              <w:t>Pamatojums</w:t>
            </w:r>
          </w:p>
        </w:tc>
        <w:tc>
          <w:tcPr>
            <w:tcW w:w="3430" w:type="pct"/>
            <w:gridSpan w:val="2"/>
            <w:hideMark/>
          </w:tcPr>
          <w:p w:rsidR="007F26BC" w:rsidRPr="005659E6" w:rsidRDefault="00B616D6" w:rsidP="00B616D6">
            <w:pPr>
              <w:jc w:val="both"/>
            </w:pPr>
            <w:r w:rsidRPr="005659E6">
              <w:rPr>
                <w:rFonts w:eastAsiaTheme="minorHAnsi"/>
                <w:lang w:eastAsia="en-US"/>
              </w:rPr>
              <w:t>Likumprojekts izstrādāts,</w:t>
            </w:r>
            <w:r w:rsidRPr="005659E6">
              <w:rPr>
                <w:bCs/>
                <w:lang w:eastAsia="en-US"/>
              </w:rPr>
              <w:t xml:space="preserve"> lai nodrošinātu Ministru kabineta 2014.gada 22.aprīļa sēdes protokollēmuma (prot. Nr.24 26.§) “Informatīvais ziņojums “Nozaru administratīvo pārkāpumu kodifikācijas ieviešanas sistēma”” (turpmāk – informatīvais ziņojums) 2.punkta izpildi.</w:t>
            </w:r>
          </w:p>
        </w:tc>
      </w:tr>
      <w:tr w:rsidR="00142F57" w:rsidRPr="005659E6" w:rsidTr="00C60A70">
        <w:trPr>
          <w:trHeight w:val="400"/>
        </w:trPr>
        <w:tc>
          <w:tcPr>
            <w:tcW w:w="544" w:type="pct"/>
            <w:hideMark/>
          </w:tcPr>
          <w:p w:rsidR="00142F57" w:rsidRPr="005659E6" w:rsidRDefault="00FE72E6" w:rsidP="00FE72E6">
            <w:pPr>
              <w:jc w:val="center"/>
            </w:pPr>
            <w:r w:rsidRPr="005659E6">
              <w:t>2.</w:t>
            </w:r>
          </w:p>
        </w:tc>
        <w:tc>
          <w:tcPr>
            <w:tcW w:w="1026" w:type="pct"/>
            <w:gridSpan w:val="2"/>
            <w:hideMark/>
          </w:tcPr>
          <w:p w:rsidR="00142F57" w:rsidRPr="005659E6" w:rsidRDefault="00142F57" w:rsidP="00FE72E6">
            <w:r w:rsidRPr="005659E6">
              <w:t>Pašreizējā situācija un problēmas, kuru risināšanai tiesību akta projekts izstrādāts, tiesiskā regulējuma mērķis un būtība</w:t>
            </w:r>
          </w:p>
        </w:tc>
        <w:tc>
          <w:tcPr>
            <w:tcW w:w="3430" w:type="pct"/>
            <w:gridSpan w:val="2"/>
            <w:hideMark/>
          </w:tcPr>
          <w:p w:rsidR="00703A20" w:rsidRPr="005659E6" w:rsidRDefault="00CD4655" w:rsidP="00703A20">
            <w:pPr>
              <w:ind w:left="-2" w:firstLine="283"/>
              <w:jc w:val="both"/>
              <w:rPr>
                <w:bCs/>
                <w:lang w:eastAsia="en-US"/>
              </w:rPr>
            </w:pPr>
            <w:r w:rsidRPr="005659E6">
              <w:rPr>
                <w:bCs/>
                <w:lang w:eastAsia="en-US"/>
              </w:rPr>
              <w:t>Ar Likumprojektu tiek pārņemtas un precizētas Latvijas Administratīvo pārkāpumu kodeksa (turpmāk – Kodekss) tiesību normas par administratīvajiem pārkāpumiem ieroču aprites jomā nosakot soda apmēru un kompetento iestādi sodu piemērošana</w:t>
            </w:r>
            <w:r w:rsidR="00741F50" w:rsidRPr="005659E6">
              <w:rPr>
                <w:bCs/>
                <w:lang w:eastAsia="en-US"/>
              </w:rPr>
              <w:t>i</w:t>
            </w:r>
            <w:r w:rsidRPr="005659E6">
              <w:rPr>
                <w:bCs/>
                <w:lang w:eastAsia="en-US"/>
              </w:rPr>
              <w:t xml:space="preserve">. </w:t>
            </w:r>
            <w:r w:rsidR="00222553" w:rsidRPr="005659E6">
              <w:rPr>
                <w:bCs/>
                <w:lang w:eastAsia="en-US"/>
              </w:rPr>
              <w:t>Nepieciešamība</w:t>
            </w:r>
            <w:r w:rsidRPr="005659E6">
              <w:rPr>
                <w:bCs/>
                <w:lang w:eastAsia="en-US"/>
              </w:rPr>
              <w:t xml:space="preserve"> precizēt Kodeksa ties</w:t>
            </w:r>
            <w:r w:rsidR="0024147E" w:rsidRPr="005659E6">
              <w:rPr>
                <w:bCs/>
                <w:lang w:eastAsia="en-US"/>
              </w:rPr>
              <w:t xml:space="preserve">ību normas ir saistītas ar notikušām konceptuālām izmaiņām ieroču aprites tiesiskā regulējumā. </w:t>
            </w:r>
            <w:r w:rsidRPr="005659E6">
              <w:rPr>
                <w:bCs/>
                <w:lang w:eastAsia="en-US"/>
              </w:rPr>
              <w:t xml:space="preserve"> </w:t>
            </w:r>
            <w:r w:rsidR="0024147E" w:rsidRPr="005659E6">
              <w:rPr>
                <w:bCs/>
                <w:lang w:eastAsia="en-US"/>
              </w:rPr>
              <w:t>2019.gada 10.aprīlī stājās spēkā jauns Ieroču aprites likums</w:t>
            </w:r>
            <w:r w:rsidR="003A5E60" w:rsidRPr="005659E6">
              <w:rPr>
                <w:bCs/>
                <w:lang w:eastAsia="en-US"/>
              </w:rPr>
              <w:t xml:space="preserve"> (turpmāk- Likums)</w:t>
            </w:r>
            <w:r w:rsidR="0024147E" w:rsidRPr="005659E6">
              <w:rPr>
                <w:bCs/>
                <w:lang w:eastAsia="en-US"/>
              </w:rPr>
              <w:t>, kas pārņēma Eiropas Parlamenta un Padomes 2017.gada 17.maija Direktīvas (ES) 2017/853, ar ko groza Padomes Direktīvu 91/477/EEK par ieroču iegādes un glabāšanas kontroli</w:t>
            </w:r>
            <w:r w:rsidR="0024147E" w:rsidRPr="005659E6">
              <w:rPr>
                <w:bCs/>
                <w:i/>
                <w:lang w:eastAsia="en-US"/>
              </w:rPr>
              <w:t xml:space="preserve"> </w:t>
            </w:r>
            <w:r w:rsidR="0024147E" w:rsidRPr="005659E6">
              <w:rPr>
                <w:bCs/>
                <w:lang w:eastAsia="en-US"/>
              </w:rPr>
              <w:t>(turpmāk – Direktīva (ES) 2017/853) prasības nacionālajos normatīvajos aktos. Pārņemot Direktīvu (ES) 2017/853 ieroču aprites tiesiskā regulējumā tika precizēta Latvijas ieroču aprites jomā izmantojama terminoloģija, lai</w:t>
            </w:r>
            <w:r w:rsidR="00741F50" w:rsidRPr="005659E6">
              <w:rPr>
                <w:bCs/>
                <w:lang w:eastAsia="en-US"/>
              </w:rPr>
              <w:t xml:space="preserve"> nodrošinātu Latvijā izmantojamā</w:t>
            </w:r>
            <w:r w:rsidR="0024147E" w:rsidRPr="005659E6">
              <w:rPr>
                <w:bCs/>
                <w:lang w:eastAsia="en-US"/>
              </w:rPr>
              <w:t>s ieroču aprites jomā terminoloģijas atbilst</w:t>
            </w:r>
            <w:r w:rsidR="00222553" w:rsidRPr="005659E6">
              <w:rPr>
                <w:bCs/>
                <w:lang w:eastAsia="en-US"/>
              </w:rPr>
              <w:t>ību Direktīvas (ES) 2017/853 prasībām. Ieroču aprites tiesiskā regulējum</w:t>
            </w:r>
            <w:r w:rsidR="00741F50" w:rsidRPr="005659E6">
              <w:rPr>
                <w:bCs/>
                <w:lang w:eastAsia="en-US"/>
              </w:rPr>
              <w:t>ā  tika ieviesti</w:t>
            </w:r>
            <w:r w:rsidR="00222553" w:rsidRPr="005659E6">
              <w:rPr>
                <w:bCs/>
                <w:lang w:eastAsia="en-US"/>
              </w:rPr>
              <w:t xml:space="preserve"> jauni jēdzieni, kā </w:t>
            </w:r>
            <w:proofErr w:type="spellStart"/>
            <w:r w:rsidR="00222553" w:rsidRPr="005659E6">
              <w:rPr>
                <w:bCs/>
                <w:lang w:eastAsia="en-US"/>
              </w:rPr>
              <w:t>salūtierocis</w:t>
            </w:r>
            <w:proofErr w:type="spellEnd"/>
            <w:r w:rsidR="00222553" w:rsidRPr="005659E6">
              <w:rPr>
                <w:bCs/>
                <w:lang w:eastAsia="en-US"/>
              </w:rPr>
              <w:t xml:space="preserve"> (akustiskais ierocis),  gāzes ierocis un </w:t>
            </w:r>
            <w:proofErr w:type="spellStart"/>
            <w:r w:rsidR="00222553" w:rsidRPr="005659E6">
              <w:rPr>
                <w:bCs/>
                <w:lang w:eastAsia="en-US"/>
              </w:rPr>
              <w:t>signālierocis</w:t>
            </w:r>
            <w:proofErr w:type="spellEnd"/>
            <w:r w:rsidR="00222553" w:rsidRPr="005659E6">
              <w:rPr>
                <w:bCs/>
                <w:lang w:eastAsia="en-US"/>
              </w:rPr>
              <w:t>. Izstrādājot jaunu Latvijas ieroču aprites tiesisko regulējumu pēc nacionālās iniciatīvas ieroču aprite tika papildināta ar jaun</w:t>
            </w:r>
            <w:r w:rsidR="003A5E60" w:rsidRPr="005659E6">
              <w:rPr>
                <w:bCs/>
                <w:lang w:eastAsia="en-US"/>
              </w:rPr>
              <w:t>iem</w:t>
            </w:r>
            <w:r w:rsidR="00222553" w:rsidRPr="005659E6">
              <w:rPr>
                <w:bCs/>
                <w:lang w:eastAsia="en-US"/>
              </w:rPr>
              <w:t xml:space="preserve"> ieroču ve</w:t>
            </w:r>
            <w:r w:rsidR="00741F50" w:rsidRPr="005659E6">
              <w:rPr>
                <w:bCs/>
                <w:lang w:eastAsia="en-US"/>
              </w:rPr>
              <w:t>idiem, kā</w:t>
            </w:r>
            <w:r w:rsidR="003A5E60" w:rsidRPr="005659E6">
              <w:rPr>
                <w:bCs/>
                <w:lang w:eastAsia="en-US"/>
              </w:rPr>
              <w:t xml:space="preserve"> </w:t>
            </w:r>
            <w:proofErr w:type="spellStart"/>
            <w:r w:rsidR="00222553" w:rsidRPr="005659E6">
              <w:rPr>
                <w:bCs/>
                <w:lang w:eastAsia="en-US"/>
              </w:rPr>
              <w:t>straikbola</w:t>
            </w:r>
            <w:proofErr w:type="spellEnd"/>
            <w:r w:rsidR="00222553" w:rsidRPr="005659E6">
              <w:rPr>
                <w:bCs/>
                <w:lang w:eastAsia="en-US"/>
              </w:rPr>
              <w:t xml:space="preserve"> ieroči, peintbola ieroči un </w:t>
            </w:r>
            <w:proofErr w:type="spellStart"/>
            <w:r w:rsidR="00222553" w:rsidRPr="005659E6">
              <w:rPr>
                <w:bCs/>
                <w:lang w:eastAsia="en-US"/>
              </w:rPr>
              <w:t>lāzertaga</w:t>
            </w:r>
            <w:proofErr w:type="spellEnd"/>
            <w:r w:rsidR="00222553" w:rsidRPr="005659E6">
              <w:rPr>
                <w:bCs/>
                <w:lang w:eastAsia="en-US"/>
              </w:rPr>
              <w:t xml:space="preserve"> ierīces. Atbilstoši Direktīva</w:t>
            </w:r>
            <w:r w:rsidR="00741F50" w:rsidRPr="005659E6">
              <w:rPr>
                <w:bCs/>
                <w:lang w:eastAsia="en-US"/>
              </w:rPr>
              <w:t>s</w:t>
            </w:r>
            <w:r w:rsidR="00222553" w:rsidRPr="005659E6">
              <w:rPr>
                <w:bCs/>
                <w:lang w:eastAsia="en-US"/>
              </w:rPr>
              <w:t xml:space="preserve"> (ES) 2017/853 prasīb</w:t>
            </w:r>
            <w:r w:rsidR="003A5E60" w:rsidRPr="005659E6">
              <w:rPr>
                <w:bCs/>
                <w:lang w:eastAsia="en-US"/>
              </w:rPr>
              <w:t xml:space="preserve">ām Likumā tika iestrādāts plašāks un detalizētāks tiesiskais regulējums attiecībā uz šaujamieroču maināmo būtisko sastāvdaļu apirti un minēto sastāvdaļu izsekojamību. </w:t>
            </w:r>
          </w:p>
          <w:p w:rsidR="00504DFD" w:rsidRPr="005659E6" w:rsidRDefault="00504DFD" w:rsidP="00504DFD">
            <w:pPr>
              <w:ind w:left="-2" w:firstLine="283"/>
              <w:jc w:val="both"/>
              <w:rPr>
                <w:bCs/>
                <w:lang w:eastAsia="en-US"/>
              </w:rPr>
            </w:pPr>
            <w:r w:rsidRPr="005659E6">
              <w:rPr>
                <w:bCs/>
                <w:lang w:eastAsia="en-US"/>
              </w:rPr>
              <w:t xml:space="preserve">Šobrīd Likumā nav noteikts fiziskajām personām aizliegums atteikties no medicīniskās pārbaudes alkohola koncentrācijas noteikšanai, narkotisko vai citu apreibinošo vielu ietekmes pārbaudes, ja persona tiek pārbaudīta saistībā ar ieroču un šaujamieroču maināmo būtisko sastāvdaļu, aprites noteikumu kontroli. Ņemot vērā minēto, tas izslēdz iespēju saukt fizisko personu pie administratīvas atbildības, ja fiziskā persona ieroču un šaujamieroču maināmo būtisko sastāvdaļu, aprites noteikumu kontroles laikā atteiksies no medicīniskās pārbaudes alkohola koncentrācijas noteikšanai, narkotisko vai citu apreibinošo vielu ietekmes pārbaudes. </w:t>
            </w:r>
          </w:p>
          <w:p w:rsidR="00504DFD" w:rsidRPr="005659E6" w:rsidRDefault="00504DFD" w:rsidP="00504DFD">
            <w:pPr>
              <w:ind w:left="-2"/>
              <w:jc w:val="both"/>
              <w:rPr>
                <w:bCs/>
                <w:lang w:eastAsia="en-US"/>
              </w:rPr>
            </w:pPr>
            <w:r w:rsidRPr="005659E6">
              <w:t xml:space="preserve">Tā kā ierocis ir paaugstinātas bīstamības avots, kura izmantošana vienmēr ir saistīta ar zināmu risku,  ir jāapsver konkrētās personas, kas vēlas </w:t>
            </w:r>
            <w:r w:rsidRPr="005659E6">
              <w:lastRenderedPageBreak/>
              <w:t>izmantot ieroci, intereses, samērojot tās ar sabiedrības interesi dzīvot drošā un labvēlīgā vidē (sabiedrības drošības nodrošināšanu).</w:t>
            </w:r>
          </w:p>
          <w:p w:rsidR="00504DFD" w:rsidRPr="005659E6" w:rsidRDefault="00CF17D8" w:rsidP="009B141D">
            <w:pPr>
              <w:ind w:left="-2"/>
              <w:jc w:val="both"/>
              <w:rPr>
                <w:bCs/>
                <w:lang w:eastAsia="en-US"/>
              </w:rPr>
            </w:pPr>
            <w:r w:rsidRPr="005659E6">
              <w:rPr>
                <w:bCs/>
                <w:lang w:eastAsia="en-US"/>
              </w:rPr>
              <w:t>Līdz ar ko Likumprojekta</w:t>
            </w:r>
            <w:r w:rsidR="00135238" w:rsidRPr="005659E6">
              <w:rPr>
                <w:bCs/>
                <w:lang w:eastAsia="en-US"/>
              </w:rPr>
              <w:t xml:space="preserve"> 1.pants paredz</w:t>
            </w:r>
            <w:r w:rsidR="003A5E60" w:rsidRPr="005659E6">
              <w:rPr>
                <w:bCs/>
                <w:lang w:eastAsia="en-US"/>
              </w:rPr>
              <w:t xml:space="preserve"> </w:t>
            </w:r>
            <w:r w:rsidR="00456A35" w:rsidRPr="005659E6">
              <w:rPr>
                <w:bCs/>
                <w:lang w:eastAsia="en-US"/>
              </w:rPr>
              <w:t>papildināt</w:t>
            </w:r>
            <w:r w:rsidR="00135238" w:rsidRPr="005659E6">
              <w:rPr>
                <w:bCs/>
                <w:lang w:eastAsia="en-US"/>
              </w:rPr>
              <w:t xml:space="preserve"> Likuma</w:t>
            </w:r>
            <w:r w:rsidR="003A5E60" w:rsidRPr="005659E6">
              <w:rPr>
                <w:bCs/>
                <w:lang w:eastAsia="en-US"/>
              </w:rPr>
              <w:t xml:space="preserve"> </w:t>
            </w:r>
            <w:r w:rsidR="00135238" w:rsidRPr="005659E6">
              <w:rPr>
                <w:bCs/>
                <w:lang w:eastAsia="en-US"/>
              </w:rPr>
              <w:t>13.panta pirmo daļu ar 10.punktu ietverot L</w:t>
            </w:r>
            <w:r w:rsidR="00CD4655" w:rsidRPr="005659E6">
              <w:rPr>
                <w:bCs/>
                <w:lang w:eastAsia="en-US"/>
              </w:rPr>
              <w:t>ikumā jaunu aizliegumu, kas nosaka, ka fizisk</w:t>
            </w:r>
            <w:r w:rsidR="00C765AD" w:rsidRPr="005659E6">
              <w:rPr>
                <w:bCs/>
                <w:lang w:eastAsia="en-US"/>
              </w:rPr>
              <w:t>aj</w:t>
            </w:r>
            <w:r w:rsidR="00CD4655" w:rsidRPr="005659E6">
              <w:rPr>
                <w:bCs/>
                <w:lang w:eastAsia="en-US"/>
              </w:rPr>
              <w:t xml:space="preserve">ām personām aizliegts atteikties no medicīniskās pārbaudes alkohola koncentrācijas noteikšanai, narkotisko vai citu apreibinošo vielu ietekmes pārbaudes, ja persona tiek pārbaudīta saistībā ar </w:t>
            </w:r>
            <w:r w:rsidR="000E7527" w:rsidRPr="005659E6">
              <w:rPr>
                <w:bCs/>
                <w:lang w:eastAsia="en-US"/>
              </w:rPr>
              <w:t xml:space="preserve">šaujamieroču, gāzes ieroču un </w:t>
            </w:r>
            <w:proofErr w:type="spellStart"/>
            <w:r w:rsidR="000E7527" w:rsidRPr="005659E6">
              <w:rPr>
                <w:bCs/>
                <w:lang w:eastAsia="en-US"/>
              </w:rPr>
              <w:t>signālieroču</w:t>
            </w:r>
            <w:proofErr w:type="spellEnd"/>
            <w:r w:rsidR="000E7527" w:rsidRPr="005659E6">
              <w:rPr>
                <w:bCs/>
                <w:lang w:eastAsia="en-US"/>
              </w:rPr>
              <w:t xml:space="preserve">, pneimatisko ieroču, </w:t>
            </w:r>
            <w:proofErr w:type="spellStart"/>
            <w:r w:rsidR="000E7527" w:rsidRPr="005659E6">
              <w:rPr>
                <w:bCs/>
                <w:lang w:eastAsia="en-US"/>
              </w:rPr>
              <w:t>straikbola</w:t>
            </w:r>
            <w:proofErr w:type="spellEnd"/>
            <w:r w:rsidR="000E7527" w:rsidRPr="005659E6">
              <w:rPr>
                <w:bCs/>
                <w:lang w:eastAsia="en-US"/>
              </w:rPr>
              <w:t xml:space="preserve"> ieroču, peintbola ieroču, </w:t>
            </w:r>
            <w:proofErr w:type="spellStart"/>
            <w:r w:rsidR="000E7527" w:rsidRPr="005659E6">
              <w:rPr>
                <w:bCs/>
                <w:lang w:eastAsia="en-US"/>
              </w:rPr>
              <w:t>lāzertaga</w:t>
            </w:r>
            <w:proofErr w:type="spellEnd"/>
            <w:r w:rsidR="000E7527" w:rsidRPr="005659E6">
              <w:rPr>
                <w:bCs/>
                <w:lang w:eastAsia="en-US"/>
              </w:rPr>
              <w:t xml:space="preserve"> ierīču, dezaktivētu ieroču un šaujamieroču maināmo būtisko sastāvdaļu, aprites noteikumu kontroli. </w:t>
            </w:r>
            <w:r w:rsidR="00741F50" w:rsidRPr="005659E6">
              <w:rPr>
                <w:bCs/>
                <w:lang w:eastAsia="en-US"/>
              </w:rPr>
              <w:t>Minētais</w:t>
            </w:r>
            <w:r w:rsidR="00CD4655" w:rsidRPr="005659E6">
              <w:rPr>
                <w:bCs/>
                <w:lang w:eastAsia="en-US"/>
              </w:rPr>
              <w:t xml:space="preserve"> aizliegums nepieciešams, lai nodrošinātu</w:t>
            </w:r>
            <w:r w:rsidR="003A5E60" w:rsidRPr="005659E6">
              <w:rPr>
                <w:bCs/>
                <w:lang w:eastAsia="en-US"/>
              </w:rPr>
              <w:t xml:space="preserve"> Kodeksa 181.</w:t>
            </w:r>
            <w:r w:rsidR="003A5E60" w:rsidRPr="005659E6">
              <w:rPr>
                <w:bCs/>
                <w:vertAlign w:val="superscript"/>
                <w:lang w:eastAsia="en-US"/>
              </w:rPr>
              <w:t>1</w:t>
            </w:r>
            <w:r w:rsidR="003A5E60" w:rsidRPr="005659E6">
              <w:rPr>
                <w:bCs/>
                <w:lang w:eastAsia="en-US"/>
              </w:rPr>
              <w:t>panta pārņemšanu pilnā</w:t>
            </w:r>
            <w:r w:rsidR="00C138F3" w:rsidRPr="005659E6">
              <w:rPr>
                <w:bCs/>
                <w:lang w:eastAsia="en-US"/>
              </w:rPr>
              <w:t xml:space="preserve"> apjomā. Šobrīd Kodeksa 181.</w:t>
            </w:r>
            <w:r w:rsidR="00C138F3" w:rsidRPr="005659E6">
              <w:rPr>
                <w:bCs/>
                <w:vertAlign w:val="superscript"/>
                <w:lang w:eastAsia="en-US"/>
              </w:rPr>
              <w:t>1</w:t>
            </w:r>
            <w:r w:rsidR="00C138F3" w:rsidRPr="005659E6">
              <w:rPr>
                <w:bCs/>
                <w:lang w:eastAsia="en-US"/>
              </w:rPr>
              <w:t>panta pirmās daļas dispozīcija paredz</w:t>
            </w:r>
            <w:r w:rsidR="00C765AD" w:rsidRPr="005659E6">
              <w:rPr>
                <w:bCs/>
                <w:lang w:eastAsia="en-US"/>
              </w:rPr>
              <w:t xml:space="preserve"> fiziskajām personām</w:t>
            </w:r>
            <w:r w:rsidR="0061523E" w:rsidRPr="005659E6">
              <w:rPr>
                <w:bCs/>
                <w:lang w:eastAsia="en-US"/>
              </w:rPr>
              <w:t xml:space="preserve"> administratīvo atbildību</w:t>
            </w:r>
            <w:r w:rsidR="00C138F3" w:rsidRPr="005659E6">
              <w:rPr>
                <w:bCs/>
                <w:lang w:eastAsia="en-US"/>
              </w:rPr>
              <w:t xml:space="preserve"> </w:t>
            </w:r>
            <w:r w:rsidR="0061523E" w:rsidRPr="005659E6">
              <w:rPr>
                <w:bCs/>
                <w:lang w:eastAsia="en-US"/>
              </w:rPr>
              <w:t>par šaujamieroča, lielas enerģijas pneimatiskā ieroča vai gāzes pistoles (revolvera) iegādāšanos, nēsāšanu, pārvadāšanu, izmantošanu un pielietošanu alkohola ietekmē, ja izelpotā gaisa vai asins pārbaudē konstatētā alkohola koncentrācija asinīs pārsniedz 0,5 promiles, kā arī narkotisko, psihotropo, toksisko vai citu apreibi</w:t>
            </w:r>
            <w:r w:rsidR="006B448E">
              <w:rPr>
                <w:bCs/>
                <w:lang w:eastAsia="en-US"/>
              </w:rPr>
              <w:t>nošo vielu ietekmē. Jaunā Likuma</w:t>
            </w:r>
            <w:r w:rsidR="0061523E" w:rsidRPr="005659E6">
              <w:rPr>
                <w:bCs/>
                <w:lang w:eastAsia="en-US"/>
              </w:rPr>
              <w:t xml:space="preserve"> 13.panta pirmās daļas 5.punktā ir noteikts aizliegums fiziskajām personām iegādāties, nēsāt, pārvadāt, izmantot un pielietot šaujamieročus, gāzes ieročus un </w:t>
            </w:r>
            <w:proofErr w:type="spellStart"/>
            <w:r w:rsidR="0061523E" w:rsidRPr="005659E6">
              <w:rPr>
                <w:bCs/>
                <w:lang w:eastAsia="en-US"/>
              </w:rPr>
              <w:t>signālieročus</w:t>
            </w:r>
            <w:proofErr w:type="spellEnd"/>
            <w:r w:rsidR="0061523E" w:rsidRPr="005659E6">
              <w:rPr>
                <w:bCs/>
                <w:lang w:eastAsia="en-US"/>
              </w:rPr>
              <w:t xml:space="preserve">, pneimatiskos ieročus, </w:t>
            </w:r>
            <w:proofErr w:type="spellStart"/>
            <w:r w:rsidR="0061523E" w:rsidRPr="005659E6">
              <w:rPr>
                <w:bCs/>
                <w:lang w:eastAsia="en-US"/>
              </w:rPr>
              <w:t>straikbola</w:t>
            </w:r>
            <w:proofErr w:type="spellEnd"/>
            <w:r w:rsidR="0061523E" w:rsidRPr="005659E6">
              <w:rPr>
                <w:bCs/>
                <w:lang w:eastAsia="en-US"/>
              </w:rPr>
              <w:t xml:space="preserve"> ieročus, peintbola ieročus, </w:t>
            </w:r>
            <w:proofErr w:type="spellStart"/>
            <w:r w:rsidR="0061523E" w:rsidRPr="005659E6">
              <w:rPr>
                <w:bCs/>
                <w:lang w:eastAsia="en-US"/>
              </w:rPr>
              <w:t>lāzertaga</w:t>
            </w:r>
            <w:proofErr w:type="spellEnd"/>
            <w:r w:rsidR="0061523E" w:rsidRPr="005659E6">
              <w:rPr>
                <w:bCs/>
                <w:lang w:eastAsia="en-US"/>
              </w:rPr>
              <w:t xml:space="preserve"> ierīces, dezaktivētus ieročus, esot alkohola ietekmē, ja izelpotā gaisa vai asins pārbaudē konstatētā alkohola koncentrācija asinīs pārsniedz 0,5 promiles, kā arī narkotisko, psihotropo, toksisko vai citu apreibinošo vielu ietekmē. Vienlaikus Likuma 13.panta pirmās daļas 6.punkts nosaka aizliegumu fiziskajām personām iegādāties un pārvadāt šaujamieroču maināmās būtiskās sastāvdaļas, esot alkohola ietekmē, ja izelpotā gaisa vai asins pārbaudē konstatētā alkohola koncentrācija asinīs pārsniedz 0,5 promiles, kā arī narkotisko, psihotropo, toksisko vai citu apreibinošo vielu ietekmē.</w:t>
            </w:r>
            <w:r w:rsidR="00C765AD" w:rsidRPr="005659E6">
              <w:rPr>
                <w:bCs/>
                <w:lang w:eastAsia="en-US"/>
              </w:rPr>
              <w:t xml:space="preserve"> </w:t>
            </w:r>
          </w:p>
          <w:p w:rsidR="00504DFD" w:rsidRPr="005659E6" w:rsidRDefault="00C765AD" w:rsidP="009B141D">
            <w:pPr>
              <w:ind w:left="-2"/>
              <w:jc w:val="both"/>
              <w:rPr>
                <w:bCs/>
                <w:lang w:eastAsia="en-US"/>
              </w:rPr>
            </w:pPr>
            <w:r w:rsidRPr="005659E6">
              <w:rPr>
                <w:bCs/>
                <w:lang w:eastAsia="en-US"/>
              </w:rPr>
              <w:t>Savukārt Kodeksa 181.</w:t>
            </w:r>
            <w:r w:rsidRPr="005659E6">
              <w:rPr>
                <w:bCs/>
                <w:vertAlign w:val="superscript"/>
                <w:lang w:eastAsia="en-US"/>
              </w:rPr>
              <w:t>1</w:t>
            </w:r>
            <w:r w:rsidRPr="005659E6">
              <w:rPr>
                <w:bCs/>
                <w:lang w:eastAsia="en-US"/>
              </w:rPr>
              <w:t xml:space="preserve">panta pirmās daļas dispozīcija paredz fiziskajām personām administratīvo atbildību par atteikšanos no medicīniskās pārbaudes alkohola koncentrācijas noteikšanai vai narkotisko, psihotropo, toksisko un citu apreibinošo vielu ietekmes medicīniskās pārbaudes. </w:t>
            </w:r>
          </w:p>
          <w:p w:rsidR="004C70FB" w:rsidRPr="005659E6" w:rsidRDefault="004C70FB" w:rsidP="00703A20">
            <w:pPr>
              <w:ind w:firstLine="281"/>
              <w:jc w:val="both"/>
              <w:rPr>
                <w:bCs/>
                <w:lang w:eastAsia="en-US"/>
              </w:rPr>
            </w:pPr>
            <w:r w:rsidRPr="005659E6">
              <w:rPr>
                <w:bCs/>
                <w:lang w:eastAsia="en-US"/>
              </w:rPr>
              <w:t xml:space="preserve">Likumprojekta </w:t>
            </w:r>
            <w:r w:rsidR="00407321" w:rsidRPr="005659E6">
              <w:rPr>
                <w:bCs/>
                <w:lang w:eastAsia="en-US"/>
              </w:rPr>
              <w:t>XX</w:t>
            </w:r>
            <w:r w:rsidR="000428DD" w:rsidRPr="005659E6">
              <w:rPr>
                <w:bCs/>
                <w:lang w:eastAsia="en-US"/>
              </w:rPr>
              <w:t xml:space="preserve"> </w:t>
            </w:r>
            <w:r w:rsidRPr="005659E6">
              <w:rPr>
                <w:bCs/>
                <w:lang w:eastAsia="en-US"/>
              </w:rPr>
              <w:t xml:space="preserve">nodaļā ir iekļauti visi šobrīd Kodeksā esošie administratīvie pārkāpumi </w:t>
            </w:r>
            <w:r w:rsidR="00927F16" w:rsidRPr="005659E6">
              <w:t>ieroču aprites</w:t>
            </w:r>
            <w:r w:rsidR="00927F16" w:rsidRPr="005659E6">
              <w:rPr>
                <w:bCs/>
                <w:lang w:eastAsia="en-US"/>
              </w:rPr>
              <w:t xml:space="preserve"> jomā </w:t>
            </w:r>
            <w:r w:rsidRPr="005659E6">
              <w:rPr>
                <w:bCs/>
                <w:lang w:eastAsia="en-US"/>
              </w:rPr>
              <w:t xml:space="preserve">un noteikta kompetentā iestāde, kurai būs piekritīga </w:t>
            </w:r>
            <w:r w:rsidR="00703A20" w:rsidRPr="005659E6">
              <w:rPr>
                <w:bCs/>
                <w:lang w:eastAsia="en-US"/>
              </w:rPr>
              <w:t xml:space="preserve">administratīvo sodu piemērošana. </w:t>
            </w:r>
            <w:r w:rsidRPr="005659E6">
              <w:rPr>
                <w:bCs/>
                <w:lang w:eastAsia="en-US"/>
              </w:rPr>
              <w:t>Ar Likumprojektu tiek pārņemt</w:t>
            </w:r>
            <w:r w:rsidR="00F4631C" w:rsidRPr="005659E6">
              <w:rPr>
                <w:bCs/>
                <w:lang w:eastAsia="en-US"/>
              </w:rPr>
              <w:t>s</w:t>
            </w:r>
            <w:r w:rsidRPr="005659E6">
              <w:rPr>
                <w:bCs/>
                <w:lang w:eastAsia="en-US"/>
              </w:rPr>
              <w:t xml:space="preserve"> Kodeksa 166.</w:t>
            </w:r>
            <w:r w:rsidRPr="005659E6">
              <w:rPr>
                <w:bCs/>
                <w:vertAlign w:val="superscript"/>
                <w:lang w:eastAsia="en-US"/>
              </w:rPr>
              <w:t>2</w:t>
            </w:r>
            <w:r w:rsidR="00152A81" w:rsidRPr="005659E6">
              <w:rPr>
                <w:bCs/>
                <w:lang w:eastAsia="en-US"/>
              </w:rPr>
              <w:t xml:space="preserve"> pirmā daļa</w:t>
            </w:r>
            <w:r w:rsidRPr="005659E6">
              <w:rPr>
                <w:bCs/>
                <w:lang w:eastAsia="en-US"/>
              </w:rPr>
              <w:t xml:space="preserve">, </w:t>
            </w:r>
            <w:r w:rsidR="00072CA6" w:rsidRPr="005659E6">
              <w:rPr>
                <w:rFonts w:eastAsia="Calibri"/>
                <w:lang w:eastAsia="en-US"/>
              </w:rPr>
              <w:t>181.panta pirmā un otrā daļa, 181.</w:t>
            </w:r>
            <w:r w:rsidR="00072CA6" w:rsidRPr="005659E6">
              <w:rPr>
                <w:rFonts w:eastAsia="Calibri"/>
                <w:vertAlign w:val="superscript"/>
                <w:lang w:eastAsia="en-US"/>
              </w:rPr>
              <w:t>1</w:t>
            </w:r>
            <w:r w:rsidR="00072CA6" w:rsidRPr="005659E6">
              <w:rPr>
                <w:rFonts w:eastAsia="Calibri"/>
                <w:lang w:eastAsia="en-US"/>
              </w:rPr>
              <w:t>pants, 183. un 183.</w:t>
            </w:r>
            <w:r w:rsidR="00072CA6" w:rsidRPr="005659E6">
              <w:rPr>
                <w:rFonts w:eastAsia="Calibri"/>
                <w:vertAlign w:val="superscript"/>
                <w:lang w:eastAsia="en-US"/>
              </w:rPr>
              <w:t>3</w:t>
            </w:r>
            <w:r w:rsidR="00072CA6" w:rsidRPr="005659E6">
              <w:rPr>
                <w:rFonts w:eastAsia="Calibri"/>
                <w:lang w:eastAsia="en-US"/>
              </w:rPr>
              <w:t>pants</w:t>
            </w:r>
            <w:r w:rsidRPr="005659E6">
              <w:rPr>
                <w:bCs/>
                <w:lang w:eastAsia="en-US"/>
              </w:rPr>
              <w:t>.</w:t>
            </w:r>
          </w:p>
          <w:p w:rsidR="00546752" w:rsidRPr="005659E6" w:rsidRDefault="00B43092" w:rsidP="008B2A0B">
            <w:pPr>
              <w:ind w:firstLine="281"/>
              <w:jc w:val="both"/>
              <w:rPr>
                <w:bCs/>
                <w:lang w:eastAsia="en-US"/>
              </w:rPr>
            </w:pPr>
            <w:r w:rsidRPr="005659E6">
              <w:rPr>
                <w:bCs/>
                <w:lang w:eastAsia="en-US"/>
              </w:rPr>
              <w:t>L</w:t>
            </w:r>
            <w:r w:rsidR="004C70FB" w:rsidRPr="005659E6">
              <w:rPr>
                <w:bCs/>
                <w:lang w:eastAsia="en-US"/>
              </w:rPr>
              <w:t>iku</w:t>
            </w:r>
            <w:r w:rsidR="00C64CB1" w:rsidRPr="005659E6">
              <w:rPr>
                <w:bCs/>
                <w:lang w:eastAsia="en-US"/>
              </w:rPr>
              <w:t>mprojekts paredz Likumā pārņemt</w:t>
            </w:r>
            <w:r w:rsidR="004C70FB" w:rsidRPr="005659E6">
              <w:rPr>
                <w:bCs/>
                <w:lang w:eastAsia="en-US"/>
              </w:rPr>
              <w:t xml:space="preserve"> iepriekšminēto</w:t>
            </w:r>
            <w:r w:rsidR="00C64CB1" w:rsidRPr="005659E6">
              <w:rPr>
                <w:bCs/>
                <w:lang w:eastAsia="en-US"/>
              </w:rPr>
              <w:t xml:space="preserve"> Kodeksa 166.</w:t>
            </w:r>
            <w:r w:rsidR="00C64CB1" w:rsidRPr="005659E6">
              <w:rPr>
                <w:bCs/>
                <w:vertAlign w:val="superscript"/>
                <w:lang w:eastAsia="en-US"/>
              </w:rPr>
              <w:t>2</w:t>
            </w:r>
            <w:r w:rsidR="00C64CB1" w:rsidRPr="005659E6">
              <w:rPr>
                <w:bCs/>
                <w:lang w:eastAsia="en-US"/>
              </w:rPr>
              <w:t xml:space="preserve"> panta pirmo daļu – Likumprojekta 102.pantā, kas paredz administratīvo atbildību par komercdarbības veikšanu </w:t>
            </w:r>
            <w:bookmarkStart w:id="0" w:name="_Hlk10151077"/>
            <w:r w:rsidR="00C64CB1" w:rsidRPr="005659E6">
              <w:rPr>
                <w:bCs/>
                <w:lang w:eastAsia="en-US"/>
              </w:rPr>
              <w:t>bez speciālās atļaujas (licences)</w:t>
            </w:r>
            <w:bookmarkEnd w:id="0"/>
            <w:r w:rsidR="000E7527" w:rsidRPr="005659E6">
              <w:rPr>
                <w:bCs/>
                <w:lang w:eastAsia="en-US"/>
              </w:rPr>
              <w:t xml:space="preserve"> ieroču aprites jomā</w:t>
            </w:r>
            <w:r w:rsidR="00C64CB1" w:rsidRPr="005659E6">
              <w:rPr>
                <w:bCs/>
                <w:lang w:eastAsia="en-US"/>
              </w:rPr>
              <w:t>. Minēt</w:t>
            </w:r>
            <w:r w:rsidR="00611BCB" w:rsidRPr="005659E6">
              <w:rPr>
                <w:bCs/>
                <w:lang w:eastAsia="en-US"/>
              </w:rPr>
              <w:t>ā</w:t>
            </w:r>
            <w:r w:rsidR="00C64CB1" w:rsidRPr="005659E6">
              <w:rPr>
                <w:bCs/>
                <w:lang w:eastAsia="en-US"/>
              </w:rPr>
              <w:t xml:space="preserve"> pārkāpumā subjekts var būt fiziskā persona vai uzņēmuma valdes loceklis, kas ignorējot ieroču aprites tiesiskā regulē</w:t>
            </w:r>
            <w:r w:rsidR="00546752" w:rsidRPr="005659E6">
              <w:rPr>
                <w:bCs/>
                <w:lang w:eastAsia="en-US"/>
              </w:rPr>
              <w:t>jumā noteikto prasību saņemt speciālo atļauju (licenci) veic komercdarbību ieroču apritē</w:t>
            </w:r>
            <w:r w:rsidR="000E7527" w:rsidRPr="005659E6">
              <w:rPr>
                <w:bCs/>
                <w:lang w:eastAsia="en-US"/>
              </w:rPr>
              <w:t xml:space="preserve"> ar ieročiem, munīciju un speciālajiem līdzekļiem, ar šaujamieroču un munīcijas sastāvdaļām (ieskaitot šaujampulveri)</w:t>
            </w:r>
            <w:r w:rsidR="00546752" w:rsidRPr="005659E6">
              <w:rPr>
                <w:bCs/>
                <w:lang w:eastAsia="en-US"/>
              </w:rPr>
              <w:t>. Personas sauks pie administratīvas atbildības tikai tādos gadījumos, kad p</w:t>
            </w:r>
            <w:r w:rsidR="00741F50" w:rsidRPr="005659E6">
              <w:rPr>
                <w:bCs/>
                <w:lang w:eastAsia="en-US"/>
              </w:rPr>
              <w:t>ersonas nepārkāps Krimināllikuma 233.panta nosacījumus, porti</w:t>
            </w:r>
            <w:r w:rsidR="00546752" w:rsidRPr="005659E6">
              <w:rPr>
                <w:bCs/>
                <w:lang w:eastAsia="en-US"/>
              </w:rPr>
              <w:t xml:space="preserve">, </w:t>
            </w:r>
            <w:r w:rsidR="00F160A5" w:rsidRPr="005659E6">
              <w:rPr>
                <w:bCs/>
                <w:lang w:eastAsia="en-US"/>
              </w:rPr>
              <w:t xml:space="preserve">personu sauks pie kriminālatbildības, kad persona </w:t>
            </w:r>
            <w:r w:rsidR="00546752" w:rsidRPr="005659E6">
              <w:rPr>
                <w:bCs/>
                <w:lang w:eastAsia="en-US"/>
              </w:rPr>
              <w:t>veiks komercdarbību</w:t>
            </w:r>
            <w:r w:rsidR="00F160A5" w:rsidRPr="005659E6">
              <w:rPr>
                <w:bCs/>
                <w:lang w:eastAsia="en-US"/>
              </w:rPr>
              <w:t xml:space="preserve"> bez attiecīgās atļaujas</w:t>
            </w:r>
            <w:r w:rsidR="00546752" w:rsidRPr="005659E6">
              <w:rPr>
                <w:bCs/>
                <w:lang w:eastAsia="en-US"/>
              </w:rPr>
              <w:t xml:space="preserve"> ar </w:t>
            </w:r>
            <w:r w:rsidR="00F160A5" w:rsidRPr="005659E6">
              <w:rPr>
                <w:bCs/>
                <w:lang w:eastAsia="en-US"/>
              </w:rPr>
              <w:t xml:space="preserve"> šaujamieročiem, </w:t>
            </w:r>
            <w:r w:rsidR="00F160A5" w:rsidRPr="005659E6">
              <w:rPr>
                <w:bCs/>
                <w:lang w:eastAsia="en-US"/>
              </w:rPr>
              <w:lastRenderedPageBreak/>
              <w:t xml:space="preserve">šaujamieroču būtiskām sastāvdaļām, šaujamieroču munīciju vai lielas enerģijas pneimatiskiem ieročiem. Ņemot vērā administratīva pārkāpuma būtību un tā bīstamības raksturu sabiedrības kārtībai un drošībai </w:t>
            </w:r>
            <w:r w:rsidR="003E282E" w:rsidRPr="005659E6">
              <w:rPr>
                <w:bCs/>
                <w:lang w:eastAsia="en-US"/>
              </w:rPr>
              <w:t xml:space="preserve">pēc būtības </w:t>
            </w:r>
            <w:r w:rsidR="00F160A5" w:rsidRPr="005659E6">
              <w:rPr>
                <w:bCs/>
                <w:lang w:eastAsia="en-US"/>
              </w:rPr>
              <w:t>ir pārņemta Kodeksa 166.</w:t>
            </w:r>
            <w:r w:rsidR="00F160A5" w:rsidRPr="005659E6">
              <w:rPr>
                <w:bCs/>
                <w:vertAlign w:val="superscript"/>
                <w:lang w:eastAsia="en-US"/>
              </w:rPr>
              <w:t>2</w:t>
            </w:r>
            <w:r w:rsidR="00F160A5" w:rsidRPr="005659E6">
              <w:rPr>
                <w:bCs/>
                <w:lang w:eastAsia="en-US"/>
              </w:rPr>
              <w:t xml:space="preserve"> panta pirmās daļas sankcija papildus precizējot</w:t>
            </w:r>
            <w:r w:rsidR="003E282E" w:rsidRPr="005659E6">
              <w:rPr>
                <w:bCs/>
                <w:lang w:eastAsia="en-US"/>
              </w:rPr>
              <w:t xml:space="preserve"> sankciju paredzot iespēju atņemt tiesības ieņemt noteiktus amatus komercsabiedrībās</w:t>
            </w:r>
            <w:r w:rsidR="00F160A5" w:rsidRPr="005659E6">
              <w:rPr>
                <w:bCs/>
                <w:lang w:eastAsia="en-US"/>
              </w:rPr>
              <w:t xml:space="preserve"> </w:t>
            </w:r>
            <w:r w:rsidR="003E282E" w:rsidRPr="005659E6">
              <w:rPr>
                <w:bCs/>
                <w:lang w:eastAsia="en-US"/>
              </w:rPr>
              <w:t xml:space="preserve">uz noteiktu termiņu līdz pat 5 gadiem. </w:t>
            </w:r>
            <w:r w:rsidR="008B2A0B" w:rsidRPr="005659E6">
              <w:rPr>
                <w:bCs/>
                <w:lang w:eastAsia="en-US"/>
              </w:rPr>
              <w:t>Paredzams, ka m</w:t>
            </w:r>
            <w:r w:rsidR="00741F50" w:rsidRPr="005659E6">
              <w:rPr>
                <w:bCs/>
                <w:lang w:eastAsia="en-US"/>
              </w:rPr>
              <w:t>inētais</w:t>
            </w:r>
            <w:r w:rsidR="008B2A0B" w:rsidRPr="005659E6">
              <w:rPr>
                <w:bCs/>
                <w:lang w:eastAsia="en-US"/>
              </w:rPr>
              <w:t xml:space="preserve"> sods atturēs personu no vēlmes pieļaut administratīvos pārkāpumus, </w:t>
            </w:r>
            <w:r w:rsidR="00741F50" w:rsidRPr="005659E6">
              <w:rPr>
                <w:bCs/>
                <w:lang w:eastAsia="en-US"/>
              </w:rPr>
              <w:t>atturē</w:t>
            </w:r>
            <w:r w:rsidR="008B2A0B" w:rsidRPr="005659E6">
              <w:rPr>
                <w:bCs/>
                <w:lang w:eastAsia="en-US"/>
              </w:rPr>
              <w:t>s no jaunu pā</w:t>
            </w:r>
            <w:r w:rsidR="00741F50" w:rsidRPr="005659E6">
              <w:rPr>
                <w:bCs/>
                <w:lang w:eastAsia="en-US"/>
              </w:rPr>
              <w:t>rkāpumu izdarīšanas un veicinās</w:t>
            </w:r>
            <w:r w:rsidR="008B2A0B" w:rsidRPr="005659E6">
              <w:rPr>
                <w:bCs/>
                <w:lang w:eastAsia="en-US"/>
              </w:rPr>
              <w:t xml:space="preserve"> normatīvo aktu ievērošanu, šajā gadījumā Likumu.</w:t>
            </w:r>
          </w:p>
          <w:p w:rsidR="008B2A0B" w:rsidRPr="005659E6" w:rsidRDefault="008B2A0B" w:rsidP="008B2A0B">
            <w:pPr>
              <w:ind w:firstLine="281"/>
              <w:jc w:val="both"/>
              <w:rPr>
                <w:bCs/>
                <w:lang w:eastAsia="en-US"/>
              </w:rPr>
            </w:pPr>
            <w:r w:rsidRPr="005659E6">
              <w:rPr>
                <w:bCs/>
                <w:lang w:eastAsia="en-US"/>
              </w:rPr>
              <w:t>Statistikas dati par Kodeksa 166.</w:t>
            </w:r>
            <w:r w:rsidRPr="005659E6">
              <w:rPr>
                <w:bCs/>
                <w:vertAlign w:val="superscript"/>
                <w:lang w:eastAsia="en-US"/>
              </w:rPr>
              <w:t xml:space="preserve">2 </w:t>
            </w:r>
            <w:r w:rsidRPr="005659E6">
              <w:rPr>
                <w:bCs/>
                <w:lang w:eastAsia="en-US"/>
              </w:rPr>
              <w:t>panta pirmajā daļā paredzētā pārkāpuma izdarīšanu:</w:t>
            </w:r>
          </w:p>
          <w:p w:rsidR="008B2A0B" w:rsidRPr="005659E6" w:rsidRDefault="008B2A0B" w:rsidP="008B2A0B">
            <w:pPr>
              <w:ind w:firstLine="281"/>
              <w:jc w:val="both"/>
              <w:rPr>
                <w:bCs/>
                <w:lang w:eastAsia="en-US"/>
              </w:rPr>
            </w:pPr>
          </w:p>
          <w:tbl>
            <w:tblPr>
              <w:tblStyle w:val="TableGrid"/>
              <w:tblW w:w="6973" w:type="dxa"/>
              <w:tblLayout w:type="fixed"/>
              <w:tblLook w:val="04A0" w:firstRow="1" w:lastRow="0" w:firstColumn="1" w:lastColumn="0" w:noHBand="0" w:noVBand="1"/>
            </w:tblPr>
            <w:tblGrid>
              <w:gridCol w:w="1225"/>
              <w:gridCol w:w="1242"/>
              <w:gridCol w:w="1520"/>
              <w:gridCol w:w="1818"/>
              <w:gridCol w:w="1168"/>
            </w:tblGrid>
            <w:tr w:rsidR="008B2A0B" w:rsidRPr="005659E6" w:rsidTr="00434FDA">
              <w:trPr>
                <w:trHeight w:val="920"/>
              </w:trPr>
              <w:tc>
                <w:tcPr>
                  <w:tcW w:w="1225" w:type="dxa"/>
                </w:tcPr>
                <w:p w:rsidR="008B2A0B" w:rsidRPr="005659E6" w:rsidRDefault="008B2A0B" w:rsidP="00434FDA">
                  <w:pPr>
                    <w:ind w:firstLine="281"/>
                    <w:jc w:val="center"/>
                    <w:rPr>
                      <w:bCs/>
                      <w:lang w:eastAsia="en-US"/>
                    </w:rPr>
                  </w:pPr>
                  <w:r w:rsidRPr="005659E6">
                    <w:rPr>
                      <w:bCs/>
                      <w:lang w:eastAsia="en-US"/>
                    </w:rPr>
                    <w:t>Kodeksa 166.</w:t>
                  </w:r>
                  <w:r w:rsidRPr="005659E6">
                    <w:rPr>
                      <w:bCs/>
                      <w:vertAlign w:val="superscript"/>
                      <w:lang w:eastAsia="en-US"/>
                    </w:rPr>
                    <w:t xml:space="preserve">2 </w:t>
                  </w:r>
                  <w:r w:rsidRPr="005659E6">
                    <w:rPr>
                      <w:bCs/>
                      <w:lang w:eastAsia="en-US"/>
                    </w:rPr>
                    <w:t>panta pirmā daļa</w:t>
                  </w:r>
                </w:p>
              </w:tc>
              <w:tc>
                <w:tcPr>
                  <w:tcW w:w="1242" w:type="dxa"/>
                </w:tcPr>
                <w:p w:rsidR="008B2A0B" w:rsidRPr="005659E6" w:rsidRDefault="008B2A0B" w:rsidP="00434FDA">
                  <w:pPr>
                    <w:ind w:firstLine="281"/>
                    <w:jc w:val="center"/>
                    <w:rPr>
                      <w:bCs/>
                      <w:lang w:eastAsia="en-US"/>
                    </w:rPr>
                  </w:pPr>
                  <w:r w:rsidRPr="005659E6">
                    <w:rPr>
                      <w:bCs/>
                      <w:lang w:eastAsia="en-US"/>
                    </w:rPr>
                    <w:t>Sastādīto protokolu kopējais skaits</w:t>
                  </w:r>
                </w:p>
              </w:tc>
              <w:tc>
                <w:tcPr>
                  <w:tcW w:w="1520" w:type="dxa"/>
                </w:tcPr>
                <w:p w:rsidR="008B2A0B" w:rsidRPr="005659E6" w:rsidRDefault="008B2A0B" w:rsidP="00434FDA">
                  <w:pPr>
                    <w:ind w:firstLine="281"/>
                    <w:jc w:val="center"/>
                    <w:rPr>
                      <w:bCs/>
                      <w:lang w:eastAsia="en-US"/>
                    </w:rPr>
                  </w:pPr>
                  <w:r w:rsidRPr="005659E6">
                    <w:rPr>
                      <w:bCs/>
                      <w:lang w:eastAsia="en-US"/>
                    </w:rPr>
                    <w:t>t.sk. Valsts policija sastādīja protokolus (skaits)</w:t>
                  </w:r>
                </w:p>
              </w:tc>
              <w:tc>
                <w:tcPr>
                  <w:tcW w:w="1818" w:type="dxa"/>
                </w:tcPr>
                <w:p w:rsidR="008B2A0B" w:rsidRPr="005659E6" w:rsidRDefault="008B2A0B" w:rsidP="00D551F6">
                  <w:pPr>
                    <w:jc w:val="center"/>
                    <w:rPr>
                      <w:bCs/>
                      <w:lang w:eastAsia="en-US"/>
                    </w:rPr>
                  </w:pPr>
                  <w:r w:rsidRPr="005659E6">
                    <w:rPr>
                      <w:bCs/>
                      <w:lang w:eastAsia="en-US"/>
                    </w:rPr>
                    <w:t>Pieņemts lēmums par administratīvā soda piemērošanu</w:t>
                  </w:r>
                </w:p>
              </w:tc>
              <w:tc>
                <w:tcPr>
                  <w:tcW w:w="1168" w:type="dxa"/>
                </w:tcPr>
                <w:p w:rsidR="008B2A0B" w:rsidRPr="005659E6" w:rsidRDefault="008B2A0B" w:rsidP="00434FDA">
                  <w:pPr>
                    <w:ind w:firstLine="281"/>
                    <w:jc w:val="center"/>
                    <w:rPr>
                      <w:bCs/>
                      <w:lang w:eastAsia="en-US"/>
                    </w:rPr>
                  </w:pPr>
                  <w:r w:rsidRPr="005659E6">
                    <w:rPr>
                      <w:bCs/>
                      <w:lang w:eastAsia="en-US"/>
                    </w:rPr>
                    <w:t>t.sk. administratīvais sods par Valsts policijas sastādītajiem protokoliem</w:t>
                  </w:r>
                </w:p>
              </w:tc>
            </w:tr>
            <w:tr w:rsidR="008B2A0B" w:rsidRPr="005659E6" w:rsidTr="00434FDA">
              <w:trPr>
                <w:trHeight w:val="233"/>
              </w:trPr>
              <w:tc>
                <w:tcPr>
                  <w:tcW w:w="1225" w:type="dxa"/>
                </w:tcPr>
                <w:p w:rsidR="008B2A0B" w:rsidRPr="005659E6" w:rsidRDefault="008B2A0B" w:rsidP="008B2A0B">
                  <w:pPr>
                    <w:ind w:firstLine="281"/>
                    <w:jc w:val="both"/>
                    <w:rPr>
                      <w:bCs/>
                      <w:lang w:eastAsia="en-US"/>
                    </w:rPr>
                  </w:pPr>
                  <w:r w:rsidRPr="005659E6">
                    <w:rPr>
                      <w:bCs/>
                      <w:lang w:eastAsia="en-US"/>
                    </w:rPr>
                    <w:t>2016</w:t>
                  </w:r>
                </w:p>
              </w:tc>
              <w:tc>
                <w:tcPr>
                  <w:tcW w:w="1242" w:type="dxa"/>
                  <w:vAlign w:val="center"/>
                </w:tcPr>
                <w:p w:rsidR="008B2A0B" w:rsidRPr="005659E6" w:rsidRDefault="008B2A0B" w:rsidP="008B2A0B">
                  <w:pPr>
                    <w:ind w:firstLine="281"/>
                    <w:jc w:val="both"/>
                    <w:rPr>
                      <w:bCs/>
                      <w:lang w:eastAsia="en-US"/>
                    </w:rPr>
                  </w:pPr>
                  <w:r w:rsidRPr="005659E6">
                    <w:rPr>
                      <w:bCs/>
                      <w:lang w:eastAsia="en-US"/>
                    </w:rPr>
                    <w:t>115</w:t>
                  </w:r>
                </w:p>
              </w:tc>
              <w:tc>
                <w:tcPr>
                  <w:tcW w:w="1520" w:type="dxa"/>
                  <w:vAlign w:val="center"/>
                </w:tcPr>
                <w:p w:rsidR="008B2A0B" w:rsidRPr="005659E6" w:rsidRDefault="008B2A0B" w:rsidP="008B2A0B">
                  <w:pPr>
                    <w:ind w:firstLine="281"/>
                    <w:jc w:val="both"/>
                    <w:rPr>
                      <w:bCs/>
                      <w:lang w:eastAsia="en-US"/>
                    </w:rPr>
                  </w:pPr>
                  <w:r w:rsidRPr="005659E6">
                    <w:rPr>
                      <w:bCs/>
                      <w:lang w:eastAsia="en-US"/>
                    </w:rPr>
                    <w:t>38</w:t>
                  </w:r>
                </w:p>
              </w:tc>
              <w:tc>
                <w:tcPr>
                  <w:tcW w:w="1818" w:type="dxa"/>
                  <w:vAlign w:val="center"/>
                </w:tcPr>
                <w:p w:rsidR="008B2A0B" w:rsidRPr="005659E6" w:rsidRDefault="008B2A0B" w:rsidP="008B2A0B">
                  <w:pPr>
                    <w:ind w:firstLine="281"/>
                    <w:jc w:val="both"/>
                    <w:rPr>
                      <w:bCs/>
                      <w:lang w:eastAsia="en-US"/>
                    </w:rPr>
                  </w:pPr>
                  <w:r w:rsidRPr="005659E6">
                    <w:rPr>
                      <w:bCs/>
                      <w:lang w:eastAsia="en-US"/>
                    </w:rPr>
                    <w:t>82</w:t>
                  </w:r>
                </w:p>
              </w:tc>
              <w:tc>
                <w:tcPr>
                  <w:tcW w:w="1168" w:type="dxa"/>
                  <w:vAlign w:val="center"/>
                </w:tcPr>
                <w:p w:rsidR="008B2A0B" w:rsidRPr="005659E6" w:rsidRDefault="008B2A0B" w:rsidP="008B2A0B">
                  <w:pPr>
                    <w:ind w:firstLine="281"/>
                    <w:jc w:val="both"/>
                    <w:rPr>
                      <w:bCs/>
                      <w:lang w:eastAsia="en-US"/>
                    </w:rPr>
                  </w:pPr>
                  <w:r w:rsidRPr="005659E6">
                    <w:rPr>
                      <w:bCs/>
                      <w:lang w:eastAsia="en-US"/>
                    </w:rPr>
                    <w:t>19</w:t>
                  </w:r>
                </w:p>
              </w:tc>
            </w:tr>
            <w:tr w:rsidR="008B2A0B" w:rsidRPr="005659E6" w:rsidTr="00434FDA">
              <w:trPr>
                <w:trHeight w:val="233"/>
              </w:trPr>
              <w:tc>
                <w:tcPr>
                  <w:tcW w:w="1225" w:type="dxa"/>
                </w:tcPr>
                <w:p w:rsidR="008B2A0B" w:rsidRPr="005659E6" w:rsidRDefault="008B2A0B" w:rsidP="008B2A0B">
                  <w:pPr>
                    <w:ind w:firstLine="281"/>
                    <w:jc w:val="both"/>
                    <w:rPr>
                      <w:bCs/>
                      <w:lang w:eastAsia="en-US"/>
                    </w:rPr>
                  </w:pPr>
                  <w:r w:rsidRPr="005659E6">
                    <w:rPr>
                      <w:bCs/>
                      <w:lang w:eastAsia="en-US"/>
                    </w:rPr>
                    <w:t>2017</w:t>
                  </w:r>
                </w:p>
              </w:tc>
              <w:tc>
                <w:tcPr>
                  <w:tcW w:w="1242" w:type="dxa"/>
                  <w:vAlign w:val="center"/>
                </w:tcPr>
                <w:p w:rsidR="008B2A0B" w:rsidRPr="005659E6" w:rsidRDefault="008B2A0B" w:rsidP="008B2A0B">
                  <w:pPr>
                    <w:ind w:firstLine="281"/>
                    <w:jc w:val="both"/>
                    <w:rPr>
                      <w:bCs/>
                      <w:lang w:eastAsia="en-US"/>
                    </w:rPr>
                  </w:pPr>
                  <w:r w:rsidRPr="005659E6">
                    <w:rPr>
                      <w:bCs/>
                      <w:lang w:eastAsia="en-US"/>
                    </w:rPr>
                    <w:t>175</w:t>
                  </w:r>
                </w:p>
              </w:tc>
              <w:tc>
                <w:tcPr>
                  <w:tcW w:w="1520" w:type="dxa"/>
                  <w:vAlign w:val="center"/>
                </w:tcPr>
                <w:p w:rsidR="008B2A0B" w:rsidRPr="005659E6" w:rsidRDefault="008B2A0B" w:rsidP="008B2A0B">
                  <w:pPr>
                    <w:ind w:firstLine="281"/>
                    <w:jc w:val="both"/>
                    <w:rPr>
                      <w:bCs/>
                      <w:lang w:eastAsia="en-US"/>
                    </w:rPr>
                  </w:pPr>
                  <w:r w:rsidRPr="005659E6">
                    <w:rPr>
                      <w:bCs/>
                      <w:lang w:eastAsia="en-US"/>
                    </w:rPr>
                    <w:t>53</w:t>
                  </w:r>
                </w:p>
              </w:tc>
              <w:tc>
                <w:tcPr>
                  <w:tcW w:w="1818" w:type="dxa"/>
                  <w:vAlign w:val="center"/>
                </w:tcPr>
                <w:p w:rsidR="008B2A0B" w:rsidRPr="005659E6" w:rsidRDefault="008B2A0B" w:rsidP="008B2A0B">
                  <w:pPr>
                    <w:ind w:firstLine="281"/>
                    <w:jc w:val="both"/>
                    <w:rPr>
                      <w:bCs/>
                      <w:lang w:eastAsia="en-US"/>
                    </w:rPr>
                  </w:pPr>
                  <w:r w:rsidRPr="005659E6">
                    <w:rPr>
                      <w:bCs/>
                      <w:lang w:eastAsia="en-US"/>
                    </w:rPr>
                    <w:t>139</w:t>
                  </w:r>
                </w:p>
              </w:tc>
              <w:tc>
                <w:tcPr>
                  <w:tcW w:w="1168" w:type="dxa"/>
                  <w:vAlign w:val="center"/>
                </w:tcPr>
                <w:p w:rsidR="008B2A0B" w:rsidRPr="005659E6" w:rsidRDefault="008B2A0B" w:rsidP="008B2A0B">
                  <w:pPr>
                    <w:ind w:firstLine="281"/>
                    <w:jc w:val="both"/>
                    <w:rPr>
                      <w:bCs/>
                      <w:lang w:eastAsia="en-US"/>
                    </w:rPr>
                  </w:pPr>
                  <w:r w:rsidRPr="005659E6">
                    <w:rPr>
                      <w:bCs/>
                      <w:lang w:eastAsia="en-US"/>
                    </w:rPr>
                    <w:t>25</w:t>
                  </w:r>
                </w:p>
              </w:tc>
            </w:tr>
            <w:tr w:rsidR="008B2A0B" w:rsidRPr="005659E6" w:rsidTr="00434FDA">
              <w:trPr>
                <w:trHeight w:val="314"/>
              </w:trPr>
              <w:tc>
                <w:tcPr>
                  <w:tcW w:w="1225" w:type="dxa"/>
                </w:tcPr>
                <w:p w:rsidR="008B2A0B" w:rsidRPr="005659E6" w:rsidRDefault="008B2A0B" w:rsidP="008B2A0B">
                  <w:pPr>
                    <w:ind w:firstLine="281"/>
                    <w:jc w:val="both"/>
                    <w:rPr>
                      <w:bCs/>
                      <w:lang w:eastAsia="en-US"/>
                    </w:rPr>
                  </w:pPr>
                  <w:r w:rsidRPr="005659E6">
                    <w:rPr>
                      <w:bCs/>
                      <w:lang w:eastAsia="en-US"/>
                    </w:rPr>
                    <w:t xml:space="preserve">2018 </w:t>
                  </w:r>
                </w:p>
              </w:tc>
              <w:tc>
                <w:tcPr>
                  <w:tcW w:w="1242" w:type="dxa"/>
                  <w:vAlign w:val="center"/>
                </w:tcPr>
                <w:p w:rsidR="008B2A0B" w:rsidRPr="005659E6" w:rsidRDefault="008B2A0B" w:rsidP="008B2A0B">
                  <w:pPr>
                    <w:ind w:firstLine="281"/>
                    <w:jc w:val="both"/>
                    <w:rPr>
                      <w:bCs/>
                      <w:lang w:eastAsia="en-US"/>
                    </w:rPr>
                  </w:pPr>
                  <w:r w:rsidRPr="005659E6">
                    <w:rPr>
                      <w:bCs/>
                      <w:lang w:eastAsia="en-US"/>
                    </w:rPr>
                    <w:t>157</w:t>
                  </w:r>
                </w:p>
              </w:tc>
              <w:tc>
                <w:tcPr>
                  <w:tcW w:w="1520" w:type="dxa"/>
                  <w:vAlign w:val="center"/>
                </w:tcPr>
                <w:p w:rsidR="008B2A0B" w:rsidRPr="005659E6" w:rsidRDefault="008B2A0B" w:rsidP="008B2A0B">
                  <w:pPr>
                    <w:ind w:firstLine="281"/>
                    <w:jc w:val="both"/>
                    <w:rPr>
                      <w:bCs/>
                      <w:lang w:eastAsia="en-US"/>
                    </w:rPr>
                  </w:pPr>
                  <w:r w:rsidRPr="005659E6">
                    <w:rPr>
                      <w:bCs/>
                      <w:lang w:eastAsia="en-US"/>
                    </w:rPr>
                    <w:t>30</w:t>
                  </w:r>
                </w:p>
              </w:tc>
              <w:tc>
                <w:tcPr>
                  <w:tcW w:w="1818" w:type="dxa"/>
                  <w:vAlign w:val="center"/>
                </w:tcPr>
                <w:p w:rsidR="008B2A0B" w:rsidRPr="005659E6" w:rsidRDefault="008B2A0B" w:rsidP="008B2A0B">
                  <w:pPr>
                    <w:ind w:firstLine="281"/>
                    <w:jc w:val="both"/>
                    <w:rPr>
                      <w:bCs/>
                      <w:lang w:eastAsia="en-US"/>
                    </w:rPr>
                  </w:pPr>
                  <w:r w:rsidRPr="005659E6">
                    <w:rPr>
                      <w:bCs/>
                      <w:lang w:eastAsia="en-US"/>
                    </w:rPr>
                    <w:t>132</w:t>
                  </w:r>
                </w:p>
              </w:tc>
              <w:tc>
                <w:tcPr>
                  <w:tcW w:w="1168" w:type="dxa"/>
                  <w:vAlign w:val="center"/>
                </w:tcPr>
                <w:p w:rsidR="008B2A0B" w:rsidRPr="005659E6" w:rsidRDefault="008B2A0B" w:rsidP="008B2A0B">
                  <w:pPr>
                    <w:ind w:firstLine="281"/>
                    <w:jc w:val="both"/>
                    <w:rPr>
                      <w:bCs/>
                      <w:lang w:eastAsia="en-US"/>
                    </w:rPr>
                  </w:pPr>
                  <w:r w:rsidRPr="005659E6">
                    <w:rPr>
                      <w:bCs/>
                      <w:lang w:eastAsia="en-US"/>
                    </w:rPr>
                    <w:t>17</w:t>
                  </w:r>
                </w:p>
              </w:tc>
            </w:tr>
          </w:tbl>
          <w:p w:rsidR="008B2A0B" w:rsidRPr="005659E6" w:rsidRDefault="008B2A0B" w:rsidP="008B2A0B">
            <w:pPr>
              <w:jc w:val="both"/>
              <w:rPr>
                <w:bCs/>
                <w:lang w:eastAsia="en-US"/>
              </w:rPr>
            </w:pPr>
          </w:p>
          <w:p w:rsidR="00D551F6" w:rsidRDefault="003E282E" w:rsidP="00C64CB1">
            <w:pPr>
              <w:ind w:firstLine="281"/>
              <w:jc w:val="both"/>
              <w:rPr>
                <w:bCs/>
                <w:lang w:eastAsia="en-US"/>
              </w:rPr>
            </w:pPr>
            <w:r w:rsidRPr="005659E6">
              <w:rPr>
                <w:bCs/>
                <w:lang w:eastAsia="en-US"/>
              </w:rPr>
              <w:t>Likumprojekts paredz Likumā pārņemt iepriekšminēto Kodeksa 181.panta pirmo un otro daļu – Likumprojekta 98.pantā.</w:t>
            </w:r>
            <w:r w:rsidR="000E7527" w:rsidRPr="005659E6">
              <w:rPr>
                <w:bCs/>
                <w:lang w:eastAsia="en-US"/>
              </w:rPr>
              <w:t xml:space="preserve"> Likumprojekta 98.panta struktūra ir izveidot</w:t>
            </w:r>
            <w:r w:rsidR="00A836CB" w:rsidRPr="005659E6">
              <w:rPr>
                <w:bCs/>
                <w:lang w:eastAsia="en-US"/>
              </w:rPr>
              <w:t>a ievērojot Likumā ietverto tiesisko regul</w:t>
            </w:r>
            <w:r w:rsidR="00A40CB2" w:rsidRPr="005659E6">
              <w:rPr>
                <w:bCs/>
                <w:lang w:eastAsia="en-US"/>
              </w:rPr>
              <w:t>ējumu, kas ir specifisks katram ieroču veidam, ieroča sastāvdaļai un munīcijai atkar</w:t>
            </w:r>
            <w:r w:rsidR="00611BCB" w:rsidRPr="005659E6">
              <w:rPr>
                <w:bCs/>
                <w:lang w:eastAsia="en-US"/>
              </w:rPr>
              <w:t>ībā</w:t>
            </w:r>
            <w:r w:rsidR="00A40CB2" w:rsidRPr="005659E6">
              <w:rPr>
                <w:bCs/>
                <w:lang w:eastAsia="en-US"/>
              </w:rPr>
              <w:t xml:space="preserve"> no tās bīstamības. </w:t>
            </w:r>
          </w:p>
          <w:p w:rsidR="009706C3" w:rsidRPr="005659E6" w:rsidRDefault="009706C3" w:rsidP="009706C3">
            <w:pPr>
              <w:ind w:firstLine="281"/>
              <w:jc w:val="both"/>
              <w:rPr>
                <w:bCs/>
                <w:lang w:eastAsia="en-US"/>
              </w:rPr>
            </w:pPr>
            <w:r w:rsidRPr="005659E6">
              <w:rPr>
                <w:bCs/>
                <w:lang w:eastAsia="en-US"/>
              </w:rPr>
              <w:t xml:space="preserve">Kodeksa 181.panta otrā daļa ir pārņemta Likumprojekta 98.panta </w:t>
            </w:r>
            <w:r>
              <w:rPr>
                <w:bCs/>
                <w:lang w:eastAsia="en-US"/>
              </w:rPr>
              <w:t xml:space="preserve">pirmajā un </w:t>
            </w:r>
            <w:r w:rsidRPr="005659E6">
              <w:rPr>
                <w:bCs/>
                <w:lang w:eastAsia="en-US"/>
              </w:rPr>
              <w:t>otrajā daļā</w:t>
            </w:r>
            <w:r>
              <w:rPr>
                <w:bCs/>
                <w:lang w:eastAsia="en-US"/>
              </w:rPr>
              <w:t>, ievērojot notikušās</w:t>
            </w:r>
            <w:r w:rsidRPr="005659E6">
              <w:rPr>
                <w:bCs/>
                <w:lang w:eastAsia="en-US"/>
              </w:rPr>
              <w:t xml:space="preserve"> konceptuālās izmaiņas ieroču aprites tiesiskā regulējumā. </w:t>
            </w:r>
          </w:p>
          <w:p w:rsidR="009706C3" w:rsidRDefault="00D551F6" w:rsidP="00C64CB1">
            <w:pPr>
              <w:ind w:firstLine="281"/>
              <w:jc w:val="both"/>
              <w:rPr>
                <w:bCs/>
                <w:lang w:eastAsia="en-US"/>
              </w:rPr>
            </w:pPr>
            <w:r w:rsidRPr="005659E6">
              <w:rPr>
                <w:bCs/>
                <w:lang w:eastAsia="en-US"/>
              </w:rPr>
              <w:t xml:space="preserve">Likumprojekta 98.panta </w:t>
            </w:r>
            <w:r>
              <w:rPr>
                <w:bCs/>
                <w:lang w:eastAsia="en-US"/>
              </w:rPr>
              <w:t>pirmajā</w:t>
            </w:r>
            <w:r w:rsidRPr="005659E6">
              <w:rPr>
                <w:bCs/>
                <w:lang w:eastAsia="en-US"/>
              </w:rPr>
              <w:t xml:space="preserve"> daļā ir ietverti gāzes ieroči un </w:t>
            </w:r>
            <w:proofErr w:type="spellStart"/>
            <w:r w:rsidRPr="005659E6">
              <w:rPr>
                <w:bCs/>
                <w:lang w:eastAsia="en-US"/>
              </w:rPr>
              <w:t>signālieroči</w:t>
            </w:r>
            <w:proofErr w:type="spellEnd"/>
            <w:r w:rsidRPr="005659E6">
              <w:rPr>
                <w:bCs/>
                <w:lang w:eastAsia="en-US"/>
              </w:rPr>
              <w:t xml:space="preserve"> un to munīcija. Attiecībā pret iedarbību uz mērķi minētie ieroči un to munīcija uzskatāmi par neletāliem, bet tomēr pastāv zināmi riski, ka minētos ieročus ir iespējams pārveidot</w:t>
            </w:r>
            <w:r w:rsidRPr="005659E6">
              <w:rPr>
                <w:color w:val="414142"/>
                <w:shd w:val="clear" w:color="auto" w:fill="FFFFFF"/>
              </w:rPr>
              <w:t xml:space="preserve"> </w:t>
            </w:r>
            <w:r w:rsidRPr="005659E6">
              <w:rPr>
                <w:bCs/>
                <w:lang w:eastAsia="en-US"/>
              </w:rPr>
              <w:t xml:space="preserve">šaušanai ar lodi vai daudzkomponentu šāviņu izsviešanai no stobra kanāla šaujampulvera vai cita </w:t>
            </w:r>
            <w:proofErr w:type="spellStart"/>
            <w:r w:rsidRPr="005659E6">
              <w:rPr>
                <w:bCs/>
                <w:lang w:eastAsia="en-US"/>
              </w:rPr>
              <w:t>propelenta</w:t>
            </w:r>
            <w:proofErr w:type="spellEnd"/>
            <w:r w:rsidRPr="005659E6">
              <w:rPr>
                <w:bCs/>
                <w:lang w:eastAsia="en-US"/>
              </w:rPr>
              <w:t xml:space="preserve"> iedarbības rezultātā, kā rezultātā minētie ieroči būs pielāgoti dzīvu vai nedzīvu mērķu iznīcināšanai vai bojāšanai. </w:t>
            </w:r>
          </w:p>
          <w:p w:rsidR="009706C3" w:rsidRPr="005659E6" w:rsidRDefault="009706C3" w:rsidP="009706C3">
            <w:pPr>
              <w:jc w:val="both"/>
              <w:rPr>
                <w:bCs/>
                <w:lang w:eastAsia="en-US"/>
              </w:rPr>
            </w:pPr>
            <w:r w:rsidRPr="005659E6">
              <w:rPr>
                <w:bCs/>
                <w:lang w:eastAsia="en-US"/>
              </w:rPr>
              <w:t>Likumprojekta 98.panta</w:t>
            </w:r>
            <w:r>
              <w:rPr>
                <w:bCs/>
                <w:lang w:eastAsia="en-US"/>
              </w:rPr>
              <w:t xml:space="preserve"> pirmajā</w:t>
            </w:r>
            <w:r w:rsidRPr="005659E6">
              <w:rPr>
                <w:bCs/>
                <w:lang w:eastAsia="en-US"/>
              </w:rPr>
              <w:t xml:space="preserve"> daļā ir paredzēta administratīvā atbildība par gāzes ieroča un </w:t>
            </w:r>
            <w:proofErr w:type="spellStart"/>
            <w:r w:rsidRPr="005659E6">
              <w:rPr>
                <w:bCs/>
                <w:lang w:eastAsia="en-US"/>
              </w:rPr>
              <w:t>signālieroča</w:t>
            </w:r>
            <w:proofErr w:type="spellEnd"/>
            <w:r w:rsidRPr="005659E6">
              <w:rPr>
                <w:bCs/>
                <w:lang w:eastAsia="en-US"/>
              </w:rPr>
              <w:t xml:space="preserve"> vai par minēta ieroča munīcijas aprites noteikumu pārkāpšanu. Direktīvas (ES) 2017/853 tiesību normas nosaka jaunus gāzes un </w:t>
            </w:r>
            <w:proofErr w:type="spellStart"/>
            <w:r w:rsidRPr="005659E6">
              <w:rPr>
                <w:bCs/>
                <w:lang w:eastAsia="en-US"/>
              </w:rPr>
              <w:t>signālieroču</w:t>
            </w:r>
            <w:proofErr w:type="spellEnd"/>
            <w:r w:rsidRPr="005659E6">
              <w:rPr>
                <w:bCs/>
                <w:lang w:eastAsia="en-US"/>
              </w:rPr>
              <w:t xml:space="preserve"> aprites nosacījumus. Direktīvas (ES) 2017/853 10.a.panta 2.punkts paredz, ka dalībvalsts klasificē kā šaujamieročus tādas ierīces ar čaulīšu turētāju, kuras paredzētas vienīgi tukšo patronu, kairinošu vielu, citu aktīvu vielu vai pirotehniskas </w:t>
            </w:r>
            <w:proofErr w:type="spellStart"/>
            <w:r w:rsidRPr="005659E6">
              <w:rPr>
                <w:bCs/>
                <w:lang w:eastAsia="en-US"/>
              </w:rPr>
              <w:t>signālmunīcijas</w:t>
            </w:r>
            <w:proofErr w:type="spellEnd"/>
            <w:r w:rsidRPr="005659E6">
              <w:rPr>
                <w:bCs/>
                <w:lang w:eastAsia="en-US"/>
              </w:rPr>
              <w:t xml:space="preserve"> izšaušanai un kuras var pārveidot šaušanai vai lodes vai lādiņa izsviešanai no stobra kanāla šaujampulvera iedarbības rezultātā. Savukārt Direktīvas (ES) 2017/853 10.a.panta 3.punkts nosaka, ka </w:t>
            </w:r>
            <w:r w:rsidRPr="005659E6">
              <w:rPr>
                <w:bCs/>
                <w:lang w:eastAsia="en-US"/>
              </w:rPr>
              <w:lastRenderedPageBreak/>
              <w:t xml:space="preserve">komisija pieņem īstenošanas aktus, ar kuriem nosaka tehniskās specifikācijas visiem Savienībā 2018. gada 14. septembrī vai vēlāk izgatavotiem vai importētiem trauksmes un </w:t>
            </w:r>
            <w:proofErr w:type="spellStart"/>
            <w:r w:rsidRPr="005659E6">
              <w:rPr>
                <w:bCs/>
                <w:lang w:eastAsia="en-US"/>
              </w:rPr>
              <w:t>signālieročiem</w:t>
            </w:r>
            <w:proofErr w:type="spellEnd"/>
            <w:r w:rsidRPr="005659E6">
              <w:rPr>
                <w:bCs/>
                <w:lang w:eastAsia="en-US"/>
              </w:rPr>
              <w:t xml:space="preserve">, lai nodrošinātu, ka tos nevar pārveidot šaušanai vai lodes vai lādiņa izsviešanai no stobra kanāla šaujampulvera iedarbības rezultātā. Ņemot vērā minēto, Direktīva (ES) 2017/853 izveido gāzes ieroču un </w:t>
            </w:r>
            <w:proofErr w:type="spellStart"/>
            <w:r w:rsidRPr="005659E6">
              <w:rPr>
                <w:bCs/>
                <w:lang w:eastAsia="en-US"/>
              </w:rPr>
              <w:t>signālieroču</w:t>
            </w:r>
            <w:proofErr w:type="spellEnd"/>
            <w:r w:rsidRPr="005659E6">
              <w:rPr>
                <w:bCs/>
                <w:lang w:eastAsia="en-US"/>
              </w:rPr>
              <w:t xml:space="preserve"> duālo regulējumu, nosakot, ka tie gāzes ieroči un </w:t>
            </w:r>
            <w:proofErr w:type="spellStart"/>
            <w:r w:rsidRPr="005659E6">
              <w:rPr>
                <w:bCs/>
                <w:lang w:eastAsia="en-US"/>
              </w:rPr>
              <w:t>signālieroči</w:t>
            </w:r>
            <w:proofErr w:type="spellEnd"/>
            <w:r w:rsidRPr="005659E6">
              <w:rPr>
                <w:bCs/>
                <w:lang w:eastAsia="en-US"/>
              </w:rPr>
              <w:t xml:space="preserve">, kurus var pārveidot šaušanai vai lodes vai lādiņa izsviešanai no stobra kanāla šaujampulvera iedarbības rezultāta neatbildīs jaunam Eiropas Komisijas īstenošanas aktam un ir klasificējami saskaņā ar Direktīvas (ES) 2017/853 I pielikuma II daļas kritērijiem, bet tie gāzes ieroči un </w:t>
            </w:r>
            <w:proofErr w:type="spellStart"/>
            <w:r w:rsidRPr="005659E6">
              <w:rPr>
                <w:bCs/>
                <w:lang w:eastAsia="en-US"/>
              </w:rPr>
              <w:t>signālieroči</w:t>
            </w:r>
            <w:proofErr w:type="spellEnd"/>
            <w:r w:rsidRPr="005659E6">
              <w:rPr>
                <w:bCs/>
                <w:lang w:eastAsia="en-US"/>
              </w:rPr>
              <w:t xml:space="preserve">, kurus nebūs iespējams pārveidot  šaušanai vai lodes vai lādiņa izsviešanai no stobra kanāla šaujampulvera iedarbības rezultātā atbildīs jaunam Eiropas Komisijas īstenošanas aktam un saskaņā ar Direktīvas (ES) 2017/853 1.panta 4.punkta definīciju nav uzskatāmi par šaujamieročiem, bet par ieročiem un pakļaujami nacionālajām ieroču aprites regulējumam. Likuma 5. panta septītā daļa paredz, ka ieroču klasifikācijā ir izveidota jaunā E kategorija, kurā ir ietverti gāzes ieroči un </w:t>
            </w:r>
            <w:proofErr w:type="spellStart"/>
            <w:r w:rsidRPr="005659E6">
              <w:rPr>
                <w:bCs/>
                <w:lang w:eastAsia="en-US"/>
              </w:rPr>
              <w:t>signālieroči</w:t>
            </w:r>
            <w:proofErr w:type="spellEnd"/>
            <w:r w:rsidRPr="005659E6">
              <w:rPr>
                <w:bCs/>
                <w:lang w:eastAsia="en-US"/>
              </w:rPr>
              <w:t xml:space="preserve">, kurus nevar pārveidot šaušanai ar lodi vai daudzkomponentu šāviņu izsviešanai no stobra kanāla </w:t>
            </w:r>
            <w:proofErr w:type="spellStart"/>
            <w:r w:rsidRPr="005659E6">
              <w:rPr>
                <w:bCs/>
                <w:lang w:eastAsia="en-US"/>
              </w:rPr>
              <w:t>propelenta</w:t>
            </w:r>
            <w:proofErr w:type="spellEnd"/>
            <w:r w:rsidRPr="005659E6">
              <w:rPr>
                <w:bCs/>
                <w:lang w:eastAsia="en-US"/>
              </w:rPr>
              <w:t xml:space="preserve"> (šaujampulvera) iedarbības rezultātā. Tehniskā specifikācija minētājai kategorijai ir noteikta Īstenošanas Direktīvas (ES) 2019/69 prasībās. Saskaņā ar Likuma 5.panta ceturto daļu pusautomātiskos, atkārtotas darbības vai viena šāviena gāzes ieročus un </w:t>
            </w:r>
            <w:proofErr w:type="spellStart"/>
            <w:r w:rsidRPr="005659E6">
              <w:rPr>
                <w:bCs/>
                <w:lang w:eastAsia="en-US"/>
              </w:rPr>
              <w:t>signālieročus</w:t>
            </w:r>
            <w:proofErr w:type="spellEnd"/>
            <w:r w:rsidRPr="005659E6">
              <w:rPr>
                <w:bCs/>
                <w:lang w:eastAsia="en-US"/>
              </w:rPr>
              <w:t xml:space="preserve">, kurus var pārveidot šaušanai ar lodi vai daudzkomponentu šāviņu izsviešanai no stobra kanāla šaujampulvera vai cita </w:t>
            </w:r>
            <w:proofErr w:type="spellStart"/>
            <w:r w:rsidRPr="005659E6">
              <w:rPr>
                <w:bCs/>
                <w:lang w:eastAsia="en-US"/>
              </w:rPr>
              <w:t>propelenta</w:t>
            </w:r>
            <w:proofErr w:type="spellEnd"/>
            <w:r w:rsidRPr="005659E6">
              <w:rPr>
                <w:bCs/>
                <w:lang w:eastAsia="en-US"/>
              </w:rPr>
              <w:t xml:space="preserve"> iedarbības rezultātā, uzskata par B kategorijas šaujamieročiem un atkarībā no to darbības principa klasificē atbilstošā B kategorijas apakšgrupā.</w:t>
            </w:r>
          </w:p>
          <w:p w:rsidR="009706C3" w:rsidRPr="005659E6" w:rsidRDefault="009706C3" w:rsidP="009706C3">
            <w:pPr>
              <w:ind w:firstLine="281"/>
              <w:jc w:val="both"/>
              <w:rPr>
                <w:bCs/>
                <w:lang w:eastAsia="en-US"/>
              </w:rPr>
            </w:pPr>
            <w:r w:rsidRPr="005659E6">
              <w:rPr>
                <w:bCs/>
                <w:lang w:eastAsia="en-US"/>
              </w:rPr>
              <w:t xml:space="preserve">Neskatoties uz gāzes ieroču un </w:t>
            </w:r>
            <w:proofErr w:type="spellStart"/>
            <w:r w:rsidRPr="005659E6">
              <w:rPr>
                <w:bCs/>
                <w:lang w:eastAsia="en-US"/>
              </w:rPr>
              <w:t>signālieroču</w:t>
            </w:r>
            <w:proofErr w:type="spellEnd"/>
            <w:r w:rsidRPr="005659E6">
              <w:rPr>
                <w:bCs/>
                <w:lang w:eastAsia="en-US"/>
              </w:rPr>
              <w:t xml:space="preserve"> tehnisko iedalījumu divās kategorijās, vadoties pēc iespējas tās pārveidot, rūpnieciski ražoti gāzes ieroči un </w:t>
            </w:r>
            <w:proofErr w:type="spellStart"/>
            <w:r w:rsidRPr="005659E6">
              <w:rPr>
                <w:bCs/>
                <w:lang w:eastAsia="en-US"/>
              </w:rPr>
              <w:t>signālieroči</w:t>
            </w:r>
            <w:proofErr w:type="spellEnd"/>
            <w:r w:rsidRPr="005659E6">
              <w:rPr>
                <w:bCs/>
                <w:lang w:eastAsia="en-US"/>
              </w:rPr>
              <w:t xml:space="preserve"> būs tehniski uzskatāmi par neletāliem ieročiem, kas bez iespējamās pārveidošanas sākotnēji nav paredzēti dzīvu vai nedzīvu mērķu iznicināšanai vai bojāšanai. Ņemot vērā minēto, ir iespējams noteikt administratīvo atbildību par gāzes ieroču un </w:t>
            </w:r>
            <w:proofErr w:type="spellStart"/>
            <w:r w:rsidRPr="005659E6">
              <w:rPr>
                <w:bCs/>
                <w:lang w:eastAsia="en-US"/>
              </w:rPr>
              <w:t>signālieroču</w:t>
            </w:r>
            <w:proofErr w:type="spellEnd"/>
            <w:r w:rsidRPr="005659E6">
              <w:rPr>
                <w:bCs/>
                <w:lang w:eastAsia="en-US"/>
              </w:rPr>
              <w:t xml:space="preserve"> aprites noteikumu pārkāpšanu, nesadalot gāzes ieročus un </w:t>
            </w:r>
            <w:proofErr w:type="spellStart"/>
            <w:r w:rsidRPr="005659E6">
              <w:rPr>
                <w:bCs/>
                <w:lang w:eastAsia="en-US"/>
              </w:rPr>
              <w:t>signālieročus</w:t>
            </w:r>
            <w:proofErr w:type="spellEnd"/>
            <w:r w:rsidRPr="005659E6">
              <w:rPr>
                <w:bCs/>
                <w:lang w:eastAsia="en-US"/>
              </w:rPr>
              <w:t xml:space="preserve"> tehniskās kategorijās. Vienlaikus piemērojot Likumprojekta 98.panta </w:t>
            </w:r>
            <w:r>
              <w:rPr>
                <w:bCs/>
                <w:lang w:eastAsia="en-US"/>
              </w:rPr>
              <w:t>pirmo</w:t>
            </w:r>
            <w:r w:rsidRPr="005659E6">
              <w:rPr>
                <w:bCs/>
                <w:lang w:eastAsia="en-US"/>
              </w:rPr>
              <w:t xml:space="preserve"> daļu, būs iespējams saukt pie administratīvas atbilstības personas, kas neizpildīs Likuma prasības saskaņā ar Pārejas noteikumu 12.punktu.  Likumprojekta 98.panta </w:t>
            </w:r>
            <w:r>
              <w:rPr>
                <w:bCs/>
                <w:lang w:eastAsia="en-US"/>
              </w:rPr>
              <w:t>pirmā</w:t>
            </w:r>
            <w:r w:rsidRPr="005659E6">
              <w:rPr>
                <w:bCs/>
                <w:lang w:eastAsia="en-US"/>
              </w:rPr>
              <w:t xml:space="preserve"> daļa paredz adekvātu sankciju atbilstoši pārkāpuma bīstamībai un tā ir analoģiska  Kodeksa 181.panta otrajā daļā šobrīd ietvertai sankcijai.   </w:t>
            </w:r>
          </w:p>
          <w:p w:rsidR="00D551F6" w:rsidRDefault="00D551F6" w:rsidP="00C64CB1">
            <w:pPr>
              <w:ind w:firstLine="281"/>
              <w:jc w:val="both"/>
              <w:rPr>
                <w:bCs/>
                <w:lang w:eastAsia="en-US"/>
              </w:rPr>
            </w:pPr>
            <w:r w:rsidRPr="005659E6">
              <w:rPr>
                <w:bCs/>
                <w:lang w:eastAsia="en-US"/>
              </w:rPr>
              <w:t xml:space="preserve">Savukārt likumprojekta 98.panta </w:t>
            </w:r>
            <w:r>
              <w:rPr>
                <w:bCs/>
                <w:lang w:eastAsia="en-US"/>
              </w:rPr>
              <w:t>otrajā</w:t>
            </w:r>
            <w:r w:rsidRPr="005659E6">
              <w:rPr>
                <w:bCs/>
                <w:lang w:eastAsia="en-US"/>
              </w:rPr>
              <w:t xml:space="preserve"> daļā ir ietverti mazāk bīstami ieroči un to tiesiskajā reglamentācijā likumdevējs izraudzījies liberālo pieeju.</w:t>
            </w:r>
          </w:p>
          <w:p w:rsidR="009706C3" w:rsidRDefault="009706C3" w:rsidP="009706C3">
            <w:pPr>
              <w:ind w:firstLine="281"/>
              <w:jc w:val="both"/>
              <w:rPr>
                <w:bCs/>
                <w:lang w:eastAsia="en-US"/>
              </w:rPr>
            </w:pPr>
            <w:r w:rsidRPr="005659E6">
              <w:rPr>
                <w:bCs/>
                <w:lang w:eastAsia="en-US"/>
              </w:rPr>
              <w:t xml:space="preserve">Kodeksa 181.panta otrā daļa ir pārņemta Likumprojekta 98.panta </w:t>
            </w:r>
            <w:r>
              <w:rPr>
                <w:bCs/>
                <w:lang w:eastAsia="en-US"/>
              </w:rPr>
              <w:t>otrajā</w:t>
            </w:r>
            <w:r w:rsidRPr="005659E6">
              <w:rPr>
                <w:bCs/>
                <w:lang w:eastAsia="en-US"/>
              </w:rPr>
              <w:t xml:space="preserve"> daļā, kas paredz administratīvo atbildību par</w:t>
            </w:r>
            <w:r w:rsidRPr="005659E6">
              <w:rPr>
                <w:rFonts w:eastAsia="SimSun"/>
                <w:kern w:val="1"/>
                <w:lang w:eastAsia="hi-IN" w:bidi="hi-IN"/>
              </w:rPr>
              <w:t xml:space="preserve"> </w:t>
            </w:r>
            <w:r w:rsidRPr="005659E6">
              <w:rPr>
                <w:bCs/>
                <w:lang w:eastAsia="en-US"/>
              </w:rPr>
              <w:t xml:space="preserve">dezaktivēta šaujamieroča, dezaktivēta lielas enerģijas pneimatiska ieroča, aukstā ieroča, mazas enerģijas pneimatiskā ieroča, </w:t>
            </w:r>
            <w:proofErr w:type="spellStart"/>
            <w:r w:rsidRPr="005659E6">
              <w:rPr>
                <w:bCs/>
                <w:lang w:eastAsia="en-US"/>
              </w:rPr>
              <w:t>straikbola</w:t>
            </w:r>
            <w:proofErr w:type="spellEnd"/>
            <w:r w:rsidRPr="005659E6">
              <w:rPr>
                <w:bCs/>
                <w:lang w:eastAsia="en-US"/>
              </w:rPr>
              <w:t xml:space="preserve"> ieroča, peintbola ieroča, </w:t>
            </w:r>
            <w:proofErr w:type="spellStart"/>
            <w:r w:rsidRPr="005659E6">
              <w:rPr>
                <w:bCs/>
                <w:lang w:eastAsia="en-US"/>
              </w:rPr>
              <w:t>lāzertaga</w:t>
            </w:r>
            <w:proofErr w:type="spellEnd"/>
            <w:r w:rsidRPr="005659E6">
              <w:rPr>
                <w:bCs/>
                <w:lang w:eastAsia="en-US"/>
              </w:rPr>
              <w:t xml:space="preserve"> ierīces vai par speciālā līdzekļa aprites noteikumu pārkāpšanu.  98.panta </w:t>
            </w:r>
            <w:r>
              <w:rPr>
                <w:bCs/>
                <w:lang w:eastAsia="en-US"/>
              </w:rPr>
              <w:t>otrajā</w:t>
            </w:r>
            <w:r w:rsidRPr="005659E6">
              <w:rPr>
                <w:bCs/>
                <w:lang w:eastAsia="en-US"/>
              </w:rPr>
              <w:t xml:space="preserve"> daļā ir uzskaitīti dezaktivēti ieroči, kā arī visi F kategorijas ieroči. Salīdzinot ar Kodeksa 181.panta otrā daļā minēto Likumprojekta 98.panta </w:t>
            </w:r>
            <w:r>
              <w:rPr>
                <w:bCs/>
                <w:lang w:eastAsia="en-US"/>
              </w:rPr>
              <w:lastRenderedPageBreak/>
              <w:t>otrā</w:t>
            </w:r>
            <w:r w:rsidRPr="005659E6">
              <w:rPr>
                <w:bCs/>
                <w:lang w:eastAsia="en-US"/>
              </w:rPr>
              <w:t xml:space="preserve"> daļa ir papildināta ar jauniem ieroču veidiem, kā  </w:t>
            </w:r>
            <w:proofErr w:type="spellStart"/>
            <w:r w:rsidRPr="005659E6">
              <w:rPr>
                <w:bCs/>
                <w:lang w:eastAsia="en-US"/>
              </w:rPr>
              <w:t>straikbola</w:t>
            </w:r>
            <w:proofErr w:type="spellEnd"/>
            <w:r w:rsidRPr="005659E6">
              <w:rPr>
                <w:bCs/>
                <w:lang w:eastAsia="en-US"/>
              </w:rPr>
              <w:t xml:space="preserve"> ieroči, peintbola ieroči, </w:t>
            </w:r>
            <w:proofErr w:type="spellStart"/>
            <w:r w:rsidRPr="005659E6">
              <w:rPr>
                <w:bCs/>
                <w:lang w:eastAsia="en-US"/>
              </w:rPr>
              <w:t>lāzertaga</w:t>
            </w:r>
            <w:proofErr w:type="spellEnd"/>
            <w:r w:rsidRPr="005659E6">
              <w:rPr>
                <w:bCs/>
                <w:lang w:eastAsia="en-US"/>
              </w:rPr>
              <w:t xml:space="preserve"> ierīces.</w:t>
            </w:r>
            <w:r>
              <w:rPr>
                <w:bCs/>
                <w:lang w:eastAsia="en-US"/>
              </w:rPr>
              <w:t xml:space="preserve"> Likumprojekta 98.panta otrā</w:t>
            </w:r>
            <w:r w:rsidRPr="005659E6">
              <w:rPr>
                <w:bCs/>
                <w:lang w:eastAsia="en-US"/>
              </w:rPr>
              <w:t xml:space="preserve"> daļa paredz adekvātu sankciju atbilstoši pārkāpuma bīstamībai un tā ir analoģiska  Kodeksa 181.panta otrajā daļā šobrīd ietvertai sankcijai.   </w:t>
            </w:r>
          </w:p>
          <w:p w:rsidR="00546752" w:rsidRPr="005659E6" w:rsidRDefault="00D551F6" w:rsidP="00C64CB1">
            <w:pPr>
              <w:ind w:firstLine="281"/>
              <w:jc w:val="both"/>
              <w:rPr>
                <w:bCs/>
                <w:lang w:eastAsia="en-US"/>
              </w:rPr>
            </w:pPr>
            <w:r>
              <w:rPr>
                <w:bCs/>
                <w:lang w:eastAsia="en-US"/>
              </w:rPr>
              <w:t>Likumprojekta 98.panta trešajā</w:t>
            </w:r>
            <w:r w:rsidR="00A40CB2" w:rsidRPr="005659E6">
              <w:rPr>
                <w:bCs/>
                <w:lang w:eastAsia="en-US"/>
              </w:rPr>
              <w:t xml:space="preserve"> daļā ir uzskait</w:t>
            </w:r>
            <w:r w:rsidR="00FF0FDC" w:rsidRPr="005659E6">
              <w:rPr>
                <w:bCs/>
                <w:lang w:eastAsia="en-US"/>
              </w:rPr>
              <w:t>īti</w:t>
            </w:r>
            <w:r w:rsidR="00A40CB2" w:rsidRPr="005659E6">
              <w:rPr>
                <w:bCs/>
                <w:lang w:eastAsia="en-US"/>
              </w:rPr>
              <w:t xml:space="preserve"> </w:t>
            </w:r>
            <w:r w:rsidR="00FF0FDC" w:rsidRPr="005659E6">
              <w:rPr>
                <w:bCs/>
                <w:lang w:eastAsia="en-US"/>
              </w:rPr>
              <w:t>šaujam</w:t>
            </w:r>
            <w:r w:rsidR="00A40CB2" w:rsidRPr="005659E6">
              <w:rPr>
                <w:bCs/>
                <w:lang w:eastAsia="en-US"/>
              </w:rPr>
              <w:t xml:space="preserve">ieroči, </w:t>
            </w:r>
            <w:r w:rsidR="00FF0FDC" w:rsidRPr="005659E6">
              <w:rPr>
                <w:bCs/>
                <w:lang w:eastAsia="en-US"/>
              </w:rPr>
              <w:t>šaujam</w:t>
            </w:r>
            <w:r w:rsidR="00A40CB2" w:rsidRPr="005659E6">
              <w:rPr>
                <w:bCs/>
                <w:lang w:eastAsia="en-US"/>
              </w:rPr>
              <w:t>ieroču sastāvdaļas un</w:t>
            </w:r>
            <w:r w:rsidR="00FF0FDC" w:rsidRPr="005659E6">
              <w:rPr>
                <w:bCs/>
                <w:lang w:eastAsia="en-US"/>
              </w:rPr>
              <w:t xml:space="preserve"> šaujamieroču</w:t>
            </w:r>
            <w:r w:rsidR="00A40CB2" w:rsidRPr="005659E6">
              <w:rPr>
                <w:bCs/>
                <w:lang w:eastAsia="en-US"/>
              </w:rPr>
              <w:t xml:space="preserve"> munīcija</w:t>
            </w:r>
            <w:r w:rsidR="00FF0FDC" w:rsidRPr="005659E6">
              <w:rPr>
                <w:bCs/>
                <w:lang w:eastAsia="en-US"/>
              </w:rPr>
              <w:t>, kas ir izgatavoti dzīvu un nedzīvu mērķu izn</w:t>
            </w:r>
            <w:r w:rsidR="00611BCB" w:rsidRPr="005659E6">
              <w:rPr>
                <w:bCs/>
                <w:lang w:eastAsia="en-US"/>
              </w:rPr>
              <w:t>ī</w:t>
            </w:r>
            <w:r w:rsidR="00FF0FDC" w:rsidRPr="005659E6">
              <w:rPr>
                <w:bCs/>
                <w:lang w:eastAsia="en-US"/>
              </w:rPr>
              <w:t>cināšanai</w:t>
            </w:r>
            <w:r w:rsidR="006443EA" w:rsidRPr="005659E6">
              <w:rPr>
                <w:bCs/>
                <w:lang w:eastAsia="en-US"/>
              </w:rPr>
              <w:t xml:space="preserve"> vai bojāšanai</w:t>
            </w:r>
            <w:r w:rsidR="00FF0FDC" w:rsidRPr="005659E6">
              <w:rPr>
                <w:bCs/>
                <w:lang w:eastAsia="en-US"/>
              </w:rPr>
              <w:t xml:space="preserve">. </w:t>
            </w:r>
            <w:r>
              <w:rPr>
                <w:bCs/>
                <w:lang w:eastAsia="en-US"/>
              </w:rPr>
              <w:t>Papildus minētam 98.panta trešās</w:t>
            </w:r>
            <w:r w:rsidR="00FF0FDC" w:rsidRPr="005659E6">
              <w:rPr>
                <w:bCs/>
                <w:lang w:eastAsia="en-US"/>
              </w:rPr>
              <w:t xml:space="preserve"> daļas uzskaitījumā ir ietverti </w:t>
            </w:r>
            <w:proofErr w:type="spellStart"/>
            <w:r w:rsidR="00FF0FDC" w:rsidRPr="005659E6">
              <w:rPr>
                <w:bCs/>
                <w:lang w:eastAsia="en-US"/>
              </w:rPr>
              <w:t>salūtieroči</w:t>
            </w:r>
            <w:proofErr w:type="spellEnd"/>
            <w:r w:rsidR="00FF0FDC" w:rsidRPr="005659E6">
              <w:rPr>
                <w:bCs/>
                <w:lang w:eastAsia="en-US"/>
              </w:rPr>
              <w:t xml:space="preserve"> (akustiskie) ieroči, kas nav paredzēti dzīvu vai nedzīvu</w:t>
            </w:r>
            <w:r w:rsidR="00611BCB" w:rsidRPr="005659E6">
              <w:rPr>
                <w:bCs/>
                <w:lang w:eastAsia="en-US"/>
              </w:rPr>
              <w:t xml:space="preserve"> mērķu iznī</w:t>
            </w:r>
            <w:r w:rsidR="00FF0FDC" w:rsidRPr="005659E6">
              <w:rPr>
                <w:bCs/>
                <w:lang w:eastAsia="en-US"/>
              </w:rPr>
              <w:t>cināšanai, bet minētie ieroči ir radīti šaujamieroču pārveidošanas rezultātā un to ārējais izskats un darbības princips pilnībā atveido rūpnieciski ražotos šaujamieročus, kā ar</w:t>
            </w:r>
            <w:r w:rsidR="006443EA" w:rsidRPr="005659E6">
              <w:rPr>
                <w:bCs/>
                <w:lang w:eastAsia="en-US"/>
              </w:rPr>
              <w:t>ī</w:t>
            </w:r>
            <w:r w:rsidR="00FF0FDC" w:rsidRPr="005659E6">
              <w:rPr>
                <w:bCs/>
                <w:lang w:eastAsia="en-US"/>
              </w:rPr>
              <w:t xml:space="preserve"> pastāv noteikti riski to iespējamai </w:t>
            </w:r>
            <w:proofErr w:type="spellStart"/>
            <w:r w:rsidR="00FF0FDC" w:rsidRPr="005659E6">
              <w:rPr>
                <w:bCs/>
                <w:lang w:eastAsia="en-US"/>
              </w:rPr>
              <w:t>reaktivēšan</w:t>
            </w:r>
            <w:r w:rsidR="00611BCB" w:rsidRPr="005659E6">
              <w:rPr>
                <w:bCs/>
                <w:lang w:eastAsia="en-US"/>
              </w:rPr>
              <w:t>a</w:t>
            </w:r>
            <w:r w:rsidR="00FF0FDC" w:rsidRPr="005659E6">
              <w:rPr>
                <w:bCs/>
                <w:lang w:eastAsia="en-US"/>
              </w:rPr>
              <w:t>i</w:t>
            </w:r>
            <w:proofErr w:type="spellEnd"/>
            <w:r w:rsidR="00FF0FDC" w:rsidRPr="005659E6">
              <w:rPr>
                <w:bCs/>
                <w:lang w:eastAsia="en-US"/>
              </w:rPr>
              <w:t xml:space="preserve">. </w:t>
            </w:r>
            <w:r w:rsidR="003E282E" w:rsidRPr="005659E6">
              <w:rPr>
                <w:bCs/>
                <w:lang w:eastAsia="en-US"/>
              </w:rPr>
              <w:t xml:space="preserve">Kodeksa </w:t>
            </w:r>
            <w:r w:rsidR="00741F50" w:rsidRPr="005659E6">
              <w:rPr>
                <w:bCs/>
                <w:lang w:eastAsia="en-US"/>
              </w:rPr>
              <w:t>181.panta pirmā daļa</w:t>
            </w:r>
            <w:r w:rsidR="003E282E" w:rsidRPr="005659E6">
              <w:rPr>
                <w:bCs/>
                <w:lang w:eastAsia="en-US"/>
              </w:rPr>
              <w:t xml:space="preserve"> ir pārņemta</w:t>
            </w:r>
            <w:r w:rsidR="00E77629" w:rsidRPr="005659E6">
              <w:rPr>
                <w:bCs/>
                <w:lang w:eastAsia="en-US"/>
              </w:rPr>
              <w:t xml:space="preserve"> Likumprojekta</w:t>
            </w:r>
            <w:r w:rsidR="00741F50" w:rsidRPr="005659E6">
              <w:rPr>
                <w:bCs/>
                <w:lang w:eastAsia="en-US"/>
              </w:rPr>
              <w:t xml:space="preserve"> 98.panta </w:t>
            </w:r>
            <w:r>
              <w:rPr>
                <w:bCs/>
                <w:lang w:eastAsia="en-US"/>
              </w:rPr>
              <w:t>trešajā</w:t>
            </w:r>
            <w:r w:rsidR="00741F50" w:rsidRPr="005659E6">
              <w:rPr>
                <w:bCs/>
                <w:lang w:eastAsia="en-US"/>
              </w:rPr>
              <w:t xml:space="preserve"> daļā</w:t>
            </w:r>
            <w:r w:rsidR="003E282E" w:rsidRPr="005659E6">
              <w:rPr>
                <w:bCs/>
                <w:lang w:eastAsia="en-US"/>
              </w:rPr>
              <w:t xml:space="preserve"> paredzot fiziskajām un juridiskajām personām administratīvo atbildību par šaujamieroča, </w:t>
            </w:r>
            <w:proofErr w:type="spellStart"/>
            <w:r w:rsidR="003E282E" w:rsidRPr="005659E6">
              <w:rPr>
                <w:bCs/>
                <w:lang w:eastAsia="en-US"/>
              </w:rPr>
              <w:t>salūtieroča</w:t>
            </w:r>
            <w:proofErr w:type="spellEnd"/>
            <w:r w:rsidR="003E282E" w:rsidRPr="005659E6">
              <w:rPr>
                <w:bCs/>
                <w:lang w:eastAsia="en-US"/>
              </w:rPr>
              <w:t xml:space="preserve"> (akustiskā ieroča), lielas enerģijas pneimatiskā ieroča, šaujamieroča maināmās būtiskās sastāvdaļas, šāviena trokšņa slāpētāja (klusinātāja) vai par šaujamieroča vai </w:t>
            </w:r>
            <w:proofErr w:type="spellStart"/>
            <w:r w:rsidR="003E282E" w:rsidRPr="005659E6">
              <w:rPr>
                <w:bCs/>
                <w:lang w:eastAsia="en-US"/>
              </w:rPr>
              <w:t>salūtieroča</w:t>
            </w:r>
            <w:proofErr w:type="spellEnd"/>
            <w:r w:rsidR="003E282E" w:rsidRPr="005659E6">
              <w:rPr>
                <w:bCs/>
                <w:lang w:eastAsia="en-US"/>
              </w:rPr>
              <w:t xml:space="preserve"> (akustiskā ieroča) munīcijas vai munīcijas sastāvdaļas, aprites noteikumu pārkāpšanu</w:t>
            </w:r>
            <w:r w:rsidR="00D94322" w:rsidRPr="005659E6">
              <w:rPr>
                <w:bCs/>
                <w:lang w:eastAsia="en-US"/>
              </w:rPr>
              <w:t>. Salīdzinoši ar Kodeksa 181.panta pirmo daļu Likumprojekta 98.panta</w:t>
            </w:r>
            <w:r w:rsidR="00EF715F" w:rsidRPr="005659E6">
              <w:rPr>
                <w:bCs/>
                <w:lang w:eastAsia="en-US"/>
              </w:rPr>
              <w:t xml:space="preserve"> </w:t>
            </w:r>
            <w:r>
              <w:rPr>
                <w:bCs/>
                <w:lang w:eastAsia="en-US"/>
              </w:rPr>
              <w:t>trešā</w:t>
            </w:r>
            <w:r w:rsidR="00741F50" w:rsidRPr="005659E6">
              <w:rPr>
                <w:bCs/>
                <w:lang w:eastAsia="en-US"/>
              </w:rPr>
              <w:t xml:space="preserve"> daļa ir precizēta atbilstoši</w:t>
            </w:r>
            <w:r w:rsidR="00EF715F" w:rsidRPr="005659E6">
              <w:rPr>
                <w:bCs/>
                <w:lang w:eastAsia="en-US"/>
              </w:rPr>
              <w:t xml:space="preserve"> jaunām Likuma prasībām. </w:t>
            </w:r>
            <w:r w:rsidR="00D94322" w:rsidRPr="005659E6">
              <w:rPr>
                <w:bCs/>
                <w:lang w:eastAsia="en-US"/>
              </w:rPr>
              <w:t xml:space="preserve"> </w:t>
            </w:r>
            <w:r>
              <w:rPr>
                <w:bCs/>
                <w:lang w:eastAsia="en-US"/>
              </w:rPr>
              <w:t>Likumprojekta 98.panta trešajā</w:t>
            </w:r>
            <w:r w:rsidR="00EF715F" w:rsidRPr="005659E6">
              <w:rPr>
                <w:bCs/>
                <w:lang w:eastAsia="en-US"/>
              </w:rPr>
              <w:t xml:space="preserve"> daļā ir ietverts jauns ieroču veids </w:t>
            </w:r>
            <w:proofErr w:type="spellStart"/>
            <w:r w:rsidR="00EF715F" w:rsidRPr="005659E6">
              <w:rPr>
                <w:bCs/>
                <w:lang w:eastAsia="en-US"/>
              </w:rPr>
              <w:t>salūtieroči</w:t>
            </w:r>
            <w:proofErr w:type="spellEnd"/>
            <w:r w:rsidR="00EF715F" w:rsidRPr="005659E6">
              <w:rPr>
                <w:bCs/>
                <w:lang w:eastAsia="en-US"/>
              </w:rPr>
              <w:t xml:space="preserve"> (akustiski ieroči), kas pēc savas bīstamības ir pielīdzināmi šaujamieročiem un saskaņā ar Direktīva</w:t>
            </w:r>
            <w:r w:rsidR="00741F50" w:rsidRPr="005659E6">
              <w:rPr>
                <w:bCs/>
                <w:lang w:eastAsia="en-US"/>
              </w:rPr>
              <w:t>s</w:t>
            </w:r>
            <w:r w:rsidR="00EF715F" w:rsidRPr="005659E6">
              <w:rPr>
                <w:bCs/>
                <w:lang w:eastAsia="en-US"/>
              </w:rPr>
              <w:t xml:space="preserve"> (ES) 2017/853</w:t>
            </w:r>
            <w:r w:rsidR="00741F50" w:rsidRPr="005659E6">
              <w:rPr>
                <w:bCs/>
                <w:lang w:eastAsia="en-US"/>
              </w:rPr>
              <w:t xml:space="preserve"> prasībām atbilstoši</w:t>
            </w:r>
            <w:r w:rsidR="00EF715F" w:rsidRPr="005659E6">
              <w:rPr>
                <w:bCs/>
                <w:lang w:eastAsia="en-US"/>
              </w:rPr>
              <w:t xml:space="preserve"> to tehnisk</w:t>
            </w:r>
            <w:r w:rsidR="00741F50" w:rsidRPr="005659E6">
              <w:rPr>
                <w:bCs/>
                <w:lang w:eastAsia="en-US"/>
              </w:rPr>
              <w:t>iem raksturlielumiem ir iekļaujami</w:t>
            </w:r>
            <w:r w:rsidR="00EF715F" w:rsidRPr="005659E6">
              <w:rPr>
                <w:bCs/>
                <w:lang w:eastAsia="en-US"/>
              </w:rPr>
              <w:t xml:space="preserve"> ieroču tehniskā klasifikācijā analoģiski, kā šaujamieroči A, B un C k</w:t>
            </w:r>
            <w:r>
              <w:rPr>
                <w:bCs/>
                <w:lang w:eastAsia="en-US"/>
              </w:rPr>
              <w:t>ategorijā. Vienlaikus 98.panta trešās daļas dispozīcija</w:t>
            </w:r>
            <w:r w:rsidR="00EF715F" w:rsidRPr="005659E6">
              <w:rPr>
                <w:bCs/>
                <w:lang w:eastAsia="en-US"/>
              </w:rPr>
              <w:t xml:space="preserve"> ir papildināta ar šaujamieroču mainām</w:t>
            </w:r>
            <w:r w:rsidR="00741F50" w:rsidRPr="005659E6">
              <w:rPr>
                <w:bCs/>
                <w:lang w:eastAsia="en-US"/>
              </w:rPr>
              <w:t>ām būtiskām sastāvdaļām. Saskaņā ar Likumā ietverto tiesisko</w:t>
            </w:r>
            <w:r w:rsidR="00EF715F" w:rsidRPr="005659E6">
              <w:rPr>
                <w:bCs/>
                <w:lang w:eastAsia="en-US"/>
              </w:rPr>
              <w:t xml:space="preserve"> regulējumu fiziskajām un juridiskajām personām nav iespējams piedalīties ieroču apritē ar</w:t>
            </w:r>
            <w:r w:rsidR="00EF40F2" w:rsidRPr="005659E6">
              <w:rPr>
                <w:bCs/>
                <w:lang w:eastAsia="en-US"/>
              </w:rPr>
              <w:t xml:space="preserve"> atsevišķām</w:t>
            </w:r>
            <w:r w:rsidR="00EB3B59" w:rsidRPr="005659E6">
              <w:rPr>
                <w:bCs/>
                <w:lang w:eastAsia="en-US"/>
              </w:rPr>
              <w:t xml:space="preserve"> šaujamieroču</w:t>
            </w:r>
            <w:r w:rsidR="00EF715F" w:rsidRPr="005659E6">
              <w:rPr>
                <w:bCs/>
                <w:lang w:eastAsia="en-US"/>
              </w:rPr>
              <w:t xml:space="preserve"> būtisk</w:t>
            </w:r>
            <w:r w:rsidR="00EF40F2" w:rsidRPr="005659E6">
              <w:rPr>
                <w:bCs/>
                <w:lang w:eastAsia="en-US"/>
              </w:rPr>
              <w:t xml:space="preserve">ajām sastāvdaļām (piemēram ieroča īpašnieks nevar realizēt šaujamieroča rāmi paturot sev īpašuma palikušas šaujamieroča būtiskas </w:t>
            </w:r>
            <w:r w:rsidR="008B2A0B" w:rsidRPr="005659E6">
              <w:rPr>
                <w:bCs/>
                <w:lang w:eastAsia="en-US"/>
              </w:rPr>
              <w:t>sastāvdaļas), bet L</w:t>
            </w:r>
            <w:r w:rsidR="00EB3B59" w:rsidRPr="005659E6">
              <w:rPr>
                <w:bCs/>
                <w:lang w:eastAsia="en-US"/>
              </w:rPr>
              <w:t>ikums pieļauj minētiem īpašniekiem norma</w:t>
            </w:r>
            <w:r w:rsidR="00741F50" w:rsidRPr="005659E6">
              <w:rPr>
                <w:bCs/>
                <w:lang w:eastAsia="en-US"/>
              </w:rPr>
              <w:t>tīvajos aktos noteiktajā kārtībā</w:t>
            </w:r>
            <w:r w:rsidR="00EB3B59" w:rsidRPr="005659E6">
              <w:rPr>
                <w:bCs/>
                <w:lang w:eastAsia="en-US"/>
              </w:rPr>
              <w:t xml:space="preserve"> piedal</w:t>
            </w:r>
            <w:r w:rsidR="00741F50" w:rsidRPr="005659E6">
              <w:rPr>
                <w:bCs/>
                <w:lang w:eastAsia="en-US"/>
              </w:rPr>
              <w:t>īties ieroču apritē ar atsevišķā</w:t>
            </w:r>
            <w:r w:rsidR="00EB3B59" w:rsidRPr="005659E6">
              <w:rPr>
                <w:bCs/>
                <w:lang w:eastAsia="en-US"/>
              </w:rPr>
              <w:t>m šaujamieroča maināmām būtiskām sastāvdaļām. Savukārt šaujamieroču sastāvdaļas, kas neietilpst šaujamieroču būtisko sastāvdaļu vai šaujamieroču būtis</w:t>
            </w:r>
            <w:r w:rsidR="00741F50" w:rsidRPr="005659E6">
              <w:rPr>
                <w:bCs/>
                <w:lang w:eastAsia="en-US"/>
              </w:rPr>
              <w:t>ko maināmo sastāvdaļu definīcijā ir uzskatāmas</w:t>
            </w:r>
            <w:r w:rsidR="00EB3B59" w:rsidRPr="005659E6">
              <w:rPr>
                <w:bCs/>
                <w:lang w:eastAsia="en-US"/>
              </w:rPr>
              <w:t xml:space="preserve"> par </w:t>
            </w:r>
            <w:r w:rsidR="001A59C7" w:rsidRPr="005659E6">
              <w:rPr>
                <w:bCs/>
                <w:lang w:eastAsia="en-US"/>
              </w:rPr>
              <w:t xml:space="preserve">maznozīmīgām </w:t>
            </w:r>
            <w:r w:rsidR="00EB3B59" w:rsidRPr="005659E6">
              <w:rPr>
                <w:bCs/>
                <w:lang w:eastAsia="en-US"/>
              </w:rPr>
              <w:t>sastāvdaļām</w:t>
            </w:r>
            <w:r w:rsidR="00741F50" w:rsidRPr="005659E6">
              <w:rPr>
                <w:bCs/>
                <w:lang w:eastAsia="en-US"/>
              </w:rPr>
              <w:t>,</w:t>
            </w:r>
            <w:r w:rsidR="00EB3B59" w:rsidRPr="005659E6">
              <w:rPr>
                <w:bCs/>
                <w:lang w:eastAsia="en-US"/>
              </w:rPr>
              <w:t xml:space="preserve"> kuru aprite</w:t>
            </w:r>
            <w:r w:rsidR="001A59C7" w:rsidRPr="005659E6">
              <w:rPr>
                <w:bCs/>
                <w:lang w:eastAsia="en-US"/>
              </w:rPr>
              <w:t xml:space="preserve"> netiek izsekota un reglamentēta izņemot komercdarbību ar šaujamieroču sastāvdaļām, kuru īstenošanai ir nepieciešama speciālā atļauja (licence). </w:t>
            </w:r>
          </w:p>
          <w:p w:rsidR="00884581" w:rsidRPr="005659E6" w:rsidRDefault="00DF4B45" w:rsidP="00C64CB1">
            <w:pPr>
              <w:ind w:firstLine="281"/>
              <w:jc w:val="both"/>
              <w:rPr>
                <w:bCs/>
                <w:lang w:eastAsia="en-US"/>
              </w:rPr>
            </w:pPr>
            <w:r w:rsidRPr="005659E6">
              <w:rPr>
                <w:bCs/>
                <w:lang w:eastAsia="en-US"/>
              </w:rPr>
              <w:t xml:space="preserve"> </w:t>
            </w:r>
          </w:p>
          <w:tbl>
            <w:tblPr>
              <w:tblStyle w:val="TableGrid"/>
              <w:tblW w:w="6973" w:type="dxa"/>
              <w:tblLayout w:type="fixed"/>
              <w:tblLook w:val="04A0" w:firstRow="1" w:lastRow="0" w:firstColumn="1" w:lastColumn="0" w:noHBand="0" w:noVBand="1"/>
            </w:tblPr>
            <w:tblGrid>
              <w:gridCol w:w="1225"/>
              <w:gridCol w:w="1242"/>
              <w:gridCol w:w="1520"/>
              <w:gridCol w:w="1818"/>
              <w:gridCol w:w="1168"/>
            </w:tblGrid>
            <w:tr w:rsidR="008B2A0B" w:rsidRPr="005659E6" w:rsidTr="005659E6">
              <w:trPr>
                <w:trHeight w:val="530"/>
              </w:trPr>
              <w:tc>
                <w:tcPr>
                  <w:tcW w:w="1225" w:type="dxa"/>
                </w:tcPr>
                <w:p w:rsidR="008B2A0B" w:rsidRPr="005659E6" w:rsidRDefault="008B2A0B" w:rsidP="008B2A0B">
                  <w:pPr>
                    <w:jc w:val="both"/>
                    <w:rPr>
                      <w:bCs/>
                      <w:lang w:eastAsia="en-US"/>
                    </w:rPr>
                  </w:pPr>
                  <w:r w:rsidRPr="005659E6">
                    <w:rPr>
                      <w:bCs/>
                      <w:lang w:eastAsia="en-US"/>
                    </w:rPr>
                    <w:t>Kodeksa 181.panta pirmā daļa</w:t>
                  </w:r>
                </w:p>
              </w:tc>
              <w:tc>
                <w:tcPr>
                  <w:tcW w:w="1242" w:type="dxa"/>
                </w:tcPr>
                <w:p w:rsidR="008B2A0B" w:rsidRPr="005659E6" w:rsidRDefault="008B2A0B" w:rsidP="008B2A0B">
                  <w:pPr>
                    <w:jc w:val="both"/>
                    <w:rPr>
                      <w:bCs/>
                      <w:lang w:eastAsia="en-US"/>
                    </w:rPr>
                  </w:pPr>
                  <w:r w:rsidRPr="005659E6">
                    <w:rPr>
                      <w:bCs/>
                      <w:lang w:eastAsia="en-US"/>
                    </w:rPr>
                    <w:t>Sastādīto protokolu kopējais skaits</w:t>
                  </w:r>
                </w:p>
              </w:tc>
              <w:tc>
                <w:tcPr>
                  <w:tcW w:w="1520" w:type="dxa"/>
                </w:tcPr>
                <w:p w:rsidR="008B2A0B" w:rsidRPr="005659E6" w:rsidRDefault="008B2A0B" w:rsidP="008B2A0B">
                  <w:pPr>
                    <w:jc w:val="both"/>
                    <w:rPr>
                      <w:bCs/>
                      <w:lang w:eastAsia="en-US"/>
                    </w:rPr>
                  </w:pPr>
                  <w:r w:rsidRPr="005659E6">
                    <w:rPr>
                      <w:bCs/>
                      <w:lang w:eastAsia="en-US"/>
                    </w:rPr>
                    <w:t>t.sk. Valsts policija sastādīja protokolus (skaits)</w:t>
                  </w:r>
                </w:p>
              </w:tc>
              <w:tc>
                <w:tcPr>
                  <w:tcW w:w="1818" w:type="dxa"/>
                </w:tcPr>
                <w:p w:rsidR="008B2A0B" w:rsidRPr="005659E6" w:rsidRDefault="008B2A0B" w:rsidP="008B2A0B">
                  <w:pPr>
                    <w:jc w:val="both"/>
                    <w:rPr>
                      <w:bCs/>
                      <w:lang w:eastAsia="en-US"/>
                    </w:rPr>
                  </w:pPr>
                  <w:r w:rsidRPr="005659E6">
                    <w:rPr>
                      <w:bCs/>
                      <w:lang w:eastAsia="en-US"/>
                    </w:rPr>
                    <w:t>Pieņemts lēmums par administratīvā soda piemērošanu</w:t>
                  </w:r>
                </w:p>
              </w:tc>
              <w:tc>
                <w:tcPr>
                  <w:tcW w:w="1168" w:type="dxa"/>
                </w:tcPr>
                <w:p w:rsidR="008B2A0B" w:rsidRPr="005659E6" w:rsidRDefault="008B2A0B" w:rsidP="008B2A0B">
                  <w:pPr>
                    <w:jc w:val="both"/>
                    <w:rPr>
                      <w:bCs/>
                      <w:lang w:eastAsia="en-US"/>
                    </w:rPr>
                  </w:pPr>
                  <w:r w:rsidRPr="005659E6">
                    <w:rPr>
                      <w:bCs/>
                      <w:lang w:eastAsia="en-US"/>
                    </w:rPr>
                    <w:t>t.sk. administratīvais sods par Valsts policijas sastādītajiem protokoliem</w:t>
                  </w:r>
                </w:p>
              </w:tc>
            </w:tr>
            <w:tr w:rsidR="008B2A0B" w:rsidRPr="005659E6" w:rsidTr="00DA286D">
              <w:trPr>
                <w:trHeight w:val="233"/>
              </w:trPr>
              <w:tc>
                <w:tcPr>
                  <w:tcW w:w="1225" w:type="dxa"/>
                </w:tcPr>
                <w:p w:rsidR="008B2A0B" w:rsidRPr="005659E6" w:rsidRDefault="008B2A0B" w:rsidP="008B2A0B">
                  <w:pPr>
                    <w:ind w:firstLine="281"/>
                    <w:jc w:val="both"/>
                    <w:rPr>
                      <w:bCs/>
                      <w:lang w:eastAsia="en-US"/>
                    </w:rPr>
                  </w:pPr>
                  <w:r w:rsidRPr="005659E6">
                    <w:rPr>
                      <w:bCs/>
                      <w:lang w:eastAsia="en-US"/>
                    </w:rPr>
                    <w:t>2016</w:t>
                  </w:r>
                </w:p>
              </w:tc>
              <w:tc>
                <w:tcPr>
                  <w:tcW w:w="1242" w:type="dxa"/>
                  <w:vAlign w:val="center"/>
                </w:tcPr>
                <w:p w:rsidR="008B2A0B" w:rsidRPr="005659E6" w:rsidRDefault="008B2A0B" w:rsidP="008B2A0B">
                  <w:pPr>
                    <w:ind w:firstLine="281"/>
                    <w:jc w:val="both"/>
                    <w:rPr>
                      <w:bCs/>
                      <w:lang w:eastAsia="en-US"/>
                    </w:rPr>
                  </w:pPr>
                  <w:r w:rsidRPr="005659E6">
                    <w:rPr>
                      <w:bCs/>
                      <w:lang w:eastAsia="en-US"/>
                    </w:rPr>
                    <w:t>145</w:t>
                  </w:r>
                </w:p>
              </w:tc>
              <w:tc>
                <w:tcPr>
                  <w:tcW w:w="1520" w:type="dxa"/>
                  <w:vAlign w:val="center"/>
                </w:tcPr>
                <w:p w:rsidR="008B2A0B" w:rsidRPr="005659E6" w:rsidRDefault="008B2A0B" w:rsidP="008B2A0B">
                  <w:pPr>
                    <w:ind w:firstLine="281"/>
                    <w:jc w:val="both"/>
                    <w:rPr>
                      <w:bCs/>
                      <w:lang w:eastAsia="en-US"/>
                    </w:rPr>
                  </w:pPr>
                  <w:r w:rsidRPr="005659E6">
                    <w:rPr>
                      <w:bCs/>
                      <w:lang w:eastAsia="en-US"/>
                    </w:rPr>
                    <w:t>145</w:t>
                  </w:r>
                </w:p>
              </w:tc>
              <w:tc>
                <w:tcPr>
                  <w:tcW w:w="1818" w:type="dxa"/>
                  <w:vAlign w:val="center"/>
                </w:tcPr>
                <w:p w:rsidR="008B2A0B" w:rsidRPr="005659E6" w:rsidRDefault="008B2A0B" w:rsidP="008B2A0B">
                  <w:pPr>
                    <w:ind w:firstLine="281"/>
                    <w:jc w:val="both"/>
                    <w:rPr>
                      <w:bCs/>
                      <w:lang w:eastAsia="en-US"/>
                    </w:rPr>
                  </w:pPr>
                  <w:r w:rsidRPr="005659E6">
                    <w:rPr>
                      <w:bCs/>
                      <w:lang w:eastAsia="en-US"/>
                    </w:rPr>
                    <w:t>135</w:t>
                  </w:r>
                </w:p>
              </w:tc>
              <w:tc>
                <w:tcPr>
                  <w:tcW w:w="1168" w:type="dxa"/>
                  <w:vAlign w:val="center"/>
                </w:tcPr>
                <w:p w:rsidR="008B2A0B" w:rsidRPr="005659E6" w:rsidRDefault="008B2A0B" w:rsidP="008B2A0B">
                  <w:pPr>
                    <w:ind w:firstLine="281"/>
                    <w:jc w:val="both"/>
                    <w:rPr>
                      <w:bCs/>
                      <w:lang w:eastAsia="en-US"/>
                    </w:rPr>
                  </w:pPr>
                  <w:r w:rsidRPr="005659E6">
                    <w:rPr>
                      <w:bCs/>
                      <w:lang w:eastAsia="en-US"/>
                    </w:rPr>
                    <w:t>135</w:t>
                  </w:r>
                </w:p>
              </w:tc>
            </w:tr>
            <w:tr w:rsidR="008B2A0B" w:rsidRPr="005659E6" w:rsidTr="00DA286D">
              <w:trPr>
                <w:trHeight w:val="233"/>
              </w:trPr>
              <w:tc>
                <w:tcPr>
                  <w:tcW w:w="1225" w:type="dxa"/>
                </w:tcPr>
                <w:p w:rsidR="008B2A0B" w:rsidRPr="005659E6" w:rsidRDefault="008B2A0B" w:rsidP="008B2A0B">
                  <w:pPr>
                    <w:ind w:firstLine="281"/>
                    <w:jc w:val="both"/>
                    <w:rPr>
                      <w:bCs/>
                      <w:lang w:eastAsia="en-US"/>
                    </w:rPr>
                  </w:pPr>
                  <w:r w:rsidRPr="005659E6">
                    <w:rPr>
                      <w:bCs/>
                      <w:lang w:eastAsia="en-US"/>
                    </w:rPr>
                    <w:lastRenderedPageBreak/>
                    <w:t>2017</w:t>
                  </w:r>
                </w:p>
              </w:tc>
              <w:tc>
                <w:tcPr>
                  <w:tcW w:w="1242" w:type="dxa"/>
                  <w:vAlign w:val="center"/>
                </w:tcPr>
                <w:p w:rsidR="008B2A0B" w:rsidRPr="005659E6" w:rsidRDefault="008B2A0B" w:rsidP="008B2A0B">
                  <w:pPr>
                    <w:ind w:firstLine="281"/>
                    <w:jc w:val="both"/>
                    <w:rPr>
                      <w:bCs/>
                      <w:lang w:eastAsia="en-US"/>
                    </w:rPr>
                  </w:pPr>
                  <w:r w:rsidRPr="005659E6">
                    <w:rPr>
                      <w:bCs/>
                      <w:lang w:eastAsia="en-US"/>
                    </w:rPr>
                    <w:t>183</w:t>
                  </w:r>
                </w:p>
              </w:tc>
              <w:tc>
                <w:tcPr>
                  <w:tcW w:w="1520" w:type="dxa"/>
                  <w:vAlign w:val="center"/>
                </w:tcPr>
                <w:p w:rsidR="008B2A0B" w:rsidRPr="005659E6" w:rsidRDefault="008B2A0B" w:rsidP="008B2A0B">
                  <w:pPr>
                    <w:ind w:firstLine="281"/>
                    <w:jc w:val="both"/>
                    <w:rPr>
                      <w:bCs/>
                      <w:lang w:eastAsia="en-US"/>
                    </w:rPr>
                  </w:pPr>
                  <w:r w:rsidRPr="005659E6">
                    <w:rPr>
                      <w:bCs/>
                      <w:lang w:eastAsia="en-US"/>
                    </w:rPr>
                    <w:t>183</w:t>
                  </w:r>
                </w:p>
              </w:tc>
              <w:tc>
                <w:tcPr>
                  <w:tcW w:w="1818" w:type="dxa"/>
                  <w:vAlign w:val="center"/>
                </w:tcPr>
                <w:p w:rsidR="008B2A0B" w:rsidRPr="005659E6" w:rsidRDefault="008B2A0B" w:rsidP="008B2A0B">
                  <w:pPr>
                    <w:ind w:firstLine="281"/>
                    <w:jc w:val="both"/>
                    <w:rPr>
                      <w:bCs/>
                      <w:lang w:eastAsia="en-US"/>
                    </w:rPr>
                  </w:pPr>
                  <w:r w:rsidRPr="005659E6">
                    <w:rPr>
                      <w:bCs/>
                      <w:lang w:eastAsia="en-US"/>
                    </w:rPr>
                    <w:t>174</w:t>
                  </w:r>
                </w:p>
              </w:tc>
              <w:tc>
                <w:tcPr>
                  <w:tcW w:w="1168" w:type="dxa"/>
                  <w:vAlign w:val="center"/>
                </w:tcPr>
                <w:p w:rsidR="008B2A0B" w:rsidRPr="005659E6" w:rsidRDefault="008B2A0B" w:rsidP="008B2A0B">
                  <w:pPr>
                    <w:ind w:firstLine="281"/>
                    <w:jc w:val="both"/>
                    <w:rPr>
                      <w:bCs/>
                      <w:lang w:eastAsia="en-US"/>
                    </w:rPr>
                  </w:pPr>
                  <w:r w:rsidRPr="005659E6">
                    <w:rPr>
                      <w:bCs/>
                      <w:lang w:eastAsia="en-US"/>
                    </w:rPr>
                    <w:t>174</w:t>
                  </w:r>
                </w:p>
              </w:tc>
            </w:tr>
            <w:tr w:rsidR="008B2A0B" w:rsidRPr="005659E6" w:rsidTr="00DA286D">
              <w:trPr>
                <w:trHeight w:val="314"/>
              </w:trPr>
              <w:tc>
                <w:tcPr>
                  <w:tcW w:w="1225" w:type="dxa"/>
                </w:tcPr>
                <w:p w:rsidR="008B2A0B" w:rsidRPr="005659E6" w:rsidRDefault="008B2A0B" w:rsidP="008B2A0B">
                  <w:pPr>
                    <w:ind w:firstLine="281"/>
                    <w:jc w:val="both"/>
                    <w:rPr>
                      <w:bCs/>
                      <w:lang w:eastAsia="en-US"/>
                    </w:rPr>
                  </w:pPr>
                  <w:r w:rsidRPr="005659E6">
                    <w:rPr>
                      <w:bCs/>
                      <w:lang w:eastAsia="en-US"/>
                    </w:rPr>
                    <w:t xml:space="preserve">2018 </w:t>
                  </w:r>
                </w:p>
              </w:tc>
              <w:tc>
                <w:tcPr>
                  <w:tcW w:w="1242" w:type="dxa"/>
                  <w:vAlign w:val="center"/>
                </w:tcPr>
                <w:p w:rsidR="008B2A0B" w:rsidRPr="005659E6" w:rsidRDefault="008B2A0B" w:rsidP="008B2A0B">
                  <w:pPr>
                    <w:ind w:firstLine="281"/>
                    <w:jc w:val="both"/>
                    <w:rPr>
                      <w:bCs/>
                      <w:lang w:eastAsia="en-US"/>
                    </w:rPr>
                  </w:pPr>
                  <w:r w:rsidRPr="005659E6">
                    <w:rPr>
                      <w:bCs/>
                      <w:lang w:eastAsia="en-US"/>
                    </w:rPr>
                    <w:t>153</w:t>
                  </w:r>
                </w:p>
              </w:tc>
              <w:tc>
                <w:tcPr>
                  <w:tcW w:w="1520" w:type="dxa"/>
                  <w:vAlign w:val="center"/>
                </w:tcPr>
                <w:p w:rsidR="008B2A0B" w:rsidRPr="005659E6" w:rsidRDefault="008B2A0B" w:rsidP="008B2A0B">
                  <w:pPr>
                    <w:ind w:firstLine="281"/>
                    <w:jc w:val="both"/>
                    <w:rPr>
                      <w:bCs/>
                      <w:lang w:eastAsia="en-US"/>
                    </w:rPr>
                  </w:pPr>
                  <w:r w:rsidRPr="005659E6">
                    <w:rPr>
                      <w:bCs/>
                      <w:lang w:eastAsia="en-US"/>
                    </w:rPr>
                    <w:t>153</w:t>
                  </w:r>
                </w:p>
              </w:tc>
              <w:tc>
                <w:tcPr>
                  <w:tcW w:w="1818" w:type="dxa"/>
                  <w:vAlign w:val="center"/>
                </w:tcPr>
                <w:p w:rsidR="008B2A0B" w:rsidRPr="005659E6" w:rsidRDefault="008B2A0B" w:rsidP="008B2A0B">
                  <w:pPr>
                    <w:ind w:firstLine="281"/>
                    <w:jc w:val="both"/>
                    <w:rPr>
                      <w:bCs/>
                      <w:lang w:eastAsia="en-US"/>
                    </w:rPr>
                  </w:pPr>
                  <w:r w:rsidRPr="005659E6">
                    <w:rPr>
                      <w:bCs/>
                      <w:lang w:eastAsia="en-US"/>
                    </w:rPr>
                    <w:t>147</w:t>
                  </w:r>
                </w:p>
              </w:tc>
              <w:tc>
                <w:tcPr>
                  <w:tcW w:w="1168" w:type="dxa"/>
                  <w:vAlign w:val="center"/>
                </w:tcPr>
                <w:p w:rsidR="008B2A0B" w:rsidRPr="005659E6" w:rsidRDefault="008B2A0B" w:rsidP="008B2A0B">
                  <w:pPr>
                    <w:ind w:firstLine="281"/>
                    <w:jc w:val="both"/>
                    <w:rPr>
                      <w:bCs/>
                      <w:lang w:eastAsia="en-US"/>
                    </w:rPr>
                  </w:pPr>
                  <w:r w:rsidRPr="005659E6">
                    <w:rPr>
                      <w:bCs/>
                      <w:lang w:eastAsia="en-US"/>
                    </w:rPr>
                    <w:t>147</w:t>
                  </w:r>
                </w:p>
              </w:tc>
            </w:tr>
          </w:tbl>
          <w:p w:rsidR="008B2A0B" w:rsidRPr="005659E6" w:rsidRDefault="008B2A0B" w:rsidP="008B2A0B">
            <w:pPr>
              <w:ind w:firstLine="281"/>
              <w:jc w:val="both"/>
              <w:rPr>
                <w:bCs/>
                <w:lang w:eastAsia="en-US"/>
              </w:rPr>
            </w:pPr>
          </w:p>
          <w:tbl>
            <w:tblPr>
              <w:tblStyle w:val="TableGrid"/>
              <w:tblW w:w="6973" w:type="dxa"/>
              <w:tblLayout w:type="fixed"/>
              <w:tblLook w:val="04A0" w:firstRow="1" w:lastRow="0" w:firstColumn="1" w:lastColumn="0" w:noHBand="0" w:noVBand="1"/>
            </w:tblPr>
            <w:tblGrid>
              <w:gridCol w:w="1225"/>
              <w:gridCol w:w="1242"/>
              <w:gridCol w:w="1520"/>
              <w:gridCol w:w="1818"/>
              <w:gridCol w:w="1168"/>
            </w:tblGrid>
            <w:tr w:rsidR="008B2A0B" w:rsidRPr="005659E6" w:rsidTr="00DA286D">
              <w:trPr>
                <w:trHeight w:val="920"/>
              </w:trPr>
              <w:tc>
                <w:tcPr>
                  <w:tcW w:w="1225" w:type="dxa"/>
                </w:tcPr>
                <w:p w:rsidR="008B2A0B" w:rsidRPr="005659E6" w:rsidRDefault="008B2A0B" w:rsidP="008B2A0B">
                  <w:pPr>
                    <w:jc w:val="both"/>
                    <w:rPr>
                      <w:bCs/>
                      <w:lang w:eastAsia="en-US"/>
                    </w:rPr>
                  </w:pPr>
                  <w:r w:rsidRPr="005659E6">
                    <w:rPr>
                      <w:bCs/>
                      <w:lang w:eastAsia="en-US"/>
                    </w:rPr>
                    <w:t>Kodeksa 181.panta otrā daļa</w:t>
                  </w:r>
                </w:p>
              </w:tc>
              <w:tc>
                <w:tcPr>
                  <w:tcW w:w="1242" w:type="dxa"/>
                </w:tcPr>
                <w:p w:rsidR="008B2A0B" w:rsidRPr="005659E6" w:rsidRDefault="008B2A0B" w:rsidP="008B2A0B">
                  <w:pPr>
                    <w:jc w:val="both"/>
                    <w:rPr>
                      <w:bCs/>
                      <w:lang w:eastAsia="en-US"/>
                    </w:rPr>
                  </w:pPr>
                  <w:r w:rsidRPr="005659E6">
                    <w:rPr>
                      <w:bCs/>
                      <w:lang w:eastAsia="en-US"/>
                    </w:rPr>
                    <w:t>Sastādīto protokolu kopējais skaits</w:t>
                  </w:r>
                </w:p>
              </w:tc>
              <w:tc>
                <w:tcPr>
                  <w:tcW w:w="1520" w:type="dxa"/>
                </w:tcPr>
                <w:p w:rsidR="008B2A0B" w:rsidRPr="005659E6" w:rsidRDefault="008B2A0B" w:rsidP="008B2A0B">
                  <w:pPr>
                    <w:jc w:val="both"/>
                    <w:rPr>
                      <w:bCs/>
                      <w:lang w:eastAsia="en-US"/>
                    </w:rPr>
                  </w:pPr>
                  <w:r w:rsidRPr="005659E6">
                    <w:rPr>
                      <w:bCs/>
                      <w:lang w:eastAsia="en-US"/>
                    </w:rPr>
                    <w:t>t.sk. Valsts policija sastādīja protokolus (skaits)</w:t>
                  </w:r>
                </w:p>
              </w:tc>
              <w:tc>
                <w:tcPr>
                  <w:tcW w:w="1818" w:type="dxa"/>
                </w:tcPr>
                <w:p w:rsidR="008B2A0B" w:rsidRPr="005659E6" w:rsidRDefault="00DA286D" w:rsidP="00DA286D">
                  <w:pPr>
                    <w:rPr>
                      <w:bCs/>
                      <w:lang w:eastAsia="en-US"/>
                    </w:rPr>
                  </w:pPr>
                  <w:r w:rsidRPr="005659E6">
                    <w:rPr>
                      <w:bCs/>
                      <w:lang w:eastAsia="en-US"/>
                    </w:rPr>
                    <w:t xml:space="preserve">Pieņemts lēmums par  </w:t>
                  </w:r>
                  <w:r w:rsidR="008B2A0B" w:rsidRPr="005659E6">
                    <w:rPr>
                      <w:bCs/>
                      <w:lang w:eastAsia="en-US"/>
                    </w:rPr>
                    <w:t>administratīvā soda piemērošanu</w:t>
                  </w:r>
                </w:p>
              </w:tc>
              <w:tc>
                <w:tcPr>
                  <w:tcW w:w="1168" w:type="dxa"/>
                </w:tcPr>
                <w:p w:rsidR="008B2A0B" w:rsidRPr="005659E6" w:rsidRDefault="008B2A0B" w:rsidP="008B2A0B">
                  <w:pPr>
                    <w:jc w:val="both"/>
                    <w:rPr>
                      <w:bCs/>
                      <w:lang w:eastAsia="en-US"/>
                    </w:rPr>
                  </w:pPr>
                  <w:r w:rsidRPr="005659E6">
                    <w:rPr>
                      <w:bCs/>
                      <w:lang w:eastAsia="en-US"/>
                    </w:rPr>
                    <w:t>t.sk. administratīvais sods par Valsts policijas sastādītajiem protokoliem</w:t>
                  </w:r>
                </w:p>
              </w:tc>
            </w:tr>
            <w:tr w:rsidR="008B2A0B" w:rsidRPr="005659E6" w:rsidTr="00DA286D">
              <w:trPr>
                <w:trHeight w:val="233"/>
              </w:trPr>
              <w:tc>
                <w:tcPr>
                  <w:tcW w:w="1225" w:type="dxa"/>
                </w:tcPr>
                <w:p w:rsidR="008B2A0B" w:rsidRPr="005659E6" w:rsidRDefault="008B2A0B" w:rsidP="008B2A0B">
                  <w:pPr>
                    <w:ind w:firstLine="281"/>
                    <w:jc w:val="both"/>
                    <w:rPr>
                      <w:bCs/>
                      <w:lang w:eastAsia="en-US"/>
                    </w:rPr>
                  </w:pPr>
                  <w:r w:rsidRPr="005659E6">
                    <w:rPr>
                      <w:bCs/>
                      <w:lang w:eastAsia="en-US"/>
                    </w:rPr>
                    <w:t>2016</w:t>
                  </w:r>
                </w:p>
              </w:tc>
              <w:tc>
                <w:tcPr>
                  <w:tcW w:w="1242" w:type="dxa"/>
                  <w:vAlign w:val="center"/>
                </w:tcPr>
                <w:p w:rsidR="008B2A0B" w:rsidRPr="005659E6" w:rsidRDefault="008B2A0B" w:rsidP="008B2A0B">
                  <w:pPr>
                    <w:ind w:firstLine="281"/>
                    <w:jc w:val="both"/>
                    <w:rPr>
                      <w:bCs/>
                      <w:lang w:eastAsia="en-US"/>
                    </w:rPr>
                  </w:pPr>
                  <w:r w:rsidRPr="005659E6">
                    <w:rPr>
                      <w:bCs/>
                      <w:lang w:eastAsia="en-US"/>
                    </w:rPr>
                    <w:t>252</w:t>
                  </w:r>
                </w:p>
              </w:tc>
              <w:tc>
                <w:tcPr>
                  <w:tcW w:w="1520" w:type="dxa"/>
                  <w:vAlign w:val="center"/>
                </w:tcPr>
                <w:p w:rsidR="008B2A0B" w:rsidRPr="005659E6" w:rsidRDefault="008B2A0B" w:rsidP="008B2A0B">
                  <w:pPr>
                    <w:ind w:firstLine="281"/>
                    <w:jc w:val="both"/>
                    <w:rPr>
                      <w:bCs/>
                      <w:lang w:eastAsia="en-US"/>
                    </w:rPr>
                  </w:pPr>
                  <w:r w:rsidRPr="005659E6">
                    <w:rPr>
                      <w:bCs/>
                      <w:lang w:eastAsia="en-US"/>
                    </w:rPr>
                    <w:t>250</w:t>
                  </w:r>
                </w:p>
              </w:tc>
              <w:tc>
                <w:tcPr>
                  <w:tcW w:w="1818" w:type="dxa"/>
                  <w:vAlign w:val="center"/>
                </w:tcPr>
                <w:p w:rsidR="008B2A0B" w:rsidRPr="005659E6" w:rsidRDefault="008B2A0B" w:rsidP="008B2A0B">
                  <w:pPr>
                    <w:ind w:firstLine="281"/>
                    <w:jc w:val="both"/>
                    <w:rPr>
                      <w:bCs/>
                      <w:lang w:eastAsia="en-US"/>
                    </w:rPr>
                  </w:pPr>
                  <w:r w:rsidRPr="005659E6">
                    <w:rPr>
                      <w:bCs/>
                      <w:lang w:eastAsia="en-US"/>
                    </w:rPr>
                    <w:t>238</w:t>
                  </w:r>
                </w:p>
              </w:tc>
              <w:tc>
                <w:tcPr>
                  <w:tcW w:w="1168" w:type="dxa"/>
                  <w:vAlign w:val="center"/>
                </w:tcPr>
                <w:p w:rsidR="008B2A0B" w:rsidRPr="005659E6" w:rsidRDefault="008B2A0B" w:rsidP="008B2A0B">
                  <w:pPr>
                    <w:ind w:firstLine="281"/>
                    <w:jc w:val="both"/>
                    <w:rPr>
                      <w:bCs/>
                      <w:lang w:eastAsia="en-US"/>
                    </w:rPr>
                  </w:pPr>
                  <w:r w:rsidRPr="005659E6">
                    <w:rPr>
                      <w:bCs/>
                      <w:lang w:eastAsia="en-US"/>
                    </w:rPr>
                    <w:t>236</w:t>
                  </w:r>
                </w:p>
              </w:tc>
            </w:tr>
            <w:tr w:rsidR="008B2A0B" w:rsidRPr="005659E6" w:rsidTr="00DA286D">
              <w:trPr>
                <w:trHeight w:val="233"/>
              </w:trPr>
              <w:tc>
                <w:tcPr>
                  <w:tcW w:w="1225" w:type="dxa"/>
                </w:tcPr>
                <w:p w:rsidR="008B2A0B" w:rsidRPr="005659E6" w:rsidRDefault="008B2A0B" w:rsidP="008B2A0B">
                  <w:pPr>
                    <w:ind w:firstLine="281"/>
                    <w:jc w:val="both"/>
                    <w:rPr>
                      <w:bCs/>
                      <w:lang w:eastAsia="en-US"/>
                    </w:rPr>
                  </w:pPr>
                  <w:r w:rsidRPr="005659E6">
                    <w:rPr>
                      <w:bCs/>
                      <w:lang w:eastAsia="en-US"/>
                    </w:rPr>
                    <w:t>2017</w:t>
                  </w:r>
                </w:p>
              </w:tc>
              <w:tc>
                <w:tcPr>
                  <w:tcW w:w="1242" w:type="dxa"/>
                  <w:vAlign w:val="center"/>
                </w:tcPr>
                <w:p w:rsidR="008B2A0B" w:rsidRPr="005659E6" w:rsidRDefault="008B2A0B" w:rsidP="008B2A0B">
                  <w:pPr>
                    <w:ind w:firstLine="281"/>
                    <w:jc w:val="both"/>
                    <w:rPr>
                      <w:bCs/>
                      <w:lang w:eastAsia="en-US"/>
                    </w:rPr>
                  </w:pPr>
                  <w:r w:rsidRPr="005659E6">
                    <w:rPr>
                      <w:bCs/>
                      <w:lang w:eastAsia="en-US"/>
                    </w:rPr>
                    <w:t>226</w:t>
                  </w:r>
                </w:p>
              </w:tc>
              <w:tc>
                <w:tcPr>
                  <w:tcW w:w="1520" w:type="dxa"/>
                  <w:vAlign w:val="center"/>
                </w:tcPr>
                <w:p w:rsidR="008B2A0B" w:rsidRPr="005659E6" w:rsidRDefault="008B2A0B" w:rsidP="008B2A0B">
                  <w:pPr>
                    <w:ind w:firstLine="281"/>
                    <w:jc w:val="both"/>
                    <w:rPr>
                      <w:bCs/>
                      <w:lang w:eastAsia="en-US"/>
                    </w:rPr>
                  </w:pPr>
                  <w:r w:rsidRPr="005659E6">
                    <w:rPr>
                      <w:bCs/>
                      <w:lang w:eastAsia="en-US"/>
                    </w:rPr>
                    <w:t>226</w:t>
                  </w:r>
                </w:p>
              </w:tc>
              <w:tc>
                <w:tcPr>
                  <w:tcW w:w="1818" w:type="dxa"/>
                  <w:vAlign w:val="center"/>
                </w:tcPr>
                <w:p w:rsidR="008B2A0B" w:rsidRPr="005659E6" w:rsidRDefault="008B2A0B" w:rsidP="008B2A0B">
                  <w:pPr>
                    <w:ind w:firstLine="281"/>
                    <w:jc w:val="both"/>
                    <w:rPr>
                      <w:bCs/>
                      <w:lang w:eastAsia="en-US"/>
                    </w:rPr>
                  </w:pPr>
                  <w:r w:rsidRPr="005659E6">
                    <w:rPr>
                      <w:bCs/>
                      <w:lang w:eastAsia="en-US"/>
                    </w:rPr>
                    <w:t>210</w:t>
                  </w:r>
                </w:p>
              </w:tc>
              <w:tc>
                <w:tcPr>
                  <w:tcW w:w="1168" w:type="dxa"/>
                  <w:vAlign w:val="center"/>
                </w:tcPr>
                <w:p w:rsidR="008B2A0B" w:rsidRPr="005659E6" w:rsidRDefault="008B2A0B" w:rsidP="008B2A0B">
                  <w:pPr>
                    <w:ind w:firstLine="281"/>
                    <w:jc w:val="both"/>
                    <w:rPr>
                      <w:bCs/>
                      <w:lang w:eastAsia="en-US"/>
                    </w:rPr>
                  </w:pPr>
                  <w:r w:rsidRPr="005659E6">
                    <w:rPr>
                      <w:bCs/>
                      <w:lang w:eastAsia="en-US"/>
                    </w:rPr>
                    <w:t>210</w:t>
                  </w:r>
                </w:p>
              </w:tc>
            </w:tr>
            <w:tr w:rsidR="008B2A0B" w:rsidRPr="005659E6" w:rsidTr="00DA286D">
              <w:trPr>
                <w:trHeight w:val="314"/>
              </w:trPr>
              <w:tc>
                <w:tcPr>
                  <w:tcW w:w="1225" w:type="dxa"/>
                </w:tcPr>
                <w:p w:rsidR="008B2A0B" w:rsidRPr="005659E6" w:rsidRDefault="008B2A0B" w:rsidP="008B2A0B">
                  <w:pPr>
                    <w:ind w:firstLine="281"/>
                    <w:jc w:val="both"/>
                    <w:rPr>
                      <w:bCs/>
                      <w:lang w:eastAsia="en-US"/>
                    </w:rPr>
                  </w:pPr>
                  <w:r w:rsidRPr="005659E6">
                    <w:rPr>
                      <w:bCs/>
                      <w:lang w:eastAsia="en-US"/>
                    </w:rPr>
                    <w:t xml:space="preserve">2018 </w:t>
                  </w:r>
                </w:p>
              </w:tc>
              <w:tc>
                <w:tcPr>
                  <w:tcW w:w="1242" w:type="dxa"/>
                  <w:vAlign w:val="center"/>
                </w:tcPr>
                <w:p w:rsidR="008B2A0B" w:rsidRPr="005659E6" w:rsidRDefault="008B2A0B" w:rsidP="008B2A0B">
                  <w:pPr>
                    <w:ind w:firstLine="281"/>
                    <w:jc w:val="both"/>
                    <w:rPr>
                      <w:bCs/>
                      <w:lang w:eastAsia="en-US"/>
                    </w:rPr>
                  </w:pPr>
                  <w:r w:rsidRPr="005659E6">
                    <w:rPr>
                      <w:bCs/>
                      <w:lang w:eastAsia="en-US"/>
                    </w:rPr>
                    <w:t>251</w:t>
                  </w:r>
                </w:p>
              </w:tc>
              <w:tc>
                <w:tcPr>
                  <w:tcW w:w="1520" w:type="dxa"/>
                  <w:vAlign w:val="center"/>
                </w:tcPr>
                <w:p w:rsidR="008B2A0B" w:rsidRPr="005659E6" w:rsidRDefault="008B2A0B" w:rsidP="008B2A0B">
                  <w:pPr>
                    <w:ind w:firstLine="281"/>
                    <w:jc w:val="both"/>
                    <w:rPr>
                      <w:bCs/>
                      <w:lang w:eastAsia="en-US"/>
                    </w:rPr>
                  </w:pPr>
                  <w:r w:rsidRPr="005659E6">
                    <w:rPr>
                      <w:bCs/>
                      <w:lang w:eastAsia="en-US"/>
                    </w:rPr>
                    <w:t>251</w:t>
                  </w:r>
                </w:p>
              </w:tc>
              <w:tc>
                <w:tcPr>
                  <w:tcW w:w="1818" w:type="dxa"/>
                  <w:vAlign w:val="center"/>
                </w:tcPr>
                <w:p w:rsidR="008B2A0B" w:rsidRPr="005659E6" w:rsidRDefault="008B2A0B" w:rsidP="008B2A0B">
                  <w:pPr>
                    <w:ind w:firstLine="281"/>
                    <w:jc w:val="both"/>
                    <w:rPr>
                      <w:bCs/>
                      <w:lang w:eastAsia="en-US"/>
                    </w:rPr>
                  </w:pPr>
                  <w:r w:rsidRPr="005659E6">
                    <w:rPr>
                      <w:bCs/>
                      <w:lang w:eastAsia="en-US"/>
                    </w:rPr>
                    <w:t>241</w:t>
                  </w:r>
                </w:p>
              </w:tc>
              <w:tc>
                <w:tcPr>
                  <w:tcW w:w="1168" w:type="dxa"/>
                  <w:vAlign w:val="center"/>
                </w:tcPr>
                <w:p w:rsidR="008B2A0B" w:rsidRPr="005659E6" w:rsidRDefault="008B2A0B" w:rsidP="008B2A0B">
                  <w:pPr>
                    <w:ind w:firstLine="281"/>
                    <w:jc w:val="both"/>
                    <w:rPr>
                      <w:bCs/>
                      <w:lang w:eastAsia="en-US"/>
                    </w:rPr>
                  </w:pPr>
                  <w:r w:rsidRPr="005659E6">
                    <w:rPr>
                      <w:bCs/>
                      <w:lang w:eastAsia="en-US"/>
                    </w:rPr>
                    <w:t>241</w:t>
                  </w:r>
                </w:p>
              </w:tc>
            </w:tr>
          </w:tbl>
          <w:p w:rsidR="008B2A0B" w:rsidRPr="005659E6" w:rsidRDefault="008B2A0B" w:rsidP="00434FDA">
            <w:pPr>
              <w:jc w:val="both"/>
              <w:rPr>
                <w:bCs/>
                <w:lang w:eastAsia="en-US"/>
              </w:rPr>
            </w:pPr>
          </w:p>
          <w:p w:rsidR="00A9461B" w:rsidRDefault="00A9461B" w:rsidP="009C0FFF">
            <w:pPr>
              <w:ind w:firstLine="281"/>
              <w:jc w:val="both"/>
              <w:rPr>
                <w:bCs/>
                <w:lang w:eastAsia="en-US"/>
              </w:rPr>
            </w:pPr>
            <w:r w:rsidRPr="005659E6">
              <w:rPr>
                <w:bCs/>
                <w:lang w:eastAsia="en-US"/>
              </w:rPr>
              <w:t>Kodeksa 181.</w:t>
            </w:r>
            <w:r w:rsidRPr="005659E6">
              <w:rPr>
                <w:bCs/>
                <w:vertAlign w:val="superscript"/>
                <w:lang w:eastAsia="en-US"/>
              </w:rPr>
              <w:t xml:space="preserve">3 </w:t>
            </w:r>
            <w:r w:rsidRPr="005659E6">
              <w:rPr>
                <w:bCs/>
                <w:lang w:eastAsia="en-US"/>
              </w:rPr>
              <w:t>pantā</w:t>
            </w:r>
            <w:r w:rsidR="00CB33EA" w:rsidRPr="005659E6">
              <w:rPr>
                <w:bCs/>
                <w:lang w:eastAsia="en-US"/>
              </w:rPr>
              <w:t xml:space="preserve"> paredzētais</w:t>
            </w:r>
            <w:r w:rsidRPr="005659E6">
              <w:rPr>
                <w:bCs/>
                <w:lang w:eastAsia="en-US"/>
              </w:rPr>
              <w:t xml:space="preserve"> administratīvais pārkāpums ir pārņemts ar Likumprojekta </w:t>
            </w:r>
            <w:r w:rsidR="009C30C9" w:rsidRPr="005659E6">
              <w:rPr>
                <w:bCs/>
                <w:lang w:eastAsia="en-US"/>
              </w:rPr>
              <w:t xml:space="preserve">98.panta </w:t>
            </w:r>
            <w:r w:rsidR="00AC3658">
              <w:rPr>
                <w:bCs/>
                <w:lang w:eastAsia="en-US"/>
              </w:rPr>
              <w:t>trešo</w:t>
            </w:r>
            <w:r w:rsidR="009C30C9" w:rsidRPr="005659E6">
              <w:rPr>
                <w:bCs/>
                <w:lang w:eastAsia="en-US"/>
              </w:rPr>
              <w:t xml:space="preserve"> daļu</w:t>
            </w:r>
            <w:r w:rsidR="002773E7" w:rsidRPr="005659E6">
              <w:rPr>
                <w:bCs/>
                <w:lang w:eastAsia="en-US"/>
              </w:rPr>
              <w:t>. Prasību neizpilde, kuras jāpilda ieroču glabāšanas, nēsāšanas un kolekcijas atļaujas darbības laikā</w:t>
            </w:r>
            <w:r w:rsidR="00CB177C" w:rsidRPr="005659E6">
              <w:rPr>
                <w:bCs/>
                <w:lang w:eastAsia="en-US"/>
              </w:rPr>
              <w:t xml:space="preserve"> būtu uzskatāma</w:t>
            </w:r>
            <w:r w:rsidR="009C30C9" w:rsidRPr="005659E6">
              <w:rPr>
                <w:bCs/>
                <w:lang w:eastAsia="en-US"/>
              </w:rPr>
              <w:t xml:space="preserve"> par ieroču aprites noteikumu pārkāpšanu. Ņemot vērā minēto, nav nepieciešams paredzēt atsevišķu administratīvo atbildību</w:t>
            </w:r>
            <w:r w:rsidR="00CB177C" w:rsidRPr="005659E6">
              <w:rPr>
                <w:bCs/>
                <w:lang w:eastAsia="en-US"/>
              </w:rPr>
              <w:t>,</w:t>
            </w:r>
            <w:r w:rsidR="009C30C9" w:rsidRPr="005659E6">
              <w:rPr>
                <w:bCs/>
                <w:lang w:eastAsia="en-US"/>
              </w:rPr>
              <w:t xml:space="preserve"> izdalot no ie</w:t>
            </w:r>
            <w:r w:rsidR="009C0FFF" w:rsidRPr="005659E6">
              <w:rPr>
                <w:bCs/>
                <w:lang w:eastAsia="en-US"/>
              </w:rPr>
              <w:t>roču aprites not</w:t>
            </w:r>
            <w:r w:rsidR="00CB177C" w:rsidRPr="005659E6">
              <w:rPr>
                <w:bCs/>
                <w:lang w:eastAsia="en-US"/>
              </w:rPr>
              <w:t>e</w:t>
            </w:r>
            <w:r w:rsidR="009C0FFF" w:rsidRPr="005659E6">
              <w:rPr>
                <w:bCs/>
                <w:lang w:eastAsia="en-US"/>
              </w:rPr>
              <w:t>ikumu pārkāpumiem</w:t>
            </w:r>
            <w:r w:rsidR="00CB177C" w:rsidRPr="005659E6">
              <w:rPr>
                <w:bCs/>
                <w:lang w:eastAsia="en-US"/>
              </w:rPr>
              <w:t xml:space="preserve"> tikai prasību neizpildi, kura</w:t>
            </w:r>
            <w:r w:rsidR="009C30C9" w:rsidRPr="005659E6">
              <w:rPr>
                <w:bCs/>
                <w:lang w:eastAsia="en-US"/>
              </w:rPr>
              <w:t xml:space="preserve">s fiziskās vai juridiskās personas </w:t>
            </w:r>
            <w:r w:rsidR="009C0FFF" w:rsidRPr="005659E6">
              <w:rPr>
                <w:bCs/>
                <w:lang w:eastAsia="en-US"/>
              </w:rPr>
              <w:t xml:space="preserve">pieļāva </w:t>
            </w:r>
            <w:r w:rsidR="009C30C9" w:rsidRPr="005659E6">
              <w:rPr>
                <w:bCs/>
                <w:lang w:eastAsia="en-US"/>
              </w:rPr>
              <w:t>ieroču atļaujas darbības laikā.</w:t>
            </w:r>
          </w:p>
          <w:p w:rsidR="008B2A0B" w:rsidRPr="005659E6" w:rsidRDefault="00B85799" w:rsidP="008B2A0B">
            <w:pPr>
              <w:ind w:firstLine="281"/>
              <w:jc w:val="both"/>
              <w:rPr>
                <w:bCs/>
                <w:lang w:eastAsia="en-US"/>
              </w:rPr>
            </w:pPr>
            <w:r w:rsidRPr="005659E6">
              <w:rPr>
                <w:bCs/>
                <w:lang w:eastAsia="en-US"/>
              </w:rPr>
              <w:t>Kodeksa 181.</w:t>
            </w:r>
            <w:r w:rsidRPr="005659E6">
              <w:rPr>
                <w:bCs/>
                <w:vertAlign w:val="superscript"/>
                <w:lang w:eastAsia="en-US"/>
              </w:rPr>
              <w:t>1</w:t>
            </w:r>
            <w:r w:rsidRPr="005659E6">
              <w:rPr>
                <w:bCs/>
                <w:lang w:eastAsia="en-US"/>
              </w:rPr>
              <w:t>pants ir pārņemts Likumprojekta 99.pantā</w:t>
            </w:r>
            <w:r w:rsidR="00AC3D4E" w:rsidRPr="005659E6">
              <w:rPr>
                <w:bCs/>
                <w:lang w:eastAsia="en-US"/>
              </w:rPr>
              <w:t xml:space="preserve">. </w:t>
            </w:r>
            <w:r w:rsidRPr="005659E6">
              <w:rPr>
                <w:bCs/>
                <w:lang w:eastAsia="en-US"/>
              </w:rPr>
              <w:t xml:space="preserve">Administratīvo pārkāpumu tiesiskie sastāvi tika </w:t>
            </w:r>
            <w:r w:rsidR="00AC3D4E" w:rsidRPr="005659E6">
              <w:rPr>
                <w:bCs/>
                <w:lang w:eastAsia="en-US"/>
              </w:rPr>
              <w:t>saglabāti. Salīdzinot Kodeksa 181.</w:t>
            </w:r>
            <w:r w:rsidR="00AC3D4E" w:rsidRPr="005659E6">
              <w:rPr>
                <w:bCs/>
                <w:vertAlign w:val="superscript"/>
                <w:lang w:eastAsia="en-US"/>
              </w:rPr>
              <w:t>1</w:t>
            </w:r>
            <w:r w:rsidR="00135238" w:rsidRPr="005659E6">
              <w:rPr>
                <w:bCs/>
                <w:lang w:eastAsia="en-US"/>
              </w:rPr>
              <w:t xml:space="preserve">pantu </w:t>
            </w:r>
            <w:r w:rsidR="00AC3D4E" w:rsidRPr="005659E6">
              <w:rPr>
                <w:bCs/>
                <w:lang w:eastAsia="en-US"/>
              </w:rPr>
              <w:t xml:space="preserve">ar </w:t>
            </w:r>
            <w:r w:rsidR="00135238" w:rsidRPr="005659E6">
              <w:rPr>
                <w:bCs/>
                <w:lang w:eastAsia="en-US"/>
              </w:rPr>
              <w:t>99.pantu</w:t>
            </w:r>
            <w:r w:rsidR="00AC3D4E" w:rsidRPr="005659E6">
              <w:rPr>
                <w:bCs/>
                <w:lang w:eastAsia="en-US"/>
              </w:rPr>
              <w:t xml:space="preserve"> var konstatēt, ka 99.panta pirmā daļa ir </w:t>
            </w:r>
            <w:r w:rsidR="00135238" w:rsidRPr="005659E6">
              <w:rPr>
                <w:bCs/>
                <w:lang w:eastAsia="en-US"/>
              </w:rPr>
              <w:t xml:space="preserve">papildināta un ir </w:t>
            </w:r>
            <w:r w:rsidR="00AC3D4E" w:rsidRPr="005659E6">
              <w:rPr>
                <w:bCs/>
                <w:lang w:eastAsia="en-US"/>
              </w:rPr>
              <w:t>paredzēta administratīvā atbildība arī par šaujamieroča maināmās būtiskās sastāvdaļas iegādāšanos, pārvadāšanu alkohola ietekmē, ja izelpotā gaisa vai asins pārbaudē konstatētā alkohola koncentrācija asinīs pārsniedz 0,5 promiles, kā arī narkotisko, psihotropo, toksisko vai citu apreibinošo vielu ietekmē</w:t>
            </w:r>
            <w:r w:rsidR="00CB177C" w:rsidRPr="005659E6">
              <w:rPr>
                <w:bCs/>
                <w:lang w:eastAsia="en-US"/>
              </w:rPr>
              <w:t>. Vienlaikus arī 99.panta otrā daļa</w:t>
            </w:r>
            <w:r w:rsidR="00135238" w:rsidRPr="005659E6">
              <w:rPr>
                <w:bCs/>
                <w:lang w:eastAsia="en-US"/>
              </w:rPr>
              <w:t xml:space="preserve"> ir papildināta un ir paredzēta atbildība par atteikšanos no medicīniskās pārbaudes alkohola koncentrācijas noteikšanai, narkotisko vai citu apreibinošo vielu ietekmes pārbaudes, ne tikai ja persona tiek pārbaudīta saistībā ar ier</w:t>
            </w:r>
            <w:r w:rsidR="00CB177C" w:rsidRPr="005659E6">
              <w:rPr>
                <w:bCs/>
                <w:lang w:eastAsia="en-US"/>
              </w:rPr>
              <w:t>oču aprites kontroli, bet arī ja</w:t>
            </w:r>
            <w:r w:rsidR="00135238" w:rsidRPr="005659E6">
              <w:rPr>
                <w:bCs/>
                <w:lang w:eastAsia="en-US"/>
              </w:rPr>
              <w:t xml:space="preserve"> tiek veikta </w:t>
            </w:r>
            <w:r w:rsidR="00135238" w:rsidRPr="005659E6">
              <w:rPr>
                <w:rFonts w:eastAsia="SimSun"/>
                <w:kern w:val="1"/>
                <w:lang w:eastAsia="hi-IN" w:bidi="hi-IN"/>
              </w:rPr>
              <w:t xml:space="preserve"> </w:t>
            </w:r>
            <w:r w:rsidR="00135238" w:rsidRPr="005659E6">
              <w:rPr>
                <w:bCs/>
                <w:lang w:eastAsia="en-US"/>
              </w:rPr>
              <w:t>šaujamieroču maināmo būtisko sastā</w:t>
            </w:r>
            <w:r w:rsidR="00CB177C" w:rsidRPr="005659E6">
              <w:rPr>
                <w:bCs/>
                <w:lang w:eastAsia="en-US"/>
              </w:rPr>
              <w:t>vdaļu aprites noteikumu kontrole</w:t>
            </w:r>
            <w:r w:rsidR="00135238" w:rsidRPr="005659E6">
              <w:rPr>
                <w:bCs/>
                <w:lang w:eastAsia="en-US"/>
              </w:rPr>
              <w:t xml:space="preserve">. Likumprojektā 1.pants paredz papildināt Likuma 13.panta pirmās daļas 10.punktu ietverot likumā jaunu aizliegumu, kas nosaka, ka fiziskajām personām ir aizliegts  atteikties no medicīniskās pārbaudes alkohola koncentrācijas noteikšanai, narkotisko vai citu apreibinošo vielu ietekmes pārbaudes, ja persona tiek pārbaudīta saistībā </w:t>
            </w:r>
            <w:r w:rsidR="001F168B" w:rsidRPr="005659E6">
              <w:rPr>
                <w:bCs/>
                <w:lang w:eastAsia="en-US"/>
              </w:rPr>
              <w:t xml:space="preserve">šaujamieroču, gāzes ieroču un </w:t>
            </w:r>
            <w:proofErr w:type="spellStart"/>
            <w:r w:rsidR="001F168B" w:rsidRPr="005659E6">
              <w:rPr>
                <w:bCs/>
                <w:lang w:eastAsia="en-US"/>
              </w:rPr>
              <w:t>signālieroču</w:t>
            </w:r>
            <w:proofErr w:type="spellEnd"/>
            <w:r w:rsidR="001F168B" w:rsidRPr="005659E6">
              <w:rPr>
                <w:bCs/>
                <w:lang w:eastAsia="en-US"/>
              </w:rPr>
              <w:t xml:space="preserve">, pneimatisko ieroču, </w:t>
            </w:r>
            <w:proofErr w:type="spellStart"/>
            <w:r w:rsidR="001F168B" w:rsidRPr="005659E6">
              <w:rPr>
                <w:bCs/>
                <w:lang w:eastAsia="en-US"/>
              </w:rPr>
              <w:t>straikbola</w:t>
            </w:r>
            <w:proofErr w:type="spellEnd"/>
            <w:r w:rsidR="001F168B" w:rsidRPr="005659E6">
              <w:rPr>
                <w:bCs/>
                <w:lang w:eastAsia="en-US"/>
              </w:rPr>
              <w:t xml:space="preserve"> ieroču, peintbola ieroču, </w:t>
            </w:r>
            <w:proofErr w:type="spellStart"/>
            <w:r w:rsidR="001F168B" w:rsidRPr="005659E6">
              <w:rPr>
                <w:bCs/>
                <w:lang w:eastAsia="en-US"/>
              </w:rPr>
              <w:t>lāzertaga</w:t>
            </w:r>
            <w:proofErr w:type="spellEnd"/>
            <w:r w:rsidR="001F168B" w:rsidRPr="005659E6">
              <w:rPr>
                <w:bCs/>
                <w:lang w:eastAsia="en-US"/>
              </w:rPr>
              <w:t xml:space="preserve"> ierīču, dezaktivētu ieroču un šaujamieroču maināmo būtisko sastāvdaļu, aprites noteikumu kontroli.</w:t>
            </w:r>
          </w:p>
          <w:p w:rsidR="008B2A0B" w:rsidRPr="005659E6" w:rsidRDefault="008B2A0B" w:rsidP="008B2A0B">
            <w:pPr>
              <w:ind w:firstLine="281"/>
              <w:jc w:val="both"/>
              <w:rPr>
                <w:bCs/>
                <w:lang w:eastAsia="en-US"/>
              </w:rPr>
            </w:pPr>
            <w:r w:rsidRPr="005659E6">
              <w:rPr>
                <w:bCs/>
                <w:lang w:eastAsia="en-US"/>
              </w:rPr>
              <w:t>Statistikas dati par Kodeksa 181.</w:t>
            </w:r>
            <w:r w:rsidRPr="005659E6">
              <w:rPr>
                <w:bCs/>
                <w:vertAlign w:val="superscript"/>
                <w:lang w:eastAsia="en-US"/>
              </w:rPr>
              <w:t xml:space="preserve">1 </w:t>
            </w:r>
            <w:r w:rsidRPr="005659E6">
              <w:rPr>
                <w:bCs/>
                <w:lang w:eastAsia="en-US"/>
              </w:rPr>
              <w:t>pantā paredzēto pārkāpumu izdarīšanu:</w:t>
            </w:r>
          </w:p>
          <w:tbl>
            <w:tblPr>
              <w:tblStyle w:val="TableGrid"/>
              <w:tblW w:w="0" w:type="auto"/>
              <w:tblLayout w:type="fixed"/>
              <w:tblLook w:val="04A0" w:firstRow="1" w:lastRow="0" w:firstColumn="1" w:lastColumn="0" w:noHBand="0" w:noVBand="1"/>
            </w:tblPr>
            <w:tblGrid>
              <w:gridCol w:w="1257"/>
              <w:gridCol w:w="1287"/>
              <w:gridCol w:w="1122"/>
              <w:gridCol w:w="1855"/>
              <w:gridCol w:w="1559"/>
            </w:tblGrid>
            <w:tr w:rsidR="008B2A0B" w:rsidRPr="005659E6" w:rsidTr="00434FDA">
              <w:trPr>
                <w:trHeight w:val="1097"/>
              </w:trPr>
              <w:tc>
                <w:tcPr>
                  <w:tcW w:w="1257" w:type="dxa"/>
                </w:tcPr>
                <w:p w:rsidR="008B2A0B" w:rsidRPr="005659E6" w:rsidRDefault="008B2A0B" w:rsidP="00434FDA">
                  <w:pPr>
                    <w:ind w:firstLine="281"/>
                    <w:jc w:val="center"/>
                    <w:rPr>
                      <w:bCs/>
                      <w:lang w:eastAsia="en-US"/>
                    </w:rPr>
                  </w:pPr>
                  <w:r w:rsidRPr="005659E6">
                    <w:rPr>
                      <w:bCs/>
                      <w:lang w:eastAsia="en-US"/>
                    </w:rPr>
                    <w:lastRenderedPageBreak/>
                    <w:t>Kodeksa 181.</w:t>
                  </w:r>
                  <w:r w:rsidRPr="005659E6">
                    <w:rPr>
                      <w:bCs/>
                      <w:vertAlign w:val="superscript"/>
                      <w:lang w:eastAsia="en-US"/>
                    </w:rPr>
                    <w:t xml:space="preserve">1 </w:t>
                  </w:r>
                  <w:r w:rsidRPr="005659E6">
                    <w:rPr>
                      <w:bCs/>
                      <w:lang w:eastAsia="en-US"/>
                    </w:rPr>
                    <w:t>pants</w:t>
                  </w:r>
                </w:p>
              </w:tc>
              <w:tc>
                <w:tcPr>
                  <w:tcW w:w="1287" w:type="dxa"/>
                </w:tcPr>
                <w:p w:rsidR="008B2A0B" w:rsidRPr="005659E6" w:rsidRDefault="008B2A0B" w:rsidP="00DA286D">
                  <w:pPr>
                    <w:ind w:firstLine="281"/>
                    <w:jc w:val="center"/>
                    <w:rPr>
                      <w:bCs/>
                      <w:lang w:eastAsia="en-US"/>
                    </w:rPr>
                  </w:pPr>
                  <w:r w:rsidRPr="005659E6">
                    <w:rPr>
                      <w:bCs/>
                      <w:lang w:eastAsia="en-US"/>
                    </w:rPr>
                    <w:t>Sastādīto protokolu kopējais skaits</w:t>
                  </w:r>
                </w:p>
              </w:tc>
              <w:tc>
                <w:tcPr>
                  <w:tcW w:w="1122" w:type="dxa"/>
                </w:tcPr>
                <w:p w:rsidR="008B2A0B" w:rsidRPr="005659E6" w:rsidRDefault="008B2A0B" w:rsidP="00DA286D">
                  <w:pPr>
                    <w:ind w:firstLine="281"/>
                    <w:jc w:val="center"/>
                    <w:rPr>
                      <w:bCs/>
                      <w:lang w:eastAsia="en-US"/>
                    </w:rPr>
                  </w:pPr>
                  <w:r w:rsidRPr="005659E6">
                    <w:rPr>
                      <w:bCs/>
                      <w:lang w:eastAsia="en-US"/>
                    </w:rPr>
                    <w:t>t.sk. Valsts policija sastādīja protokolus (skaits)</w:t>
                  </w:r>
                </w:p>
              </w:tc>
              <w:tc>
                <w:tcPr>
                  <w:tcW w:w="1855" w:type="dxa"/>
                </w:tcPr>
                <w:p w:rsidR="008B2A0B" w:rsidRPr="005659E6" w:rsidRDefault="008B2A0B" w:rsidP="00DA286D">
                  <w:pPr>
                    <w:ind w:firstLine="281"/>
                    <w:jc w:val="center"/>
                    <w:rPr>
                      <w:bCs/>
                      <w:lang w:eastAsia="en-US"/>
                    </w:rPr>
                  </w:pPr>
                  <w:r w:rsidRPr="005659E6">
                    <w:rPr>
                      <w:bCs/>
                      <w:lang w:eastAsia="en-US"/>
                    </w:rPr>
                    <w:t>Pieņemts lēmums par administratīvā soda piemērošanu</w:t>
                  </w:r>
                </w:p>
              </w:tc>
              <w:tc>
                <w:tcPr>
                  <w:tcW w:w="1559" w:type="dxa"/>
                </w:tcPr>
                <w:p w:rsidR="008B2A0B" w:rsidRPr="005659E6" w:rsidRDefault="008B2A0B" w:rsidP="00434FDA">
                  <w:pPr>
                    <w:ind w:firstLine="281"/>
                    <w:jc w:val="center"/>
                    <w:rPr>
                      <w:bCs/>
                      <w:lang w:eastAsia="en-US"/>
                    </w:rPr>
                  </w:pPr>
                  <w:r w:rsidRPr="005659E6">
                    <w:rPr>
                      <w:bCs/>
                      <w:lang w:eastAsia="en-US"/>
                    </w:rPr>
                    <w:t>t.sk. administratīvais sods par Valsts policijas sastādītajiem protokoliem</w:t>
                  </w:r>
                </w:p>
              </w:tc>
            </w:tr>
            <w:tr w:rsidR="008B2A0B" w:rsidRPr="005659E6" w:rsidTr="00434FDA">
              <w:trPr>
                <w:trHeight w:val="234"/>
              </w:trPr>
              <w:tc>
                <w:tcPr>
                  <w:tcW w:w="1257" w:type="dxa"/>
                </w:tcPr>
                <w:p w:rsidR="008B2A0B" w:rsidRPr="005659E6" w:rsidRDefault="008B2A0B" w:rsidP="008B2A0B">
                  <w:pPr>
                    <w:ind w:firstLine="281"/>
                    <w:jc w:val="both"/>
                    <w:rPr>
                      <w:bCs/>
                      <w:lang w:eastAsia="en-US"/>
                    </w:rPr>
                  </w:pPr>
                  <w:r w:rsidRPr="005659E6">
                    <w:rPr>
                      <w:bCs/>
                      <w:lang w:eastAsia="en-US"/>
                    </w:rPr>
                    <w:t>2016</w:t>
                  </w:r>
                </w:p>
              </w:tc>
              <w:tc>
                <w:tcPr>
                  <w:tcW w:w="1287" w:type="dxa"/>
                  <w:vAlign w:val="center"/>
                </w:tcPr>
                <w:p w:rsidR="008B2A0B" w:rsidRPr="005659E6" w:rsidRDefault="008B2A0B" w:rsidP="008B2A0B">
                  <w:pPr>
                    <w:ind w:firstLine="281"/>
                    <w:jc w:val="both"/>
                    <w:rPr>
                      <w:bCs/>
                      <w:lang w:eastAsia="en-US"/>
                    </w:rPr>
                  </w:pPr>
                  <w:r w:rsidRPr="005659E6">
                    <w:rPr>
                      <w:bCs/>
                      <w:lang w:eastAsia="en-US"/>
                    </w:rPr>
                    <w:t>127</w:t>
                  </w:r>
                </w:p>
              </w:tc>
              <w:tc>
                <w:tcPr>
                  <w:tcW w:w="1122" w:type="dxa"/>
                  <w:vAlign w:val="center"/>
                </w:tcPr>
                <w:p w:rsidR="008B2A0B" w:rsidRPr="005659E6" w:rsidRDefault="008B2A0B" w:rsidP="008B2A0B">
                  <w:pPr>
                    <w:ind w:firstLine="281"/>
                    <w:jc w:val="both"/>
                    <w:rPr>
                      <w:bCs/>
                      <w:lang w:eastAsia="en-US"/>
                    </w:rPr>
                  </w:pPr>
                  <w:r w:rsidRPr="005659E6">
                    <w:rPr>
                      <w:bCs/>
                      <w:lang w:eastAsia="en-US"/>
                    </w:rPr>
                    <w:t>127</w:t>
                  </w:r>
                </w:p>
              </w:tc>
              <w:tc>
                <w:tcPr>
                  <w:tcW w:w="1855" w:type="dxa"/>
                  <w:vAlign w:val="center"/>
                </w:tcPr>
                <w:p w:rsidR="008B2A0B" w:rsidRPr="005659E6" w:rsidRDefault="008B2A0B" w:rsidP="008B2A0B">
                  <w:pPr>
                    <w:ind w:firstLine="281"/>
                    <w:jc w:val="both"/>
                    <w:rPr>
                      <w:bCs/>
                      <w:lang w:eastAsia="en-US"/>
                    </w:rPr>
                  </w:pPr>
                  <w:r w:rsidRPr="005659E6">
                    <w:rPr>
                      <w:bCs/>
                      <w:lang w:eastAsia="en-US"/>
                    </w:rPr>
                    <w:t>119</w:t>
                  </w:r>
                </w:p>
              </w:tc>
              <w:tc>
                <w:tcPr>
                  <w:tcW w:w="1559" w:type="dxa"/>
                  <w:vAlign w:val="center"/>
                </w:tcPr>
                <w:p w:rsidR="008B2A0B" w:rsidRPr="005659E6" w:rsidRDefault="008B2A0B" w:rsidP="008B2A0B">
                  <w:pPr>
                    <w:ind w:firstLine="281"/>
                    <w:jc w:val="both"/>
                    <w:rPr>
                      <w:bCs/>
                      <w:lang w:eastAsia="en-US"/>
                    </w:rPr>
                  </w:pPr>
                  <w:r w:rsidRPr="005659E6">
                    <w:rPr>
                      <w:bCs/>
                      <w:lang w:eastAsia="en-US"/>
                    </w:rPr>
                    <w:t>119</w:t>
                  </w:r>
                </w:p>
              </w:tc>
            </w:tr>
            <w:tr w:rsidR="008B2A0B" w:rsidRPr="005659E6" w:rsidTr="00434FDA">
              <w:trPr>
                <w:trHeight w:val="234"/>
              </w:trPr>
              <w:tc>
                <w:tcPr>
                  <w:tcW w:w="1257" w:type="dxa"/>
                </w:tcPr>
                <w:p w:rsidR="008B2A0B" w:rsidRPr="005659E6" w:rsidRDefault="008B2A0B" w:rsidP="008B2A0B">
                  <w:pPr>
                    <w:ind w:firstLine="281"/>
                    <w:jc w:val="both"/>
                    <w:rPr>
                      <w:bCs/>
                      <w:lang w:eastAsia="en-US"/>
                    </w:rPr>
                  </w:pPr>
                  <w:r w:rsidRPr="005659E6">
                    <w:rPr>
                      <w:bCs/>
                      <w:lang w:eastAsia="en-US"/>
                    </w:rPr>
                    <w:t>2017</w:t>
                  </w:r>
                </w:p>
              </w:tc>
              <w:tc>
                <w:tcPr>
                  <w:tcW w:w="1287" w:type="dxa"/>
                  <w:vAlign w:val="center"/>
                </w:tcPr>
                <w:p w:rsidR="008B2A0B" w:rsidRPr="005659E6" w:rsidRDefault="008B2A0B" w:rsidP="008B2A0B">
                  <w:pPr>
                    <w:ind w:firstLine="281"/>
                    <w:jc w:val="both"/>
                    <w:rPr>
                      <w:bCs/>
                      <w:lang w:eastAsia="en-US"/>
                    </w:rPr>
                  </w:pPr>
                  <w:r w:rsidRPr="005659E6">
                    <w:rPr>
                      <w:bCs/>
                      <w:lang w:eastAsia="en-US"/>
                    </w:rPr>
                    <w:t>126</w:t>
                  </w:r>
                </w:p>
              </w:tc>
              <w:tc>
                <w:tcPr>
                  <w:tcW w:w="1122" w:type="dxa"/>
                  <w:vAlign w:val="center"/>
                </w:tcPr>
                <w:p w:rsidR="008B2A0B" w:rsidRPr="005659E6" w:rsidRDefault="008B2A0B" w:rsidP="008B2A0B">
                  <w:pPr>
                    <w:ind w:firstLine="281"/>
                    <w:jc w:val="both"/>
                    <w:rPr>
                      <w:bCs/>
                      <w:lang w:eastAsia="en-US"/>
                    </w:rPr>
                  </w:pPr>
                  <w:r w:rsidRPr="005659E6">
                    <w:rPr>
                      <w:bCs/>
                      <w:lang w:eastAsia="en-US"/>
                    </w:rPr>
                    <w:t>126</w:t>
                  </w:r>
                </w:p>
              </w:tc>
              <w:tc>
                <w:tcPr>
                  <w:tcW w:w="1855" w:type="dxa"/>
                  <w:vAlign w:val="center"/>
                </w:tcPr>
                <w:p w:rsidR="008B2A0B" w:rsidRPr="005659E6" w:rsidRDefault="008B2A0B" w:rsidP="008B2A0B">
                  <w:pPr>
                    <w:ind w:firstLine="281"/>
                    <w:jc w:val="both"/>
                    <w:rPr>
                      <w:bCs/>
                      <w:lang w:eastAsia="en-US"/>
                    </w:rPr>
                  </w:pPr>
                  <w:r w:rsidRPr="005659E6">
                    <w:rPr>
                      <w:bCs/>
                      <w:lang w:eastAsia="en-US"/>
                    </w:rPr>
                    <w:t>116</w:t>
                  </w:r>
                </w:p>
              </w:tc>
              <w:tc>
                <w:tcPr>
                  <w:tcW w:w="1559" w:type="dxa"/>
                  <w:vAlign w:val="center"/>
                </w:tcPr>
                <w:p w:rsidR="008B2A0B" w:rsidRPr="005659E6" w:rsidRDefault="008B2A0B" w:rsidP="008B2A0B">
                  <w:pPr>
                    <w:ind w:firstLine="281"/>
                    <w:jc w:val="both"/>
                    <w:rPr>
                      <w:bCs/>
                      <w:lang w:eastAsia="en-US"/>
                    </w:rPr>
                  </w:pPr>
                  <w:r w:rsidRPr="005659E6">
                    <w:rPr>
                      <w:bCs/>
                      <w:lang w:eastAsia="en-US"/>
                    </w:rPr>
                    <w:t>116</w:t>
                  </w:r>
                </w:p>
              </w:tc>
            </w:tr>
            <w:tr w:rsidR="008B2A0B" w:rsidRPr="005659E6" w:rsidTr="00434FDA">
              <w:trPr>
                <w:trHeight w:val="317"/>
              </w:trPr>
              <w:tc>
                <w:tcPr>
                  <w:tcW w:w="1257" w:type="dxa"/>
                </w:tcPr>
                <w:p w:rsidR="008B2A0B" w:rsidRPr="005659E6" w:rsidRDefault="008B2A0B" w:rsidP="008B2A0B">
                  <w:pPr>
                    <w:ind w:firstLine="281"/>
                    <w:jc w:val="both"/>
                    <w:rPr>
                      <w:bCs/>
                      <w:lang w:eastAsia="en-US"/>
                    </w:rPr>
                  </w:pPr>
                  <w:r w:rsidRPr="005659E6">
                    <w:rPr>
                      <w:bCs/>
                      <w:lang w:eastAsia="en-US"/>
                    </w:rPr>
                    <w:t xml:space="preserve">2018 </w:t>
                  </w:r>
                </w:p>
              </w:tc>
              <w:tc>
                <w:tcPr>
                  <w:tcW w:w="1287" w:type="dxa"/>
                  <w:vAlign w:val="center"/>
                </w:tcPr>
                <w:p w:rsidR="008B2A0B" w:rsidRPr="005659E6" w:rsidRDefault="008B2A0B" w:rsidP="008B2A0B">
                  <w:pPr>
                    <w:ind w:firstLine="281"/>
                    <w:jc w:val="both"/>
                    <w:rPr>
                      <w:bCs/>
                      <w:lang w:eastAsia="en-US"/>
                    </w:rPr>
                  </w:pPr>
                  <w:r w:rsidRPr="005659E6">
                    <w:rPr>
                      <w:bCs/>
                      <w:lang w:eastAsia="en-US"/>
                    </w:rPr>
                    <w:t>118</w:t>
                  </w:r>
                </w:p>
              </w:tc>
              <w:tc>
                <w:tcPr>
                  <w:tcW w:w="1122" w:type="dxa"/>
                  <w:vAlign w:val="center"/>
                </w:tcPr>
                <w:p w:rsidR="008B2A0B" w:rsidRPr="005659E6" w:rsidRDefault="008B2A0B" w:rsidP="008B2A0B">
                  <w:pPr>
                    <w:ind w:firstLine="281"/>
                    <w:jc w:val="both"/>
                    <w:rPr>
                      <w:bCs/>
                      <w:lang w:eastAsia="en-US"/>
                    </w:rPr>
                  </w:pPr>
                  <w:r w:rsidRPr="005659E6">
                    <w:rPr>
                      <w:bCs/>
                      <w:lang w:eastAsia="en-US"/>
                    </w:rPr>
                    <w:t>118</w:t>
                  </w:r>
                </w:p>
              </w:tc>
              <w:tc>
                <w:tcPr>
                  <w:tcW w:w="1855" w:type="dxa"/>
                  <w:vAlign w:val="center"/>
                </w:tcPr>
                <w:p w:rsidR="008B2A0B" w:rsidRPr="005659E6" w:rsidRDefault="008B2A0B" w:rsidP="008B2A0B">
                  <w:pPr>
                    <w:ind w:firstLine="281"/>
                    <w:jc w:val="both"/>
                    <w:rPr>
                      <w:bCs/>
                      <w:lang w:eastAsia="en-US"/>
                    </w:rPr>
                  </w:pPr>
                  <w:r w:rsidRPr="005659E6">
                    <w:rPr>
                      <w:bCs/>
                      <w:lang w:eastAsia="en-US"/>
                    </w:rPr>
                    <w:t>112</w:t>
                  </w:r>
                </w:p>
              </w:tc>
              <w:tc>
                <w:tcPr>
                  <w:tcW w:w="1559" w:type="dxa"/>
                  <w:vAlign w:val="center"/>
                </w:tcPr>
                <w:p w:rsidR="008B2A0B" w:rsidRPr="005659E6" w:rsidRDefault="008B2A0B" w:rsidP="008B2A0B">
                  <w:pPr>
                    <w:ind w:firstLine="281"/>
                    <w:jc w:val="both"/>
                    <w:rPr>
                      <w:bCs/>
                      <w:lang w:eastAsia="en-US"/>
                    </w:rPr>
                  </w:pPr>
                  <w:r w:rsidRPr="005659E6">
                    <w:rPr>
                      <w:bCs/>
                      <w:lang w:eastAsia="en-US"/>
                    </w:rPr>
                    <w:t>112</w:t>
                  </w:r>
                </w:p>
              </w:tc>
            </w:tr>
          </w:tbl>
          <w:p w:rsidR="00AC3658" w:rsidRDefault="00AC3658" w:rsidP="009062E6">
            <w:pPr>
              <w:ind w:firstLine="281"/>
              <w:jc w:val="both"/>
              <w:rPr>
                <w:bCs/>
                <w:lang w:eastAsia="en-US"/>
              </w:rPr>
            </w:pPr>
          </w:p>
          <w:p w:rsidR="00DA286D" w:rsidRPr="005659E6" w:rsidRDefault="00DA286D" w:rsidP="009062E6">
            <w:pPr>
              <w:ind w:firstLine="281"/>
              <w:jc w:val="both"/>
              <w:rPr>
                <w:bCs/>
                <w:lang w:eastAsia="en-US"/>
              </w:rPr>
            </w:pPr>
            <w:r w:rsidRPr="005659E6">
              <w:rPr>
                <w:bCs/>
                <w:lang w:eastAsia="en-US"/>
              </w:rPr>
              <w:t>Lai noteiktu administratīvo atbildību par likuma prasības neievērošanu Likumprojekts paredz jaunu administratīvo atbildību par</w:t>
            </w:r>
            <w:r w:rsidRPr="005659E6">
              <w:rPr>
                <w:rFonts w:eastAsia="SimSun"/>
                <w:kern w:val="1"/>
                <w:lang w:eastAsia="hi-IN" w:bidi="hi-IN"/>
              </w:rPr>
              <w:t xml:space="preserve"> </w:t>
            </w:r>
            <w:r w:rsidRPr="005659E6">
              <w:rPr>
                <w:bCs/>
                <w:lang w:eastAsia="en-US"/>
              </w:rPr>
              <w:t>šaušanas instruktora vai trenera darbības veikšanu bez šaušanas instruktora vai trenera sertifikāta.</w:t>
            </w:r>
            <w:r w:rsidR="00B90F1F" w:rsidRPr="005659E6">
              <w:rPr>
                <w:bCs/>
                <w:lang w:eastAsia="en-US"/>
              </w:rPr>
              <w:t xml:space="preserve"> Likuma 72.pants paredz šaušanas instruktoru un treneru sertificēšanu. </w:t>
            </w:r>
            <w:r w:rsidRPr="005659E6">
              <w:rPr>
                <w:bCs/>
                <w:lang w:eastAsia="en-US"/>
              </w:rPr>
              <w:t xml:space="preserve"> </w:t>
            </w:r>
            <w:r w:rsidR="00FF1015" w:rsidRPr="005659E6">
              <w:rPr>
                <w:bCs/>
                <w:lang w:eastAsia="en-US"/>
              </w:rPr>
              <w:t>Saskaņā ar Likuma 71.panta pirmo daļu par drošības noteikumu ievērošanu konkrēta šāvēja vai šāvēju grupas treniņos ir atbildīgs treneris vai šaušanas instruktors, kas vada treniņu. Papildus saskaņ</w:t>
            </w:r>
            <w:r w:rsidR="00611BCB" w:rsidRPr="005659E6">
              <w:rPr>
                <w:bCs/>
                <w:lang w:eastAsia="en-US"/>
              </w:rPr>
              <w:t>ā</w:t>
            </w:r>
            <w:r w:rsidR="00FF1015" w:rsidRPr="005659E6">
              <w:rPr>
                <w:bCs/>
                <w:lang w:eastAsia="en-US"/>
              </w:rPr>
              <w:t xml:space="preserve"> ar Likuma 71.panta piekto daļu</w:t>
            </w:r>
            <w:r w:rsidR="00FF1015" w:rsidRPr="005659E6">
              <w:rPr>
                <w:color w:val="414142"/>
                <w:shd w:val="clear" w:color="auto" w:fill="FFFFFF"/>
              </w:rPr>
              <w:t xml:space="preserve"> </w:t>
            </w:r>
            <w:proofErr w:type="spellStart"/>
            <w:r w:rsidR="00FF1015" w:rsidRPr="005659E6">
              <w:rPr>
                <w:bCs/>
                <w:lang w:eastAsia="en-US"/>
              </w:rPr>
              <w:t>treniņšaušana</w:t>
            </w:r>
            <w:proofErr w:type="spellEnd"/>
            <w:r w:rsidR="00FF1015" w:rsidRPr="005659E6">
              <w:rPr>
                <w:bCs/>
                <w:lang w:eastAsia="en-US"/>
              </w:rPr>
              <w:t xml:space="preserve"> otrās kategorijas šautuvēs notiek tikai sertificēta šaušanas instruktora vai trenera uzraudzībā. Vienlaikus 71.panta septītā daļa nosaka, ka</w:t>
            </w:r>
            <w:r w:rsidR="00FF1015" w:rsidRPr="005659E6">
              <w:rPr>
                <w:color w:val="414142"/>
                <w:shd w:val="clear" w:color="auto" w:fill="FFFFFF"/>
              </w:rPr>
              <w:t xml:space="preserve"> </w:t>
            </w:r>
            <w:r w:rsidR="00FF1015" w:rsidRPr="005659E6">
              <w:rPr>
                <w:bCs/>
                <w:lang w:eastAsia="en-US"/>
              </w:rPr>
              <w:t xml:space="preserve">personas, kurām nav attiecīgo šaujamieroču glabāšanas atļaujas vai nēsāšanas atļaujas, </w:t>
            </w:r>
            <w:proofErr w:type="spellStart"/>
            <w:r w:rsidR="00FF1015" w:rsidRPr="005659E6">
              <w:rPr>
                <w:bCs/>
                <w:lang w:eastAsia="en-US"/>
              </w:rPr>
              <w:t>treniņšaušanu</w:t>
            </w:r>
            <w:proofErr w:type="spellEnd"/>
            <w:r w:rsidR="00FF1015" w:rsidRPr="005659E6">
              <w:rPr>
                <w:bCs/>
                <w:lang w:eastAsia="en-US"/>
              </w:rPr>
              <w:t xml:space="preserve"> vai šaušanu sporta sacensībās veic tikai sertificēta šaušanas instruktora vai trenera vadībā  Ņemot vērā minēto, nebūtu pieļaujama situācija, ka persona</w:t>
            </w:r>
            <w:r w:rsidR="000F5F41" w:rsidRPr="005659E6">
              <w:rPr>
                <w:bCs/>
                <w:lang w:eastAsia="en-US"/>
              </w:rPr>
              <w:t xml:space="preserve"> bez šaušanas instruktora sertifikāta</w:t>
            </w:r>
            <w:r w:rsidR="00FF1015" w:rsidRPr="005659E6">
              <w:rPr>
                <w:bCs/>
                <w:lang w:eastAsia="en-US"/>
              </w:rPr>
              <w:t xml:space="preserve"> </w:t>
            </w:r>
            <w:r w:rsidR="00B90F1F" w:rsidRPr="005659E6">
              <w:rPr>
                <w:bCs/>
                <w:lang w:eastAsia="en-US"/>
              </w:rPr>
              <w:t xml:space="preserve">vai trenera sertifikāta </w:t>
            </w:r>
            <w:r w:rsidR="00FF1015" w:rsidRPr="005659E6">
              <w:rPr>
                <w:bCs/>
                <w:lang w:eastAsia="en-US"/>
              </w:rPr>
              <w:t>šautuvē</w:t>
            </w:r>
            <w:r w:rsidR="009062E6" w:rsidRPr="005659E6">
              <w:rPr>
                <w:bCs/>
                <w:lang w:eastAsia="en-US"/>
              </w:rPr>
              <w:t xml:space="preserve"> uzņemas vadīt šaušanas nodarbības, apmācīt personas šaut, kā arī uzraudzīt drošības noteikumus konkrēta šāvēja vai šāvēju grupas treniņos, jo minēto personu profesionāla nekompetence var apdraudēt apmācamo personas dzīvību un veselību, kā arī citu šautuvē esošo cilvēku dzīvību un veselību. </w:t>
            </w:r>
            <w:r w:rsidRPr="005659E6">
              <w:rPr>
                <w:bCs/>
                <w:lang w:eastAsia="en-US"/>
              </w:rPr>
              <w:t>Sankcija paredz adekvātu sodu pārkāpuma būtībai, lai atturēt</w:t>
            </w:r>
            <w:r w:rsidR="00CB177C" w:rsidRPr="005659E6">
              <w:rPr>
                <w:bCs/>
                <w:lang w:eastAsia="en-US"/>
              </w:rPr>
              <w:t>u</w:t>
            </w:r>
            <w:r w:rsidRPr="005659E6">
              <w:rPr>
                <w:bCs/>
                <w:lang w:eastAsia="en-US"/>
              </w:rPr>
              <w:t xml:space="preserve"> fiziskās personas sniegt šaušanas instruktora vai trenera pakalpojumus bez Likuma noteiktā kārtībā iegūta sertifikāta. </w:t>
            </w:r>
          </w:p>
          <w:p w:rsidR="00A425E9" w:rsidRPr="005659E6" w:rsidRDefault="00DA286D" w:rsidP="00DA286D">
            <w:pPr>
              <w:ind w:firstLine="281"/>
              <w:jc w:val="both"/>
              <w:rPr>
                <w:bCs/>
                <w:lang w:eastAsia="en-US"/>
              </w:rPr>
            </w:pPr>
            <w:r w:rsidRPr="005659E6">
              <w:rPr>
                <w:bCs/>
                <w:lang w:eastAsia="en-US"/>
              </w:rPr>
              <w:t xml:space="preserve">Kodeksa </w:t>
            </w:r>
            <w:r w:rsidR="00434FDA" w:rsidRPr="005659E6">
              <w:rPr>
                <w:bCs/>
                <w:lang w:eastAsia="en-US"/>
              </w:rPr>
              <w:t>183.pants pārņemts Likumprojektā 101.pantā.</w:t>
            </w:r>
            <w:r w:rsidR="00CB177C" w:rsidRPr="005659E6">
              <w:rPr>
                <w:bCs/>
                <w:lang w:eastAsia="en-US"/>
              </w:rPr>
              <w:t xml:space="preserve"> Administratīva</w:t>
            </w:r>
            <w:r w:rsidR="00434FDA" w:rsidRPr="005659E6">
              <w:rPr>
                <w:bCs/>
                <w:lang w:eastAsia="en-US"/>
              </w:rPr>
              <w:t xml:space="preserve"> pārkāpuma tiesiskais sastāvs tika saglabāts.</w:t>
            </w:r>
            <w:r w:rsidR="00872561" w:rsidRPr="005659E6">
              <w:rPr>
                <w:bCs/>
                <w:lang w:eastAsia="en-US"/>
              </w:rPr>
              <w:t xml:space="preserve"> Likumprojektā 101.pants paredz administratīvo atbildību par</w:t>
            </w:r>
            <w:r w:rsidR="00B624C1" w:rsidRPr="005659E6">
              <w:rPr>
                <w:rFonts w:eastAsia="SimSun"/>
                <w:kern w:val="1"/>
                <w:lang w:eastAsia="hi-IN" w:bidi="hi-IN"/>
              </w:rPr>
              <w:t xml:space="preserve"> </w:t>
            </w:r>
            <w:r w:rsidR="00B624C1" w:rsidRPr="005659E6">
              <w:rPr>
                <w:bCs/>
                <w:lang w:eastAsia="en-US"/>
              </w:rPr>
              <w:t>ieroča, munīcijas vai šo priekšmetu sastāvdaļu (ieskaitot šaujampulveri), vai speciālā līdzekļa komerciālās aprites kārtības pārkāpšanu</w:t>
            </w:r>
            <w:r w:rsidR="00872561" w:rsidRPr="005659E6">
              <w:rPr>
                <w:bCs/>
                <w:lang w:eastAsia="en-US"/>
              </w:rPr>
              <w:t xml:space="preserve"> Pie administratīvas atbildības par minēto pārkāpumu izdarīšanu būs saucams speciāls subjekts ,proti, Valsts policijas licencēts ieroču komersants vai ieroču brokeris.</w:t>
            </w:r>
            <w:r w:rsidR="007711EF" w:rsidRPr="005659E6">
              <w:rPr>
                <w:bCs/>
                <w:lang w:eastAsia="en-US"/>
              </w:rPr>
              <w:t xml:space="preserve"> Šobr</w:t>
            </w:r>
            <w:r w:rsidR="00854C4D" w:rsidRPr="005659E6">
              <w:rPr>
                <w:bCs/>
                <w:lang w:eastAsia="en-US"/>
              </w:rPr>
              <w:t>īd Likuma 75.pants paredz iespēju Likumā noteiktajos gadījumos anulēt vai aptur</w:t>
            </w:r>
            <w:r w:rsidR="00AC3658">
              <w:rPr>
                <w:bCs/>
                <w:lang w:eastAsia="en-US"/>
              </w:rPr>
              <w:t xml:space="preserve">ēt speciālo atļauju </w:t>
            </w:r>
            <w:r w:rsidR="00854C4D" w:rsidRPr="005659E6">
              <w:rPr>
                <w:bCs/>
                <w:lang w:eastAsia="en-US"/>
              </w:rPr>
              <w:t>(licenci)</w:t>
            </w:r>
            <w:r w:rsidR="00AC3658">
              <w:rPr>
                <w:bCs/>
                <w:lang w:eastAsia="en-US"/>
              </w:rPr>
              <w:t xml:space="preserve"> </w:t>
            </w:r>
            <w:r w:rsidR="00854C4D" w:rsidRPr="005659E6">
              <w:rPr>
                <w:bCs/>
                <w:lang w:eastAsia="en-US"/>
              </w:rPr>
              <w:t>komercdarbībai ar ieročiem, munīciju vai šo priekšmetu sastāvdaļ</w:t>
            </w:r>
            <w:r w:rsidR="00D4158C" w:rsidRPr="005659E6">
              <w:rPr>
                <w:bCs/>
                <w:lang w:eastAsia="en-US"/>
              </w:rPr>
              <w:t>ām, bet speciālas atļaujas (licences) apturēšana ir jābūt samērīgai</w:t>
            </w:r>
            <w:r w:rsidR="00854C4D" w:rsidRPr="005659E6">
              <w:rPr>
                <w:bCs/>
                <w:lang w:eastAsia="en-US"/>
              </w:rPr>
              <w:t xml:space="preserve"> </w:t>
            </w:r>
            <w:r w:rsidR="00D4158C" w:rsidRPr="005659E6">
              <w:rPr>
                <w:bCs/>
                <w:lang w:eastAsia="en-US"/>
              </w:rPr>
              <w:t xml:space="preserve">ar izdarīta pārkāpumā raksturu. Valsts policijas veicot komercdarbības kontroli ieroču aprites jomā var konstatēt pārkāpumus par kuriem nebūtu samērīgi ieroču komersantam vai ieroču </w:t>
            </w:r>
            <w:proofErr w:type="spellStart"/>
            <w:r w:rsidR="00D4158C" w:rsidRPr="005659E6">
              <w:rPr>
                <w:bCs/>
                <w:lang w:eastAsia="en-US"/>
              </w:rPr>
              <w:t>brokeram</w:t>
            </w:r>
            <w:proofErr w:type="spellEnd"/>
            <w:r w:rsidR="00D4158C" w:rsidRPr="005659E6">
              <w:rPr>
                <w:bCs/>
                <w:lang w:eastAsia="en-US"/>
              </w:rPr>
              <w:t xml:space="preserve"> apturēt vai anulēt speciālo atļauju (licenci). Piemēram veicot ieroču komersanta</w:t>
            </w:r>
            <w:r w:rsidR="00617414" w:rsidRPr="005659E6">
              <w:rPr>
                <w:bCs/>
                <w:lang w:eastAsia="en-US"/>
              </w:rPr>
              <w:t xml:space="preserve"> veikala</w:t>
            </w:r>
            <w:r w:rsidR="00D4158C" w:rsidRPr="005659E6">
              <w:rPr>
                <w:bCs/>
                <w:lang w:eastAsia="en-US"/>
              </w:rPr>
              <w:t xml:space="preserve"> </w:t>
            </w:r>
            <w:r w:rsidR="00A425E9" w:rsidRPr="005659E6">
              <w:rPr>
                <w:bCs/>
                <w:lang w:eastAsia="en-US"/>
              </w:rPr>
              <w:t>tirdzniecības zāles pārbaudi tika konstatēts, ka tirdzniecības stendā ir izvietoti divi vienādi šaujamieroču munīcijas paraugi.</w:t>
            </w:r>
            <w:r w:rsidR="007B466F" w:rsidRPr="005659E6">
              <w:rPr>
                <w:bCs/>
                <w:lang w:eastAsia="en-US"/>
              </w:rPr>
              <w:t xml:space="preserve"> Savukārt pats tirdzniecības stends atbilst normatīvu aktu prasībām ieroču aprites jomā un</w:t>
            </w:r>
            <w:r w:rsidR="00617414" w:rsidRPr="005659E6">
              <w:rPr>
                <w:bCs/>
                <w:lang w:eastAsia="en-US"/>
              </w:rPr>
              <w:t xml:space="preserve"> nodrošina drošu munīcijas paraugu uzglabāšanu publiskā </w:t>
            </w:r>
            <w:r w:rsidR="00617414" w:rsidRPr="005659E6">
              <w:rPr>
                <w:bCs/>
                <w:lang w:eastAsia="en-US"/>
              </w:rPr>
              <w:lastRenderedPageBreak/>
              <w:t xml:space="preserve">tirdzniecības zālē. </w:t>
            </w:r>
            <w:r w:rsidR="00A425E9" w:rsidRPr="005659E6">
              <w:rPr>
                <w:bCs/>
                <w:lang w:eastAsia="en-US"/>
              </w:rPr>
              <w:t xml:space="preserve"> </w:t>
            </w:r>
            <w:r w:rsidR="00617414" w:rsidRPr="005659E6">
              <w:rPr>
                <w:bCs/>
                <w:lang w:eastAsia="en-US"/>
              </w:rPr>
              <w:t>Minēt</w:t>
            </w:r>
            <w:r w:rsidR="00611BCB" w:rsidRPr="005659E6">
              <w:rPr>
                <w:bCs/>
                <w:lang w:eastAsia="en-US"/>
              </w:rPr>
              <w:t>ai</w:t>
            </w:r>
            <w:r w:rsidR="00617414" w:rsidRPr="005659E6">
              <w:rPr>
                <w:bCs/>
                <w:lang w:eastAsia="en-US"/>
              </w:rPr>
              <w:t>s pārkāpums ir novēršams dažu minūšu laikā izņemot no tirdzniecības stenda lieku munīcijas paraugu un ievietojot to veikala glabātuvē. Ņemot vērā minēto, min</w:t>
            </w:r>
            <w:r w:rsidR="00611BCB" w:rsidRPr="005659E6">
              <w:rPr>
                <w:bCs/>
                <w:lang w:eastAsia="en-US"/>
              </w:rPr>
              <w:t>ētā</w:t>
            </w:r>
            <w:r w:rsidR="00617414" w:rsidRPr="005659E6">
              <w:rPr>
                <w:bCs/>
                <w:lang w:eastAsia="en-US"/>
              </w:rPr>
              <w:t xml:space="preserve"> gadījum</w:t>
            </w:r>
            <w:r w:rsidR="00611BCB" w:rsidRPr="005659E6">
              <w:rPr>
                <w:bCs/>
                <w:lang w:eastAsia="en-US"/>
              </w:rPr>
              <w:t>ā</w:t>
            </w:r>
            <w:r w:rsidR="00617414" w:rsidRPr="005659E6">
              <w:rPr>
                <w:bCs/>
                <w:lang w:eastAsia="en-US"/>
              </w:rPr>
              <w:t xml:space="preserve"> ir konstatēts pārkāpums, bet šajā gadījumā nebūtu samērīgi izdot administratīvo aktu, lai apturētu ieroča komersanta darbību un pēc pārkāpuma novēršanas izdot vēl vienu administratīvo aktu par komercdarbības atjaunošanu. Samērīgi būtu sodīt ieroču komersantu ar naudas sodu par pieļauto pārkāpumu.   </w:t>
            </w:r>
          </w:p>
          <w:p w:rsidR="00617414" w:rsidRPr="005659E6" w:rsidRDefault="00617414" w:rsidP="00617414">
            <w:pPr>
              <w:ind w:firstLine="281"/>
              <w:jc w:val="both"/>
              <w:rPr>
                <w:bCs/>
                <w:lang w:eastAsia="en-US"/>
              </w:rPr>
            </w:pPr>
            <w:r w:rsidRPr="005659E6">
              <w:rPr>
                <w:bCs/>
                <w:lang w:eastAsia="en-US"/>
              </w:rPr>
              <w:t>Kodeksa 181.</w:t>
            </w:r>
            <w:r w:rsidR="00AC3658">
              <w:rPr>
                <w:bCs/>
                <w:vertAlign w:val="superscript"/>
                <w:lang w:eastAsia="en-US"/>
              </w:rPr>
              <w:t>3</w:t>
            </w:r>
            <w:r w:rsidR="00AC3658">
              <w:rPr>
                <w:bCs/>
                <w:lang w:eastAsia="en-US"/>
              </w:rPr>
              <w:t>pantā paredzētais</w:t>
            </w:r>
            <w:r w:rsidRPr="005659E6">
              <w:rPr>
                <w:bCs/>
                <w:lang w:eastAsia="en-US"/>
              </w:rPr>
              <w:t xml:space="preserve"> administratīvais pārkāpums ir pārņemts ar Likumprojekta 101.pantu. Prasību neizpilde, kuras jāpilda ieroču komersantiem vai ieroču brokeriem izsniegtas speciālās atļaujas (licences) darbības laikā būtu uzskatāma par komerciālās kārtības noteikumu pārkāpšanu. Ņemot vērā minēto, nav nepieciešams paredzēt atsevišķu administratīvo atbildību, izdalot no komerciālās kārtības noteikumu pārkāpumiem tikai prasību neizpildi, kurus ieroču komersanti vai ieroču brokeri pieļāva speciālās atļaujas (licences) darbības laikā. </w:t>
            </w:r>
          </w:p>
          <w:p w:rsidR="00C30852" w:rsidRPr="005659E6" w:rsidRDefault="00617414" w:rsidP="00747C5F">
            <w:pPr>
              <w:ind w:firstLine="281"/>
              <w:jc w:val="both"/>
              <w:rPr>
                <w:bCs/>
                <w:lang w:eastAsia="en-US"/>
              </w:rPr>
            </w:pPr>
            <w:r w:rsidRPr="005659E6">
              <w:rPr>
                <w:bCs/>
                <w:lang w:eastAsia="en-US"/>
              </w:rPr>
              <w:t>Likumprojekta 10</w:t>
            </w:r>
            <w:r w:rsidR="00747C5F" w:rsidRPr="005659E6">
              <w:rPr>
                <w:bCs/>
                <w:lang w:eastAsia="en-US"/>
              </w:rPr>
              <w:t>3</w:t>
            </w:r>
            <w:r w:rsidRPr="005659E6">
              <w:rPr>
                <w:bCs/>
                <w:lang w:eastAsia="en-US"/>
              </w:rPr>
              <w:t>.pants noteic kompetenci sodu piemērošanā, kas paredz, ka administratīvo pārkāpumu procesus par Likumprojekta 98., 99., 100., 101. un 102. pantā paredzētajiem administratīvajiem pārkāpumiem veic Valsts policija.</w:t>
            </w:r>
          </w:p>
        </w:tc>
      </w:tr>
      <w:tr w:rsidR="007F26BC" w:rsidRPr="005659E6" w:rsidTr="00C60A70">
        <w:tc>
          <w:tcPr>
            <w:tcW w:w="544" w:type="pct"/>
            <w:hideMark/>
          </w:tcPr>
          <w:p w:rsidR="007F26BC" w:rsidRPr="005659E6" w:rsidRDefault="007F26BC" w:rsidP="001A46FA">
            <w:pPr>
              <w:jc w:val="center"/>
            </w:pPr>
            <w:r w:rsidRPr="005659E6">
              <w:lastRenderedPageBreak/>
              <w:t>3.</w:t>
            </w:r>
          </w:p>
        </w:tc>
        <w:tc>
          <w:tcPr>
            <w:tcW w:w="1026" w:type="pct"/>
            <w:gridSpan w:val="2"/>
            <w:hideMark/>
          </w:tcPr>
          <w:p w:rsidR="007F26BC" w:rsidRPr="005659E6" w:rsidRDefault="007F26BC" w:rsidP="001A46FA">
            <w:r w:rsidRPr="005659E6">
              <w:t>Projekta izstrādē iesaistītās institūcijas un publiskas personas kapitālsabiedrības</w:t>
            </w:r>
          </w:p>
        </w:tc>
        <w:tc>
          <w:tcPr>
            <w:tcW w:w="3430" w:type="pct"/>
            <w:gridSpan w:val="2"/>
            <w:hideMark/>
          </w:tcPr>
          <w:p w:rsidR="00882A12" w:rsidRPr="005659E6" w:rsidRDefault="00882A12" w:rsidP="00E231B2">
            <w:pPr>
              <w:jc w:val="both"/>
            </w:pPr>
            <w:r w:rsidRPr="005659E6">
              <w:t xml:space="preserve">Iekšlietu ministrija, </w:t>
            </w:r>
            <w:r w:rsidR="00E231B2" w:rsidRPr="005659E6">
              <w:t>Valsts policija.</w:t>
            </w:r>
          </w:p>
        </w:tc>
      </w:tr>
      <w:tr w:rsidR="007F26BC" w:rsidRPr="005659E6" w:rsidTr="00C60A70">
        <w:tc>
          <w:tcPr>
            <w:tcW w:w="544" w:type="pct"/>
            <w:hideMark/>
          </w:tcPr>
          <w:p w:rsidR="007F26BC" w:rsidRPr="005659E6" w:rsidRDefault="007F26BC" w:rsidP="001A46FA">
            <w:pPr>
              <w:jc w:val="center"/>
            </w:pPr>
            <w:r w:rsidRPr="005659E6">
              <w:t>4.</w:t>
            </w:r>
          </w:p>
        </w:tc>
        <w:tc>
          <w:tcPr>
            <w:tcW w:w="1026" w:type="pct"/>
            <w:gridSpan w:val="2"/>
            <w:hideMark/>
          </w:tcPr>
          <w:p w:rsidR="007F26BC" w:rsidRPr="005659E6" w:rsidRDefault="007F26BC" w:rsidP="001A46FA">
            <w:r w:rsidRPr="005659E6">
              <w:t>Cita informācija</w:t>
            </w:r>
          </w:p>
        </w:tc>
        <w:tc>
          <w:tcPr>
            <w:tcW w:w="3430" w:type="pct"/>
            <w:gridSpan w:val="2"/>
          </w:tcPr>
          <w:p w:rsidR="008432E0" w:rsidRPr="005659E6" w:rsidRDefault="00A05177" w:rsidP="001A46FA">
            <w:pPr>
              <w:jc w:val="both"/>
            </w:pPr>
            <w:r w:rsidRPr="005659E6">
              <w:t>Nav.</w:t>
            </w:r>
          </w:p>
        </w:tc>
      </w:tr>
      <w:tr w:rsidR="007F26BC" w:rsidRPr="005659E6" w:rsidTr="00C60A70">
        <w:trPr>
          <w:cantSplit/>
        </w:trPr>
        <w:tc>
          <w:tcPr>
            <w:tcW w:w="5000" w:type="pct"/>
            <w:gridSpan w:val="5"/>
            <w:vAlign w:val="center"/>
            <w:hideMark/>
          </w:tcPr>
          <w:p w:rsidR="0036513B" w:rsidRPr="005659E6" w:rsidRDefault="00C3612B" w:rsidP="00667CC6">
            <w:pPr>
              <w:jc w:val="center"/>
            </w:pPr>
            <w:r w:rsidRPr="005659E6">
              <w:br w:type="page"/>
            </w:r>
          </w:p>
          <w:p w:rsidR="00667CC6" w:rsidRPr="005659E6" w:rsidRDefault="007F26BC" w:rsidP="00667CC6">
            <w:pPr>
              <w:jc w:val="center"/>
            </w:pPr>
            <w:r w:rsidRPr="005659E6">
              <w:rPr>
                <w:b/>
                <w:bCs/>
              </w:rPr>
              <w:t>II. Tiesību akta projekta ietekme uz sabiedrību, tautsaimniecības attīstību un administratīvo slogu</w:t>
            </w:r>
          </w:p>
        </w:tc>
      </w:tr>
      <w:tr w:rsidR="007F26BC" w:rsidRPr="005659E6" w:rsidTr="00C60A70">
        <w:trPr>
          <w:cantSplit/>
          <w:trHeight w:val="3776"/>
        </w:trPr>
        <w:tc>
          <w:tcPr>
            <w:tcW w:w="544" w:type="pct"/>
            <w:hideMark/>
          </w:tcPr>
          <w:p w:rsidR="007F26BC" w:rsidRPr="005659E6" w:rsidRDefault="00C3612B" w:rsidP="00C3612B">
            <w:pPr>
              <w:jc w:val="center"/>
            </w:pPr>
            <w:r w:rsidRPr="005659E6">
              <w:lastRenderedPageBreak/>
              <w:t>1.</w:t>
            </w:r>
          </w:p>
        </w:tc>
        <w:tc>
          <w:tcPr>
            <w:tcW w:w="1026" w:type="pct"/>
            <w:gridSpan w:val="2"/>
            <w:hideMark/>
          </w:tcPr>
          <w:p w:rsidR="00C44D90" w:rsidRPr="005659E6" w:rsidRDefault="007F26BC">
            <w:r w:rsidRPr="005659E6">
              <w:t>Sabiedrības mērķgrupas, kuras tiesiskais regulējums ietekmē vai varētu ietekmēt</w:t>
            </w:r>
          </w:p>
          <w:p w:rsidR="00C44D90" w:rsidRPr="005659E6" w:rsidRDefault="00C44D90"/>
          <w:p w:rsidR="00C44D90" w:rsidRPr="005659E6" w:rsidRDefault="00C44D90"/>
          <w:p w:rsidR="007D1E77" w:rsidRPr="005659E6" w:rsidRDefault="007D1E77"/>
          <w:p w:rsidR="007D1E77" w:rsidRPr="005659E6" w:rsidRDefault="007D1E77"/>
          <w:p w:rsidR="007D1E77" w:rsidRPr="005659E6" w:rsidRDefault="007D1E77"/>
        </w:tc>
        <w:tc>
          <w:tcPr>
            <w:tcW w:w="3430" w:type="pct"/>
            <w:gridSpan w:val="2"/>
            <w:hideMark/>
          </w:tcPr>
          <w:p w:rsidR="00407321" w:rsidRPr="005659E6" w:rsidRDefault="00407321" w:rsidP="00407321">
            <w:pPr>
              <w:shd w:val="clear" w:color="auto" w:fill="FFFFFF"/>
              <w:spacing w:line="230" w:lineRule="atLeast"/>
              <w:jc w:val="both"/>
              <w:rPr>
                <w:color w:val="000000"/>
              </w:rPr>
            </w:pPr>
            <w:r w:rsidRPr="005659E6">
              <w:rPr>
                <w:color w:val="000000"/>
              </w:rPr>
              <w:t>Saskaņā ar Iekšlietu ministrijas Informācijas centra publicēto pārskatu par ieroču īpašniekiem (</w:t>
            </w:r>
            <w:r w:rsidR="00CB177C" w:rsidRPr="005659E6">
              <w:rPr>
                <w:color w:val="000000"/>
              </w:rPr>
              <w:t>fiziskām personām) un to īpašumā es</w:t>
            </w:r>
            <w:r w:rsidRPr="005659E6">
              <w:rPr>
                <w:color w:val="000000"/>
              </w:rPr>
              <w:t>ošajiem ieročiem Latvijas Republikā:</w:t>
            </w:r>
          </w:p>
          <w:p w:rsidR="00407321" w:rsidRPr="005659E6" w:rsidRDefault="00407321" w:rsidP="00407321">
            <w:pPr>
              <w:shd w:val="clear" w:color="auto" w:fill="FFFFFF"/>
              <w:spacing w:line="230" w:lineRule="atLeast"/>
              <w:jc w:val="both"/>
              <w:rPr>
                <w:color w:val="000000"/>
              </w:rPr>
            </w:pPr>
            <w:r w:rsidRPr="005659E6">
              <w:rPr>
                <w:color w:val="000000"/>
              </w:rPr>
              <w:t>1. Lielas enerģijas pneimatisko ieroču īpašnieki 37;</w:t>
            </w:r>
          </w:p>
          <w:p w:rsidR="00407321" w:rsidRPr="005659E6" w:rsidRDefault="00407321" w:rsidP="00407321">
            <w:pPr>
              <w:shd w:val="clear" w:color="auto" w:fill="FFFFFF"/>
              <w:spacing w:line="230" w:lineRule="atLeast"/>
              <w:jc w:val="both"/>
              <w:rPr>
                <w:color w:val="000000"/>
              </w:rPr>
            </w:pPr>
            <w:r w:rsidRPr="005659E6">
              <w:rPr>
                <w:color w:val="000000"/>
              </w:rPr>
              <w:t>2. Lielas enerģijas pneimatisko ieroču kopskaits 39;</w:t>
            </w:r>
          </w:p>
          <w:p w:rsidR="00407321" w:rsidRPr="005659E6" w:rsidRDefault="00407321" w:rsidP="00407321">
            <w:pPr>
              <w:shd w:val="clear" w:color="auto" w:fill="FFFFFF"/>
              <w:spacing w:line="230" w:lineRule="atLeast"/>
              <w:jc w:val="both"/>
              <w:rPr>
                <w:color w:val="000000"/>
              </w:rPr>
            </w:pPr>
            <w:r w:rsidRPr="005659E6">
              <w:rPr>
                <w:color w:val="000000"/>
              </w:rPr>
              <w:t>3. Gāzes ieroču īpašnieki 21274;</w:t>
            </w:r>
          </w:p>
          <w:p w:rsidR="00407321" w:rsidRPr="005659E6" w:rsidRDefault="00407321" w:rsidP="00407321">
            <w:pPr>
              <w:shd w:val="clear" w:color="auto" w:fill="FFFFFF"/>
              <w:spacing w:line="230" w:lineRule="atLeast"/>
              <w:jc w:val="both"/>
              <w:rPr>
                <w:color w:val="000000"/>
              </w:rPr>
            </w:pPr>
            <w:r w:rsidRPr="005659E6">
              <w:rPr>
                <w:color w:val="000000"/>
              </w:rPr>
              <w:t>4. Reģistrēti gāzes ieroči 27462;</w:t>
            </w:r>
          </w:p>
          <w:p w:rsidR="00407321" w:rsidRPr="005659E6" w:rsidRDefault="00407321" w:rsidP="00407321">
            <w:pPr>
              <w:shd w:val="clear" w:color="auto" w:fill="FFFFFF"/>
              <w:spacing w:line="230" w:lineRule="atLeast"/>
              <w:jc w:val="both"/>
              <w:rPr>
                <w:color w:val="000000"/>
              </w:rPr>
            </w:pPr>
            <w:r w:rsidRPr="005659E6">
              <w:rPr>
                <w:color w:val="000000"/>
              </w:rPr>
              <w:t>5.Šaujamieroču īpašnieki 33108;</w:t>
            </w:r>
          </w:p>
          <w:p w:rsidR="00407321" w:rsidRPr="005659E6" w:rsidRDefault="00407321" w:rsidP="00407321">
            <w:pPr>
              <w:shd w:val="clear" w:color="auto" w:fill="FFFFFF"/>
              <w:spacing w:line="230" w:lineRule="atLeast"/>
              <w:jc w:val="both"/>
              <w:rPr>
                <w:color w:val="000000"/>
              </w:rPr>
            </w:pPr>
            <w:r w:rsidRPr="005659E6">
              <w:rPr>
                <w:color w:val="000000"/>
              </w:rPr>
              <w:t>6. Reģistrējamo šaujamieroču kopskaits 68975.</w:t>
            </w:r>
          </w:p>
          <w:p w:rsidR="00407321" w:rsidRPr="005659E6" w:rsidRDefault="00407321" w:rsidP="00407321">
            <w:pPr>
              <w:shd w:val="clear" w:color="auto" w:fill="FFFFFF"/>
              <w:spacing w:line="230" w:lineRule="atLeast"/>
              <w:jc w:val="both"/>
              <w:rPr>
                <w:color w:val="000000"/>
              </w:rPr>
            </w:pPr>
            <w:r w:rsidRPr="005659E6">
              <w:rPr>
                <w:color w:val="000000"/>
              </w:rPr>
              <w:t>Saskaņā ar Valsts policijas rīcībā esošo informāciju:</w:t>
            </w:r>
          </w:p>
          <w:p w:rsidR="00407321" w:rsidRPr="005659E6" w:rsidRDefault="00407321" w:rsidP="00407321">
            <w:pPr>
              <w:shd w:val="clear" w:color="auto" w:fill="FFFFFF"/>
              <w:spacing w:line="230" w:lineRule="atLeast"/>
              <w:jc w:val="both"/>
              <w:rPr>
                <w:color w:val="000000"/>
              </w:rPr>
            </w:pPr>
            <w:r w:rsidRPr="005659E6">
              <w:rPr>
                <w:color w:val="000000"/>
              </w:rPr>
              <w:t>1. ieroču tirdzniecības komersanti - 41 ar 83</w:t>
            </w:r>
            <w:r w:rsidRPr="005659E6">
              <w:rPr>
                <w:b/>
                <w:bCs/>
                <w:color w:val="000000"/>
              </w:rPr>
              <w:t> </w:t>
            </w:r>
            <w:r w:rsidRPr="005659E6">
              <w:rPr>
                <w:color w:val="000000"/>
              </w:rPr>
              <w:t>ieroču un speciālo līdzekļu tirdzniecības objektiem, to glabāto šaujamieroču un lielas enerģijas pneimatisko ieroču skaits 4891 (garstobra-vītņstobra šaujamieroči 12145, garstobra-gludstobra šaujamieroči 1158, īsstobra šaujamieroči (pistoles un revolveri) 1547, lielas enerģijas pneimatiskie ieroči 41).</w:t>
            </w:r>
          </w:p>
          <w:p w:rsidR="00407321" w:rsidRPr="005659E6" w:rsidRDefault="00407321" w:rsidP="00407321">
            <w:pPr>
              <w:shd w:val="clear" w:color="auto" w:fill="FFFFFF"/>
              <w:spacing w:line="230" w:lineRule="atLeast"/>
              <w:jc w:val="both"/>
              <w:rPr>
                <w:color w:val="000000"/>
              </w:rPr>
            </w:pPr>
            <w:r w:rsidRPr="005659E6">
              <w:rPr>
                <w:color w:val="000000"/>
              </w:rPr>
              <w:t>2. ieroču un munīcijas izgatavošanas komersanti 6;</w:t>
            </w:r>
          </w:p>
          <w:p w:rsidR="00407321" w:rsidRPr="005659E6" w:rsidRDefault="00407321" w:rsidP="00407321">
            <w:pPr>
              <w:shd w:val="clear" w:color="auto" w:fill="FFFFFF"/>
              <w:spacing w:line="230" w:lineRule="atLeast"/>
              <w:jc w:val="both"/>
              <w:rPr>
                <w:color w:val="000000"/>
              </w:rPr>
            </w:pPr>
            <w:r w:rsidRPr="005659E6">
              <w:rPr>
                <w:color w:val="000000"/>
              </w:rPr>
              <w:t>3. ieroču remonta komersanti 11;</w:t>
            </w:r>
          </w:p>
          <w:p w:rsidR="00407321" w:rsidRPr="005659E6" w:rsidRDefault="00407321" w:rsidP="00407321">
            <w:pPr>
              <w:shd w:val="clear" w:color="auto" w:fill="FFFFFF"/>
              <w:spacing w:line="230" w:lineRule="atLeast"/>
              <w:jc w:val="both"/>
              <w:rPr>
                <w:color w:val="000000"/>
              </w:rPr>
            </w:pPr>
            <w:r w:rsidRPr="005659E6">
              <w:rPr>
                <w:color w:val="000000"/>
              </w:rPr>
              <w:t>4. Juridiskām personām reģistrētie ieroči:</w:t>
            </w:r>
          </w:p>
          <w:p w:rsidR="00407321" w:rsidRPr="005659E6" w:rsidRDefault="00407321" w:rsidP="00407321">
            <w:pPr>
              <w:shd w:val="clear" w:color="auto" w:fill="FFFFFF"/>
              <w:spacing w:line="230" w:lineRule="atLeast"/>
              <w:jc w:val="both"/>
              <w:rPr>
                <w:color w:val="000000"/>
              </w:rPr>
            </w:pPr>
            <w:r w:rsidRPr="005659E6">
              <w:rPr>
                <w:color w:val="000000"/>
              </w:rPr>
              <w:t>4.2. sporta organizācijas, kurām reģistrēti ieroči: 14, tām reģistrēti 778 šaujamieroči (garstobra-vītņstobra šaujamieroči 456, garstobra-gludstobra šaujamieroči 0, īsstobra šaujamieroči (pistoles un revolveri) 322, lielas enerģijas pneimatiskie ieroči 0;</w:t>
            </w:r>
          </w:p>
          <w:p w:rsidR="00407321" w:rsidRPr="005659E6" w:rsidRDefault="00407321" w:rsidP="00407321">
            <w:pPr>
              <w:shd w:val="clear" w:color="auto" w:fill="FFFFFF"/>
              <w:spacing w:line="230" w:lineRule="atLeast"/>
              <w:jc w:val="both"/>
              <w:rPr>
                <w:color w:val="000000"/>
              </w:rPr>
            </w:pPr>
            <w:r w:rsidRPr="005659E6">
              <w:rPr>
                <w:color w:val="000000"/>
              </w:rPr>
              <w:t>4.3. šautuves (šaušanas stendi) kopā: 63, šautuves, kurās reģistrēti ieroči: 12, tajās reģistrēti 164 ieroči (garstobra-vītņstobra šaujamieroči 40, garstobra-gludstobra šaujamieroči 20, īsstobra šaujamieroči (pistoles un revolveri) 104, lielas enerģijas pneimatiskie ieroči 0;</w:t>
            </w:r>
          </w:p>
          <w:p w:rsidR="00407321" w:rsidRPr="005659E6" w:rsidRDefault="00407321" w:rsidP="00407321">
            <w:pPr>
              <w:shd w:val="clear" w:color="auto" w:fill="FFFFFF"/>
              <w:spacing w:line="230" w:lineRule="atLeast"/>
              <w:jc w:val="both"/>
              <w:rPr>
                <w:color w:val="000000"/>
              </w:rPr>
            </w:pPr>
            <w:r w:rsidRPr="005659E6">
              <w:rPr>
                <w:color w:val="000000"/>
              </w:rPr>
              <w:t>4.5. apsardzes komersanti, kuriem reģistrēti šaujamieroči: 11, tiem reģistrēti 135 šaujamieroči (garstobra-gludstobra šaujamieroči 18, īsstobra šaujamieroči (pistoles un revolveri) 117);</w:t>
            </w:r>
          </w:p>
          <w:p w:rsidR="00116F86" w:rsidRPr="005659E6" w:rsidRDefault="00407321" w:rsidP="00407321">
            <w:pPr>
              <w:shd w:val="clear" w:color="auto" w:fill="FFFFFF"/>
              <w:spacing w:line="230" w:lineRule="atLeast"/>
              <w:jc w:val="both"/>
              <w:rPr>
                <w:color w:val="000000"/>
              </w:rPr>
            </w:pPr>
            <w:r w:rsidRPr="005659E6">
              <w:rPr>
                <w:color w:val="000000"/>
              </w:rPr>
              <w:t>4.6. iekšējie drošības dienesti: 56, no tiem ar šaujamieročiem 5, tiem reģistrēti 129 šaujamieroči (garstobra-gludstobra šaujamieroči 8, īsstobra šaujamieroči (pistoles un revolveri) 121).</w:t>
            </w:r>
            <w:r w:rsidR="00DB24BB" w:rsidRPr="005659E6">
              <w:t xml:space="preserve">    </w:t>
            </w:r>
          </w:p>
        </w:tc>
      </w:tr>
      <w:tr w:rsidR="007F26BC" w:rsidRPr="005659E6" w:rsidTr="00C60A70">
        <w:trPr>
          <w:cantSplit/>
        </w:trPr>
        <w:tc>
          <w:tcPr>
            <w:tcW w:w="544" w:type="pct"/>
            <w:hideMark/>
          </w:tcPr>
          <w:p w:rsidR="007F26BC" w:rsidRPr="005659E6" w:rsidRDefault="007F26BC" w:rsidP="001A46FA">
            <w:pPr>
              <w:jc w:val="center"/>
            </w:pPr>
            <w:r w:rsidRPr="005659E6">
              <w:t>2.</w:t>
            </w:r>
          </w:p>
        </w:tc>
        <w:tc>
          <w:tcPr>
            <w:tcW w:w="1026" w:type="pct"/>
            <w:gridSpan w:val="2"/>
            <w:hideMark/>
          </w:tcPr>
          <w:p w:rsidR="007F26BC" w:rsidRPr="005659E6" w:rsidRDefault="007F26BC" w:rsidP="007D1E77">
            <w:r w:rsidRPr="005659E6">
              <w:t>Tiesiskā regulējuma ietekme uz tautsaimniecību un administratīvo slogu</w:t>
            </w:r>
          </w:p>
        </w:tc>
        <w:tc>
          <w:tcPr>
            <w:tcW w:w="3430" w:type="pct"/>
            <w:gridSpan w:val="2"/>
            <w:hideMark/>
          </w:tcPr>
          <w:p w:rsidR="00A05177" w:rsidRPr="005659E6" w:rsidRDefault="00923DE7" w:rsidP="00A05177">
            <w:r w:rsidRPr="005659E6">
              <w:t xml:space="preserve"> </w:t>
            </w:r>
            <w:r w:rsidR="00A05177" w:rsidRPr="005659E6">
              <w:t>Projekts šo jomu neskar.</w:t>
            </w:r>
          </w:p>
          <w:p w:rsidR="00DF55C9" w:rsidRPr="005659E6" w:rsidRDefault="00DF55C9" w:rsidP="00E231B2">
            <w:pPr>
              <w:jc w:val="both"/>
            </w:pPr>
          </w:p>
          <w:p w:rsidR="00DF55C9" w:rsidRPr="005659E6" w:rsidRDefault="00DF55C9" w:rsidP="00DF55C9"/>
          <w:p w:rsidR="00227DE5" w:rsidRPr="005659E6" w:rsidRDefault="00DF55C9" w:rsidP="00B445B0">
            <w:pPr>
              <w:tabs>
                <w:tab w:val="left" w:pos="5250"/>
              </w:tabs>
            </w:pPr>
            <w:r w:rsidRPr="005659E6">
              <w:tab/>
            </w:r>
          </w:p>
        </w:tc>
      </w:tr>
      <w:tr w:rsidR="007F26BC" w:rsidRPr="005659E6" w:rsidTr="00C60A70">
        <w:trPr>
          <w:cantSplit/>
        </w:trPr>
        <w:tc>
          <w:tcPr>
            <w:tcW w:w="544" w:type="pct"/>
            <w:hideMark/>
          </w:tcPr>
          <w:p w:rsidR="007F26BC" w:rsidRPr="005659E6" w:rsidRDefault="007F26BC" w:rsidP="001A46FA">
            <w:pPr>
              <w:jc w:val="center"/>
            </w:pPr>
            <w:r w:rsidRPr="005659E6">
              <w:t>3.</w:t>
            </w:r>
          </w:p>
        </w:tc>
        <w:tc>
          <w:tcPr>
            <w:tcW w:w="1026" w:type="pct"/>
            <w:gridSpan w:val="2"/>
            <w:hideMark/>
          </w:tcPr>
          <w:p w:rsidR="007F26BC" w:rsidRPr="005659E6" w:rsidRDefault="007F26BC" w:rsidP="00D87590">
            <w:r w:rsidRPr="005659E6">
              <w:t>Administratīvo izmaksu monetārs novērtējums</w:t>
            </w:r>
          </w:p>
        </w:tc>
        <w:tc>
          <w:tcPr>
            <w:tcW w:w="3430" w:type="pct"/>
            <w:gridSpan w:val="2"/>
            <w:hideMark/>
          </w:tcPr>
          <w:p w:rsidR="00A05177" w:rsidRPr="005659E6" w:rsidRDefault="00A05177" w:rsidP="00A05177">
            <w:r w:rsidRPr="005659E6">
              <w:t>Projekts šo jomu neskar.</w:t>
            </w:r>
          </w:p>
          <w:p w:rsidR="007F26BC" w:rsidRPr="005659E6" w:rsidRDefault="007F26BC" w:rsidP="003C6FAF">
            <w:pPr>
              <w:jc w:val="both"/>
            </w:pPr>
          </w:p>
        </w:tc>
      </w:tr>
      <w:tr w:rsidR="007F26BC" w:rsidRPr="005659E6" w:rsidTr="00C60A70">
        <w:trPr>
          <w:cantSplit/>
        </w:trPr>
        <w:tc>
          <w:tcPr>
            <w:tcW w:w="544" w:type="pct"/>
            <w:hideMark/>
          </w:tcPr>
          <w:p w:rsidR="007F26BC" w:rsidRPr="005659E6" w:rsidRDefault="007F26BC" w:rsidP="001A46FA">
            <w:pPr>
              <w:jc w:val="center"/>
            </w:pPr>
            <w:r w:rsidRPr="005659E6">
              <w:t>4.</w:t>
            </w:r>
          </w:p>
        </w:tc>
        <w:tc>
          <w:tcPr>
            <w:tcW w:w="1026" w:type="pct"/>
            <w:gridSpan w:val="2"/>
            <w:hideMark/>
          </w:tcPr>
          <w:p w:rsidR="007F26BC" w:rsidRPr="005659E6" w:rsidRDefault="007F26BC" w:rsidP="001A46FA">
            <w:r w:rsidRPr="005659E6">
              <w:t>Atbilstības izmaksu monetārs novērtējums</w:t>
            </w:r>
          </w:p>
        </w:tc>
        <w:tc>
          <w:tcPr>
            <w:tcW w:w="3430" w:type="pct"/>
            <w:gridSpan w:val="2"/>
            <w:hideMark/>
          </w:tcPr>
          <w:p w:rsidR="00A05177" w:rsidRPr="005659E6" w:rsidRDefault="00A05177" w:rsidP="00A05177">
            <w:r w:rsidRPr="005659E6">
              <w:t>Projekts šo jomu neskar.</w:t>
            </w:r>
          </w:p>
          <w:p w:rsidR="007F26BC" w:rsidRPr="005659E6" w:rsidRDefault="007F26BC" w:rsidP="001A46FA"/>
        </w:tc>
      </w:tr>
      <w:tr w:rsidR="007F26BC" w:rsidRPr="005659E6" w:rsidTr="00C60A70">
        <w:trPr>
          <w:cantSplit/>
        </w:trPr>
        <w:tc>
          <w:tcPr>
            <w:tcW w:w="544" w:type="pct"/>
            <w:hideMark/>
          </w:tcPr>
          <w:p w:rsidR="007F26BC" w:rsidRPr="005659E6" w:rsidRDefault="007F26BC" w:rsidP="001A46FA">
            <w:pPr>
              <w:jc w:val="center"/>
            </w:pPr>
            <w:r w:rsidRPr="005659E6">
              <w:t>5.</w:t>
            </w:r>
          </w:p>
        </w:tc>
        <w:tc>
          <w:tcPr>
            <w:tcW w:w="1026" w:type="pct"/>
            <w:gridSpan w:val="2"/>
            <w:hideMark/>
          </w:tcPr>
          <w:p w:rsidR="007F26BC" w:rsidRPr="005659E6" w:rsidRDefault="007F26BC" w:rsidP="001A46FA">
            <w:r w:rsidRPr="005659E6">
              <w:t>Cita informācija</w:t>
            </w:r>
          </w:p>
        </w:tc>
        <w:tc>
          <w:tcPr>
            <w:tcW w:w="3430" w:type="pct"/>
            <w:gridSpan w:val="2"/>
            <w:hideMark/>
          </w:tcPr>
          <w:p w:rsidR="007F26BC" w:rsidRPr="005659E6" w:rsidRDefault="00A05177" w:rsidP="001A46FA">
            <w:r w:rsidRPr="005659E6">
              <w:t>Nav.</w:t>
            </w:r>
          </w:p>
        </w:tc>
      </w:tr>
      <w:tr w:rsidR="00A05177" w:rsidRPr="005659E6" w:rsidTr="00C60A70">
        <w:trPr>
          <w:cantSplit/>
        </w:trPr>
        <w:tc>
          <w:tcPr>
            <w:tcW w:w="5000" w:type="pct"/>
            <w:gridSpan w:val="5"/>
          </w:tcPr>
          <w:p w:rsidR="00A05177" w:rsidRDefault="00A05177" w:rsidP="001A46FA"/>
          <w:tbl>
            <w:tblPr>
              <w:tblW w:w="103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1365"/>
              <w:gridCol w:w="1277"/>
              <w:gridCol w:w="996"/>
              <w:gridCol w:w="1135"/>
              <w:gridCol w:w="1277"/>
              <w:gridCol w:w="1133"/>
              <w:gridCol w:w="1418"/>
              <w:gridCol w:w="1277"/>
              <w:gridCol w:w="236"/>
            </w:tblGrid>
            <w:tr w:rsidR="00C60A70" w:rsidRPr="00F9574E" w:rsidTr="00C60A70">
              <w:tc>
                <w:tcPr>
                  <w:tcW w:w="128" w:type="pct"/>
                  <w:shd w:val="clear" w:color="auto" w:fill="auto"/>
                  <w:vAlign w:val="center"/>
                </w:tcPr>
                <w:p w:rsidR="00C60A70" w:rsidRPr="00F9574E" w:rsidRDefault="00C60A70" w:rsidP="00C60A70">
                  <w:pPr>
                    <w:jc w:val="center"/>
                    <w:rPr>
                      <w:iCs/>
                    </w:rPr>
                  </w:pPr>
                </w:p>
              </w:tc>
              <w:tc>
                <w:tcPr>
                  <w:tcW w:w="4759" w:type="pct"/>
                  <w:gridSpan w:val="8"/>
                  <w:shd w:val="clear" w:color="auto" w:fill="auto"/>
                  <w:vAlign w:val="center"/>
                </w:tcPr>
                <w:p w:rsidR="00C60A70" w:rsidRDefault="00C60A70" w:rsidP="00C60A70">
                  <w:pPr>
                    <w:jc w:val="center"/>
                    <w:rPr>
                      <w:iCs/>
                    </w:rPr>
                  </w:pPr>
                  <w:r w:rsidRPr="005659E6">
                    <w:rPr>
                      <w:b/>
                      <w:bCs/>
                    </w:rPr>
                    <w:t>III. Tiesību akta projekta ietekme uz valsts budžetu un pašvaldību budžetiem</w:t>
                  </w:r>
                </w:p>
              </w:tc>
              <w:tc>
                <w:tcPr>
                  <w:tcW w:w="114" w:type="pct"/>
                  <w:shd w:val="clear" w:color="auto" w:fill="auto"/>
                  <w:vAlign w:val="center"/>
                </w:tcPr>
                <w:p w:rsidR="00C60A70" w:rsidRPr="00F9574E" w:rsidRDefault="00C60A70" w:rsidP="00C60A70">
                  <w:pPr>
                    <w:jc w:val="center"/>
                    <w:rPr>
                      <w:iCs/>
                    </w:rPr>
                  </w:pPr>
                </w:p>
              </w:tc>
            </w:tr>
            <w:tr w:rsidR="00C60A70" w:rsidRPr="00F9574E" w:rsidTr="00C60A70">
              <w:trPr>
                <w:gridAfter w:val="1"/>
                <w:wAfter w:w="114" w:type="pct"/>
              </w:trPr>
              <w:tc>
                <w:tcPr>
                  <w:tcW w:w="786" w:type="pct"/>
                  <w:gridSpan w:val="2"/>
                  <w:vMerge w:val="restart"/>
                  <w:shd w:val="clear" w:color="auto" w:fill="auto"/>
                  <w:vAlign w:val="center"/>
                  <w:hideMark/>
                </w:tcPr>
                <w:p w:rsidR="00C60A70" w:rsidRPr="00F9574E" w:rsidRDefault="00C60A70" w:rsidP="00C60A70">
                  <w:pPr>
                    <w:jc w:val="center"/>
                    <w:rPr>
                      <w:iCs/>
                    </w:rPr>
                  </w:pPr>
                  <w:r w:rsidRPr="00F9574E">
                    <w:rPr>
                      <w:iCs/>
                    </w:rPr>
                    <w:t>Rādītāji</w:t>
                  </w:r>
                </w:p>
              </w:tc>
              <w:tc>
                <w:tcPr>
                  <w:tcW w:w="1095" w:type="pct"/>
                  <w:gridSpan w:val="2"/>
                  <w:vMerge w:val="restart"/>
                  <w:shd w:val="clear" w:color="auto" w:fill="auto"/>
                  <w:vAlign w:val="center"/>
                  <w:hideMark/>
                </w:tcPr>
                <w:p w:rsidR="00C60A70" w:rsidRPr="00F9574E" w:rsidRDefault="00C60A70" w:rsidP="00C60A70">
                  <w:pPr>
                    <w:jc w:val="center"/>
                    <w:rPr>
                      <w:iCs/>
                    </w:rPr>
                  </w:pPr>
                  <w:r>
                    <w:rPr>
                      <w:iCs/>
                    </w:rPr>
                    <w:t>2019</w:t>
                  </w:r>
                </w:p>
              </w:tc>
              <w:tc>
                <w:tcPr>
                  <w:tcW w:w="3006" w:type="pct"/>
                  <w:gridSpan w:val="5"/>
                  <w:shd w:val="clear" w:color="auto" w:fill="auto"/>
                  <w:vAlign w:val="center"/>
                  <w:hideMark/>
                </w:tcPr>
                <w:p w:rsidR="00C60A70" w:rsidRPr="00F9574E" w:rsidRDefault="00C60A70" w:rsidP="00C60A70">
                  <w:pPr>
                    <w:jc w:val="center"/>
                    <w:rPr>
                      <w:iCs/>
                    </w:rPr>
                  </w:pPr>
                  <w:r w:rsidRPr="00F9574E">
                    <w:rPr>
                      <w:iCs/>
                    </w:rPr>
                    <w:t>Turpmākie trīs gadi (</w:t>
                  </w:r>
                  <w:proofErr w:type="spellStart"/>
                  <w:r w:rsidRPr="00F9574E">
                    <w:rPr>
                      <w:i/>
                      <w:iCs/>
                    </w:rPr>
                    <w:t>euro</w:t>
                  </w:r>
                  <w:proofErr w:type="spellEnd"/>
                  <w:r w:rsidRPr="00F9574E">
                    <w:rPr>
                      <w:iCs/>
                    </w:rPr>
                    <w:t>)</w:t>
                  </w:r>
                </w:p>
              </w:tc>
            </w:tr>
            <w:tr w:rsidR="00C60A70" w:rsidRPr="00F9574E" w:rsidTr="00C60A70">
              <w:trPr>
                <w:gridAfter w:val="1"/>
                <w:wAfter w:w="114" w:type="pct"/>
              </w:trPr>
              <w:tc>
                <w:tcPr>
                  <w:tcW w:w="786" w:type="pct"/>
                  <w:gridSpan w:val="2"/>
                  <w:vMerge/>
                  <w:shd w:val="clear" w:color="auto" w:fill="auto"/>
                  <w:vAlign w:val="center"/>
                  <w:hideMark/>
                </w:tcPr>
                <w:p w:rsidR="00C60A70" w:rsidRPr="00F9574E" w:rsidRDefault="00C60A70" w:rsidP="00C60A70">
                  <w:pPr>
                    <w:jc w:val="center"/>
                    <w:rPr>
                      <w:iCs/>
                    </w:rPr>
                  </w:pPr>
                </w:p>
              </w:tc>
              <w:tc>
                <w:tcPr>
                  <w:tcW w:w="1095" w:type="pct"/>
                  <w:gridSpan w:val="2"/>
                  <w:vMerge/>
                  <w:shd w:val="clear" w:color="auto" w:fill="auto"/>
                  <w:vAlign w:val="center"/>
                  <w:hideMark/>
                </w:tcPr>
                <w:p w:rsidR="00C60A70" w:rsidRPr="00F9574E" w:rsidRDefault="00C60A70" w:rsidP="00C60A70">
                  <w:pPr>
                    <w:jc w:val="center"/>
                    <w:rPr>
                      <w:iCs/>
                    </w:rPr>
                  </w:pPr>
                </w:p>
              </w:tc>
              <w:tc>
                <w:tcPr>
                  <w:tcW w:w="1162" w:type="pct"/>
                  <w:gridSpan w:val="2"/>
                  <w:shd w:val="clear" w:color="auto" w:fill="auto"/>
                  <w:vAlign w:val="center"/>
                  <w:hideMark/>
                </w:tcPr>
                <w:p w:rsidR="00C60A70" w:rsidRPr="00F9574E" w:rsidRDefault="00C60A70" w:rsidP="00C60A70">
                  <w:pPr>
                    <w:jc w:val="center"/>
                    <w:rPr>
                      <w:iCs/>
                    </w:rPr>
                  </w:pPr>
                  <w:r>
                    <w:rPr>
                      <w:iCs/>
                    </w:rPr>
                    <w:t>2020</w:t>
                  </w:r>
                </w:p>
              </w:tc>
              <w:tc>
                <w:tcPr>
                  <w:tcW w:w="1229" w:type="pct"/>
                  <w:gridSpan w:val="2"/>
                  <w:shd w:val="clear" w:color="auto" w:fill="auto"/>
                  <w:vAlign w:val="center"/>
                  <w:hideMark/>
                </w:tcPr>
                <w:p w:rsidR="00C60A70" w:rsidRPr="00F9574E" w:rsidRDefault="00C60A70" w:rsidP="00C60A70">
                  <w:pPr>
                    <w:jc w:val="center"/>
                    <w:rPr>
                      <w:iCs/>
                    </w:rPr>
                  </w:pPr>
                  <w:r>
                    <w:rPr>
                      <w:iCs/>
                    </w:rPr>
                    <w:t>2021</w:t>
                  </w:r>
                </w:p>
              </w:tc>
              <w:tc>
                <w:tcPr>
                  <w:tcW w:w="615" w:type="pct"/>
                  <w:shd w:val="clear" w:color="auto" w:fill="auto"/>
                  <w:vAlign w:val="center"/>
                  <w:hideMark/>
                </w:tcPr>
                <w:p w:rsidR="00C60A70" w:rsidRPr="00F9574E" w:rsidRDefault="00C60A70" w:rsidP="00C60A70">
                  <w:pPr>
                    <w:jc w:val="center"/>
                    <w:rPr>
                      <w:iCs/>
                    </w:rPr>
                  </w:pPr>
                  <w:r>
                    <w:rPr>
                      <w:iCs/>
                    </w:rPr>
                    <w:t>2022</w:t>
                  </w:r>
                </w:p>
              </w:tc>
            </w:tr>
            <w:tr w:rsidR="00C60A70" w:rsidRPr="00F9574E" w:rsidTr="00C60A70">
              <w:trPr>
                <w:gridAfter w:val="1"/>
                <w:wAfter w:w="114" w:type="pct"/>
              </w:trPr>
              <w:tc>
                <w:tcPr>
                  <w:tcW w:w="786" w:type="pct"/>
                  <w:gridSpan w:val="2"/>
                  <w:vMerge/>
                  <w:shd w:val="clear" w:color="auto" w:fill="auto"/>
                  <w:vAlign w:val="center"/>
                  <w:hideMark/>
                </w:tcPr>
                <w:p w:rsidR="00C60A70" w:rsidRPr="00F9574E" w:rsidRDefault="00C60A70" w:rsidP="00C60A70">
                  <w:pPr>
                    <w:jc w:val="center"/>
                    <w:rPr>
                      <w:iCs/>
                    </w:rPr>
                  </w:pPr>
                </w:p>
              </w:tc>
              <w:tc>
                <w:tcPr>
                  <w:tcW w:w="615" w:type="pct"/>
                  <w:shd w:val="clear" w:color="auto" w:fill="auto"/>
                  <w:vAlign w:val="center"/>
                  <w:hideMark/>
                </w:tcPr>
                <w:p w:rsidR="00C60A70" w:rsidRPr="00F9574E" w:rsidRDefault="00C60A70" w:rsidP="00C60A70">
                  <w:pPr>
                    <w:jc w:val="center"/>
                    <w:rPr>
                      <w:iCs/>
                      <w:sz w:val="20"/>
                      <w:szCs w:val="20"/>
                    </w:rPr>
                  </w:pPr>
                  <w:r w:rsidRPr="00F9574E">
                    <w:rPr>
                      <w:iCs/>
                      <w:sz w:val="20"/>
                      <w:szCs w:val="20"/>
                    </w:rPr>
                    <w:t>saskaņā ar valsts budžetu kārtējam gadam</w:t>
                  </w:r>
                </w:p>
              </w:tc>
              <w:tc>
                <w:tcPr>
                  <w:tcW w:w="480" w:type="pct"/>
                  <w:shd w:val="clear" w:color="auto" w:fill="auto"/>
                  <w:vAlign w:val="center"/>
                  <w:hideMark/>
                </w:tcPr>
                <w:p w:rsidR="00C60A70" w:rsidRPr="00F9574E" w:rsidRDefault="00C60A70" w:rsidP="00C60A70">
                  <w:pPr>
                    <w:jc w:val="center"/>
                    <w:rPr>
                      <w:iCs/>
                      <w:sz w:val="20"/>
                      <w:szCs w:val="20"/>
                    </w:rPr>
                  </w:pPr>
                  <w:r w:rsidRPr="00F9574E">
                    <w:rPr>
                      <w:iCs/>
                      <w:sz w:val="20"/>
                      <w:szCs w:val="20"/>
                    </w:rPr>
                    <w:t>izmaiņas kārtējā gadā, salīdzinot ar valsts budžetu kārtējam gadam</w:t>
                  </w:r>
                </w:p>
              </w:tc>
              <w:tc>
                <w:tcPr>
                  <w:tcW w:w="547" w:type="pct"/>
                  <w:shd w:val="clear" w:color="auto" w:fill="auto"/>
                  <w:vAlign w:val="center"/>
                  <w:hideMark/>
                </w:tcPr>
                <w:p w:rsidR="00C60A70" w:rsidRPr="00F9574E" w:rsidRDefault="00C60A70" w:rsidP="00C60A70">
                  <w:pPr>
                    <w:jc w:val="center"/>
                    <w:rPr>
                      <w:iCs/>
                      <w:sz w:val="20"/>
                      <w:szCs w:val="20"/>
                    </w:rPr>
                  </w:pPr>
                  <w:r w:rsidRPr="00F9574E">
                    <w:rPr>
                      <w:iCs/>
                      <w:sz w:val="20"/>
                      <w:szCs w:val="20"/>
                    </w:rPr>
                    <w:t>saskaņā ar vidēja termiņa budžeta ietvaru</w:t>
                  </w:r>
                </w:p>
              </w:tc>
              <w:tc>
                <w:tcPr>
                  <w:tcW w:w="615" w:type="pct"/>
                  <w:shd w:val="clear" w:color="auto" w:fill="auto"/>
                  <w:vAlign w:val="center"/>
                  <w:hideMark/>
                </w:tcPr>
                <w:p w:rsidR="00C60A70" w:rsidRPr="00F9574E" w:rsidRDefault="00C60A70" w:rsidP="00C60A70">
                  <w:pPr>
                    <w:jc w:val="center"/>
                    <w:rPr>
                      <w:iCs/>
                      <w:sz w:val="20"/>
                      <w:szCs w:val="20"/>
                    </w:rPr>
                  </w:pPr>
                  <w:r w:rsidRPr="00F9574E">
                    <w:rPr>
                      <w:iCs/>
                      <w:sz w:val="20"/>
                      <w:szCs w:val="20"/>
                    </w:rPr>
                    <w:t xml:space="preserve">izmaiņas, salīdzinot ar vidēja </w:t>
                  </w:r>
                  <w:r>
                    <w:rPr>
                      <w:iCs/>
                      <w:sz w:val="20"/>
                      <w:szCs w:val="20"/>
                    </w:rPr>
                    <w:t>termiņa budžeta ietvaru 2020</w:t>
                  </w:r>
                  <w:r w:rsidRPr="00F9574E">
                    <w:rPr>
                      <w:iCs/>
                      <w:sz w:val="20"/>
                      <w:szCs w:val="20"/>
                    </w:rPr>
                    <w:t>.</w:t>
                  </w:r>
                </w:p>
                <w:p w:rsidR="00C60A70" w:rsidRPr="00F9574E" w:rsidRDefault="00C60A70" w:rsidP="00C60A70">
                  <w:pPr>
                    <w:jc w:val="center"/>
                    <w:rPr>
                      <w:iCs/>
                      <w:sz w:val="20"/>
                      <w:szCs w:val="20"/>
                    </w:rPr>
                  </w:pPr>
                  <w:r w:rsidRPr="00F9574E">
                    <w:rPr>
                      <w:iCs/>
                      <w:sz w:val="20"/>
                      <w:szCs w:val="20"/>
                    </w:rPr>
                    <w:t>gadam</w:t>
                  </w:r>
                </w:p>
              </w:tc>
              <w:tc>
                <w:tcPr>
                  <w:tcW w:w="546" w:type="pct"/>
                  <w:shd w:val="clear" w:color="auto" w:fill="auto"/>
                  <w:vAlign w:val="center"/>
                  <w:hideMark/>
                </w:tcPr>
                <w:p w:rsidR="00C60A70" w:rsidRPr="00F9574E" w:rsidRDefault="00C60A70" w:rsidP="00C60A70">
                  <w:pPr>
                    <w:jc w:val="center"/>
                    <w:rPr>
                      <w:iCs/>
                      <w:sz w:val="20"/>
                      <w:szCs w:val="20"/>
                    </w:rPr>
                  </w:pPr>
                  <w:r w:rsidRPr="00F9574E">
                    <w:rPr>
                      <w:iCs/>
                      <w:sz w:val="20"/>
                      <w:szCs w:val="20"/>
                    </w:rPr>
                    <w:t>saskaņā ar vidēja termiņa budžeta ietvaru</w:t>
                  </w:r>
                </w:p>
              </w:tc>
              <w:tc>
                <w:tcPr>
                  <w:tcW w:w="683" w:type="pct"/>
                  <w:shd w:val="clear" w:color="auto" w:fill="auto"/>
                  <w:vAlign w:val="center"/>
                  <w:hideMark/>
                </w:tcPr>
                <w:p w:rsidR="00C60A70" w:rsidRPr="00F9574E" w:rsidRDefault="00C60A70" w:rsidP="00C60A70">
                  <w:pPr>
                    <w:jc w:val="center"/>
                    <w:rPr>
                      <w:iCs/>
                      <w:sz w:val="20"/>
                      <w:szCs w:val="20"/>
                    </w:rPr>
                  </w:pPr>
                  <w:r w:rsidRPr="00F9574E">
                    <w:rPr>
                      <w:iCs/>
                      <w:sz w:val="20"/>
                      <w:szCs w:val="20"/>
                    </w:rPr>
                    <w:t>izmaiņas, salīdzinot ar vid</w:t>
                  </w:r>
                  <w:r>
                    <w:rPr>
                      <w:iCs/>
                      <w:sz w:val="20"/>
                      <w:szCs w:val="20"/>
                    </w:rPr>
                    <w:t>ēja termiņa budžeta ietvaru 2021</w:t>
                  </w:r>
                  <w:r w:rsidRPr="00F9574E">
                    <w:rPr>
                      <w:iCs/>
                      <w:sz w:val="20"/>
                      <w:szCs w:val="20"/>
                    </w:rPr>
                    <w:t>.</w:t>
                  </w:r>
                </w:p>
                <w:p w:rsidR="00C60A70" w:rsidRPr="00F9574E" w:rsidRDefault="00C60A70" w:rsidP="00C60A70">
                  <w:pPr>
                    <w:jc w:val="center"/>
                    <w:rPr>
                      <w:iCs/>
                      <w:sz w:val="20"/>
                      <w:szCs w:val="20"/>
                    </w:rPr>
                  </w:pPr>
                  <w:r w:rsidRPr="00F9574E">
                    <w:rPr>
                      <w:iCs/>
                      <w:sz w:val="20"/>
                      <w:szCs w:val="20"/>
                    </w:rPr>
                    <w:t>gadam</w:t>
                  </w:r>
                </w:p>
              </w:tc>
              <w:tc>
                <w:tcPr>
                  <w:tcW w:w="615" w:type="pct"/>
                  <w:shd w:val="clear" w:color="auto" w:fill="auto"/>
                  <w:vAlign w:val="center"/>
                  <w:hideMark/>
                </w:tcPr>
                <w:p w:rsidR="00C60A70" w:rsidRPr="00F9574E" w:rsidRDefault="00C60A70" w:rsidP="00C60A70">
                  <w:pPr>
                    <w:jc w:val="center"/>
                    <w:rPr>
                      <w:iCs/>
                      <w:sz w:val="20"/>
                      <w:szCs w:val="20"/>
                    </w:rPr>
                  </w:pPr>
                  <w:r w:rsidRPr="00F9574E">
                    <w:rPr>
                      <w:iCs/>
                      <w:sz w:val="20"/>
                      <w:szCs w:val="20"/>
                    </w:rPr>
                    <w:t>izmaiņas, salīdzinot ar vidēja termiņa budžeta ietvaru 202</w:t>
                  </w:r>
                  <w:r>
                    <w:rPr>
                      <w:iCs/>
                      <w:sz w:val="20"/>
                      <w:szCs w:val="20"/>
                    </w:rPr>
                    <w:t>2</w:t>
                  </w:r>
                  <w:r w:rsidRPr="00F9574E">
                    <w:rPr>
                      <w:iCs/>
                      <w:sz w:val="20"/>
                      <w:szCs w:val="20"/>
                    </w:rPr>
                    <w:t>.</w:t>
                  </w:r>
                </w:p>
                <w:p w:rsidR="00C60A70" w:rsidRPr="00F9574E" w:rsidRDefault="00C60A70" w:rsidP="00C60A70">
                  <w:pPr>
                    <w:jc w:val="center"/>
                    <w:rPr>
                      <w:iCs/>
                      <w:sz w:val="20"/>
                      <w:szCs w:val="20"/>
                    </w:rPr>
                  </w:pPr>
                  <w:r w:rsidRPr="00F9574E">
                    <w:rPr>
                      <w:iCs/>
                      <w:sz w:val="20"/>
                      <w:szCs w:val="20"/>
                    </w:rPr>
                    <w:t>gadam</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jc w:val="center"/>
                    <w:rPr>
                      <w:iCs/>
                      <w:sz w:val="20"/>
                      <w:szCs w:val="20"/>
                    </w:rPr>
                  </w:pPr>
                  <w:r w:rsidRPr="00F9574E">
                    <w:rPr>
                      <w:iCs/>
                      <w:sz w:val="20"/>
                      <w:szCs w:val="20"/>
                    </w:rPr>
                    <w:t>1</w:t>
                  </w:r>
                </w:p>
              </w:tc>
              <w:tc>
                <w:tcPr>
                  <w:tcW w:w="615" w:type="pct"/>
                  <w:shd w:val="clear" w:color="auto" w:fill="auto"/>
                  <w:hideMark/>
                </w:tcPr>
                <w:p w:rsidR="00C60A70" w:rsidRPr="00F9574E" w:rsidRDefault="00C60A70" w:rsidP="00C60A70">
                  <w:pPr>
                    <w:jc w:val="center"/>
                    <w:rPr>
                      <w:iCs/>
                      <w:sz w:val="20"/>
                      <w:szCs w:val="20"/>
                    </w:rPr>
                  </w:pPr>
                  <w:r w:rsidRPr="00F9574E">
                    <w:rPr>
                      <w:iCs/>
                      <w:sz w:val="20"/>
                      <w:szCs w:val="20"/>
                    </w:rPr>
                    <w:t>2</w:t>
                  </w:r>
                </w:p>
              </w:tc>
              <w:tc>
                <w:tcPr>
                  <w:tcW w:w="480" w:type="pct"/>
                  <w:shd w:val="clear" w:color="auto" w:fill="auto"/>
                  <w:hideMark/>
                </w:tcPr>
                <w:p w:rsidR="00C60A70" w:rsidRPr="00F9574E" w:rsidRDefault="00C60A70" w:rsidP="00C60A70">
                  <w:pPr>
                    <w:jc w:val="center"/>
                    <w:rPr>
                      <w:iCs/>
                      <w:sz w:val="20"/>
                      <w:szCs w:val="20"/>
                    </w:rPr>
                  </w:pPr>
                  <w:r w:rsidRPr="00F9574E">
                    <w:rPr>
                      <w:iCs/>
                      <w:sz w:val="20"/>
                      <w:szCs w:val="20"/>
                    </w:rPr>
                    <w:t>3</w:t>
                  </w:r>
                </w:p>
              </w:tc>
              <w:tc>
                <w:tcPr>
                  <w:tcW w:w="547" w:type="pct"/>
                  <w:shd w:val="clear" w:color="auto" w:fill="auto"/>
                  <w:hideMark/>
                </w:tcPr>
                <w:p w:rsidR="00C60A70" w:rsidRPr="00F9574E" w:rsidRDefault="00C60A70" w:rsidP="00C60A70">
                  <w:pPr>
                    <w:jc w:val="center"/>
                    <w:rPr>
                      <w:iCs/>
                      <w:sz w:val="20"/>
                      <w:szCs w:val="20"/>
                    </w:rPr>
                  </w:pPr>
                  <w:r w:rsidRPr="00F9574E">
                    <w:rPr>
                      <w:iCs/>
                      <w:sz w:val="20"/>
                      <w:szCs w:val="20"/>
                    </w:rPr>
                    <w:t>4</w:t>
                  </w:r>
                </w:p>
              </w:tc>
              <w:tc>
                <w:tcPr>
                  <w:tcW w:w="615" w:type="pct"/>
                  <w:shd w:val="clear" w:color="auto" w:fill="auto"/>
                  <w:hideMark/>
                </w:tcPr>
                <w:p w:rsidR="00C60A70" w:rsidRPr="00F9574E" w:rsidRDefault="00C60A70" w:rsidP="00C60A70">
                  <w:pPr>
                    <w:jc w:val="center"/>
                    <w:rPr>
                      <w:iCs/>
                      <w:sz w:val="20"/>
                      <w:szCs w:val="20"/>
                    </w:rPr>
                  </w:pPr>
                  <w:r w:rsidRPr="00F9574E">
                    <w:rPr>
                      <w:iCs/>
                      <w:sz w:val="20"/>
                      <w:szCs w:val="20"/>
                    </w:rPr>
                    <w:t>5</w:t>
                  </w:r>
                </w:p>
              </w:tc>
              <w:tc>
                <w:tcPr>
                  <w:tcW w:w="546" w:type="pct"/>
                  <w:shd w:val="clear" w:color="auto" w:fill="auto"/>
                  <w:hideMark/>
                </w:tcPr>
                <w:p w:rsidR="00C60A70" w:rsidRPr="00F9574E" w:rsidRDefault="00C60A70" w:rsidP="00C60A70">
                  <w:pPr>
                    <w:jc w:val="center"/>
                    <w:rPr>
                      <w:iCs/>
                      <w:sz w:val="20"/>
                      <w:szCs w:val="20"/>
                    </w:rPr>
                  </w:pPr>
                  <w:r w:rsidRPr="00F9574E">
                    <w:rPr>
                      <w:iCs/>
                      <w:sz w:val="20"/>
                      <w:szCs w:val="20"/>
                    </w:rPr>
                    <w:t>6</w:t>
                  </w:r>
                </w:p>
              </w:tc>
              <w:tc>
                <w:tcPr>
                  <w:tcW w:w="683" w:type="pct"/>
                  <w:shd w:val="clear" w:color="auto" w:fill="auto"/>
                  <w:hideMark/>
                </w:tcPr>
                <w:p w:rsidR="00C60A70" w:rsidRPr="00F9574E" w:rsidRDefault="00C60A70" w:rsidP="00C60A70">
                  <w:pPr>
                    <w:jc w:val="center"/>
                    <w:rPr>
                      <w:iCs/>
                      <w:sz w:val="20"/>
                      <w:szCs w:val="20"/>
                    </w:rPr>
                  </w:pPr>
                  <w:r w:rsidRPr="00F9574E">
                    <w:rPr>
                      <w:iCs/>
                      <w:sz w:val="20"/>
                      <w:szCs w:val="20"/>
                    </w:rPr>
                    <w:t>7</w:t>
                  </w:r>
                </w:p>
              </w:tc>
              <w:tc>
                <w:tcPr>
                  <w:tcW w:w="615" w:type="pct"/>
                  <w:shd w:val="clear" w:color="auto" w:fill="auto"/>
                  <w:hideMark/>
                </w:tcPr>
                <w:p w:rsidR="00C60A70" w:rsidRPr="00F9574E" w:rsidRDefault="00C60A70" w:rsidP="00C60A70">
                  <w:pPr>
                    <w:jc w:val="center"/>
                    <w:rPr>
                      <w:iCs/>
                      <w:sz w:val="20"/>
                      <w:szCs w:val="20"/>
                    </w:rPr>
                  </w:pPr>
                  <w:r w:rsidRPr="00F9574E">
                    <w:rPr>
                      <w:iCs/>
                      <w:sz w:val="20"/>
                      <w:szCs w:val="20"/>
                    </w:rPr>
                    <w:t>8</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1. Budžeta ieņēmumi</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641 391</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0</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1.1. valsts pamatbudžeta, tai skaitā ieņēmumi no maksas pakalpojumiem un citi pašu ieņēmumi</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641 391</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0</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1.2. valsts speciālais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1.3. pašvaldību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2. Budžeta izdevumi</w:t>
                  </w:r>
                </w:p>
              </w:tc>
              <w:tc>
                <w:tcPr>
                  <w:tcW w:w="615" w:type="pct"/>
                  <w:shd w:val="clear" w:color="auto" w:fill="auto"/>
                  <w:vAlign w:val="center"/>
                  <w:hideMark/>
                </w:tcPr>
                <w:p w:rsidR="00C60A70" w:rsidRPr="00F9574E" w:rsidRDefault="00C60A70" w:rsidP="00C60A70">
                  <w:pPr>
                    <w:jc w:val="center"/>
                  </w:pPr>
                  <w:r w:rsidRPr="00F9574E">
                    <w:rPr>
                      <w:iCs/>
                    </w:rPr>
                    <w:t>0</w:t>
                  </w:r>
                </w:p>
              </w:tc>
              <w:tc>
                <w:tcPr>
                  <w:tcW w:w="480" w:type="pct"/>
                  <w:shd w:val="clear" w:color="auto" w:fill="auto"/>
                  <w:vAlign w:val="center"/>
                  <w:hideMark/>
                </w:tcPr>
                <w:p w:rsidR="00C60A70" w:rsidRPr="00F9574E" w:rsidRDefault="00C60A70" w:rsidP="00C60A70">
                  <w:pPr>
                    <w:jc w:val="center"/>
                  </w:pPr>
                  <w:r w:rsidRPr="00F9574E">
                    <w:rPr>
                      <w:iCs/>
                    </w:rPr>
                    <w:t>0</w:t>
                  </w:r>
                </w:p>
              </w:tc>
              <w:tc>
                <w:tcPr>
                  <w:tcW w:w="547" w:type="pct"/>
                  <w:shd w:val="clear" w:color="auto" w:fill="auto"/>
                  <w:vAlign w:val="center"/>
                  <w:hideMark/>
                </w:tcPr>
                <w:p w:rsidR="00C60A70" w:rsidRPr="00F9574E" w:rsidRDefault="00C60A70" w:rsidP="00C60A70">
                  <w:pPr>
                    <w:jc w:val="center"/>
                  </w:pPr>
                  <w:r w:rsidRPr="00F9574E">
                    <w:rPr>
                      <w:iCs/>
                    </w:rPr>
                    <w:t>0</w:t>
                  </w:r>
                </w:p>
              </w:tc>
              <w:tc>
                <w:tcPr>
                  <w:tcW w:w="615" w:type="pct"/>
                  <w:shd w:val="clear" w:color="auto" w:fill="auto"/>
                  <w:vAlign w:val="center"/>
                  <w:hideMark/>
                </w:tcPr>
                <w:p w:rsidR="00C60A70" w:rsidRPr="00F9574E" w:rsidRDefault="00C60A70" w:rsidP="00C60A70">
                  <w:pPr>
                    <w:jc w:val="center"/>
                  </w:pPr>
                  <w:r>
                    <w:rPr>
                      <w:iCs/>
                    </w:rPr>
                    <w:t>0</w:t>
                  </w:r>
                </w:p>
              </w:tc>
              <w:tc>
                <w:tcPr>
                  <w:tcW w:w="546" w:type="pct"/>
                  <w:shd w:val="clear" w:color="auto" w:fill="auto"/>
                  <w:vAlign w:val="center"/>
                  <w:hideMark/>
                </w:tcPr>
                <w:p w:rsidR="00C60A70" w:rsidRPr="00F9574E" w:rsidRDefault="00C60A70" w:rsidP="00C60A70">
                  <w:pPr>
                    <w:jc w:val="center"/>
                  </w:pPr>
                  <w:r w:rsidRPr="00F9574E">
                    <w:rPr>
                      <w:iCs/>
                    </w:rPr>
                    <w:t>0</w:t>
                  </w:r>
                </w:p>
              </w:tc>
              <w:tc>
                <w:tcPr>
                  <w:tcW w:w="683" w:type="pct"/>
                  <w:shd w:val="clear" w:color="auto" w:fill="auto"/>
                  <w:vAlign w:val="center"/>
                  <w:hideMark/>
                </w:tcPr>
                <w:p w:rsidR="00C60A70" w:rsidRPr="00F9574E" w:rsidRDefault="00C60A70" w:rsidP="00C60A70">
                  <w:pPr>
                    <w:jc w:val="center"/>
                  </w:pPr>
                  <w:r>
                    <w:rPr>
                      <w:iCs/>
                    </w:rPr>
                    <w:t>0</w:t>
                  </w:r>
                </w:p>
              </w:tc>
              <w:tc>
                <w:tcPr>
                  <w:tcW w:w="615" w:type="pct"/>
                  <w:shd w:val="clear" w:color="auto" w:fill="auto"/>
                  <w:vAlign w:val="center"/>
                  <w:hideMark/>
                </w:tcPr>
                <w:p w:rsidR="00C60A70" w:rsidRPr="00F9574E" w:rsidRDefault="00C60A70" w:rsidP="00C60A70">
                  <w:pPr>
                    <w:jc w:val="center"/>
                  </w:pPr>
                  <w:r>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2.1. valsts pamatbudžets</w:t>
                  </w:r>
                </w:p>
              </w:tc>
              <w:tc>
                <w:tcPr>
                  <w:tcW w:w="615" w:type="pct"/>
                  <w:shd w:val="clear" w:color="auto" w:fill="auto"/>
                  <w:vAlign w:val="center"/>
                  <w:hideMark/>
                </w:tcPr>
                <w:p w:rsidR="00C60A70" w:rsidRPr="00F9574E" w:rsidRDefault="00C60A70" w:rsidP="00C60A70">
                  <w:pPr>
                    <w:jc w:val="center"/>
                  </w:pPr>
                  <w:r w:rsidRPr="00F9574E">
                    <w:rPr>
                      <w:iCs/>
                    </w:rPr>
                    <w:t>0</w:t>
                  </w:r>
                </w:p>
              </w:tc>
              <w:tc>
                <w:tcPr>
                  <w:tcW w:w="480" w:type="pct"/>
                  <w:shd w:val="clear" w:color="auto" w:fill="auto"/>
                  <w:vAlign w:val="center"/>
                  <w:hideMark/>
                </w:tcPr>
                <w:p w:rsidR="00C60A70" w:rsidRPr="00F9574E" w:rsidRDefault="00C60A70" w:rsidP="00C60A70">
                  <w:pPr>
                    <w:jc w:val="center"/>
                  </w:pPr>
                  <w:r w:rsidRPr="00F9574E">
                    <w:rPr>
                      <w:iCs/>
                    </w:rPr>
                    <w:t>0</w:t>
                  </w:r>
                </w:p>
              </w:tc>
              <w:tc>
                <w:tcPr>
                  <w:tcW w:w="547" w:type="pct"/>
                  <w:shd w:val="clear" w:color="auto" w:fill="auto"/>
                  <w:vAlign w:val="center"/>
                  <w:hideMark/>
                </w:tcPr>
                <w:p w:rsidR="00C60A70" w:rsidRPr="00F9574E" w:rsidRDefault="00C60A70" w:rsidP="00C60A70">
                  <w:pPr>
                    <w:jc w:val="center"/>
                  </w:pPr>
                  <w:r w:rsidRPr="00F9574E">
                    <w:rPr>
                      <w:iCs/>
                    </w:rPr>
                    <w:t>0</w:t>
                  </w:r>
                </w:p>
              </w:tc>
              <w:tc>
                <w:tcPr>
                  <w:tcW w:w="615" w:type="pct"/>
                  <w:shd w:val="clear" w:color="auto" w:fill="auto"/>
                  <w:vAlign w:val="center"/>
                  <w:hideMark/>
                </w:tcPr>
                <w:p w:rsidR="00C60A70" w:rsidRPr="00F9574E" w:rsidRDefault="00C60A70" w:rsidP="00C60A70">
                  <w:pPr>
                    <w:jc w:val="center"/>
                  </w:pPr>
                  <w:r>
                    <w:rPr>
                      <w:iCs/>
                    </w:rPr>
                    <w:t>0</w:t>
                  </w:r>
                </w:p>
              </w:tc>
              <w:tc>
                <w:tcPr>
                  <w:tcW w:w="546" w:type="pct"/>
                  <w:shd w:val="clear" w:color="auto" w:fill="auto"/>
                  <w:vAlign w:val="center"/>
                  <w:hideMark/>
                </w:tcPr>
                <w:p w:rsidR="00C60A70" w:rsidRPr="00F9574E" w:rsidRDefault="00C60A70" w:rsidP="00C60A70">
                  <w:pPr>
                    <w:jc w:val="center"/>
                  </w:pPr>
                  <w:r w:rsidRPr="00F9574E">
                    <w:rPr>
                      <w:iCs/>
                    </w:rPr>
                    <w:t>0</w:t>
                  </w:r>
                </w:p>
              </w:tc>
              <w:tc>
                <w:tcPr>
                  <w:tcW w:w="683" w:type="pct"/>
                  <w:shd w:val="clear" w:color="auto" w:fill="auto"/>
                  <w:vAlign w:val="center"/>
                  <w:hideMark/>
                </w:tcPr>
                <w:p w:rsidR="00C60A70" w:rsidRPr="00F9574E" w:rsidRDefault="00C60A70" w:rsidP="00C60A70">
                  <w:pPr>
                    <w:jc w:val="center"/>
                  </w:pPr>
                  <w:r>
                    <w:rPr>
                      <w:iCs/>
                    </w:rPr>
                    <w:t>0</w:t>
                  </w:r>
                </w:p>
              </w:tc>
              <w:tc>
                <w:tcPr>
                  <w:tcW w:w="615" w:type="pct"/>
                  <w:shd w:val="clear" w:color="auto" w:fill="auto"/>
                  <w:vAlign w:val="center"/>
                  <w:hideMark/>
                </w:tcPr>
                <w:p w:rsidR="00C60A70" w:rsidRPr="00F9574E" w:rsidRDefault="00C60A70" w:rsidP="00C60A70">
                  <w:pPr>
                    <w:jc w:val="center"/>
                  </w:pPr>
                  <w:r>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2.2. valsts speciālais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2.3. pašvaldību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3. Finansiālā ietekme</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641 391</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0</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3.1. valsts pamatbudžets</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641 391</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t>0</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right"/>
                  </w:pPr>
                  <w:r w:rsidRPr="001D4ED2">
                    <w:t>641 391</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3.2. speciālais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3.3. pašvaldību budžets</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0</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 xml:space="preserve">4. Finanšu līdzekļi papildu izdevumu </w:t>
                  </w:r>
                  <w:r w:rsidRPr="00F9574E">
                    <w:rPr>
                      <w:iCs/>
                    </w:rPr>
                    <w:lastRenderedPageBreak/>
                    <w:t>finansēšanai (kompensējošu izdevumu samazinājumu norāda ar "+" zīmi)</w:t>
                  </w:r>
                </w:p>
              </w:tc>
              <w:tc>
                <w:tcPr>
                  <w:tcW w:w="615" w:type="pct"/>
                  <w:shd w:val="clear" w:color="auto" w:fill="auto"/>
                  <w:vAlign w:val="center"/>
                  <w:hideMark/>
                </w:tcPr>
                <w:p w:rsidR="00C60A70" w:rsidRPr="00F9574E" w:rsidRDefault="00C60A70" w:rsidP="00C60A70">
                  <w:pPr>
                    <w:jc w:val="center"/>
                    <w:rPr>
                      <w:iCs/>
                    </w:rPr>
                  </w:pPr>
                  <w:r w:rsidRPr="00F9574E">
                    <w:rPr>
                      <w:iCs/>
                    </w:rPr>
                    <w:lastRenderedPageBreak/>
                    <w:t>X</w:t>
                  </w: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shd w:val="clear" w:color="auto" w:fill="auto"/>
                  <w:vAlign w:val="center"/>
                  <w:hideMark/>
                </w:tcPr>
                <w:p w:rsidR="00C60A70" w:rsidRPr="00F9574E" w:rsidRDefault="00C60A70" w:rsidP="00C60A70">
                  <w:pPr>
                    <w:jc w:val="center"/>
                    <w:rPr>
                      <w:iCs/>
                    </w:rPr>
                  </w:pPr>
                  <w:r w:rsidRPr="00F9574E">
                    <w:rPr>
                      <w:iCs/>
                    </w:rPr>
                    <w:t>X</w:t>
                  </w: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shd w:val="clear" w:color="auto" w:fill="auto"/>
                  <w:vAlign w:val="center"/>
                  <w:hideMark/>
                </w:tcPr>
                <w:p w:rsidR="00C60A70" w:rsidRPr="00F9574E" w:rsidRDefault="00C60A70" w:rsidP="00C60A70">
                  <w:pPr>
                    <w:jc w:val="center"/>
                    <w:rPr>
                      <w:iCs/>
                    </w:rPr>
                  </w:pPr>
                  <w:r w:rsidRPr="00F9574E">
                    <w:rPr>
                      <w:iCs/>
                    </w:rPr>
                    <w:t>X</w:t>
                  </w: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5. Precizēta finansiālā ietekme</w:t>
                  </w:r>
                </w:p>
              </w:tc>
              <w:tc>
                <w:tcPr>
                  <w:tcW w:w="615" w:type="pct"/>
                  <w:vMerge w:val="restart"/>
                  <w:shd w:val="clear" w:color="auto" w:fill="auto"/>
                  <w:vAlign w:val="center"/>
                </w:tcPr>
                <w:p w:rsidR="00C60A70" w:rsidRPr="00F9574E" w:rsidRDefault="00C60A70" w:rsidP="00C60A70">
                  <w:pPr>
                    <w:jc w:val="center"/>
                    <w:rPr>
                      <w:iCs/>
                    </w:rPr>
                  </w:pPr>
                  <w:r w:rsidRPr="00F9574E">
                    <w:rPr>
                      <w:iCs/>
                    </w:rPr>
                    <w:t>X</w:t>
                  </w: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center"/>
                  </w:pPr>
                  <w:r>
                    <w:t>0</w:t>
                  </w:r>
                </w:p>
              </w:tc>
              <w:tc>
                <w:tcPr>
                  <w:tcW w:w="547" w:type="pct"/>
                  <w:vMerge w:val="restart"/>
                  <w:shd w:val="clear" w:color="auto" w:fill="auto"/>
                  <w:vAlign w:val="center"/>
                </w:tcPr>
                <w:p w:rsidR="00C60A70" w:rsidRPr="00F9574E" w:rsidRDefault="00C60A70" w:rsidP="00C60A70">
                  <w:pPr>
                    <w:jc w:val="center"/>
                    <w:rPr>
                      <w:iCs/>
                    </w:rPr>
                  </w:pPr>
                  <w:r w:rsidRPr="00F9574E">
                    <w:rPr>
                      <w:iCs/>
                    </w:rPr>
                    <w:t>X</w:t>
                  </w: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vMerge w:val="restart"/>
                  <w:shd w:val="clear" w:color="auto" w:fill="auto"/>
                  <w:vAlign w:val="center"/>
                </w:tcPr>
                <w:p w:rsidR="00C60A70" w:rsidRPr="00F9574E" w:rsidRDefault="00C60A70" w:rsidP="00C60A70">
                  <w:pPr>
                    <w:jc w:val="center"/>
                    <w:rPr>
                      <w:iCs/>
                    </w:rPr>
                  </w:pPr>
                  <w:r w:rsidRPr="00F9574E">
                    <w:rPr>
                      <w:iCs/>
                    </w:rPr>
                    <w:t>X</w:t>
                  </w: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5.1. valsts pamatbudžets</w:t>
                  </w:r>
                </w:p>
              </w:tc>
              <w:tc>
                <w:tcPr>
                  <w:tcW w:w="615" w:type="pct"/>
                  <w:vMerge/>
                  <w:shd w:val="clear" w:color="auto" w:fill="auto"/>
                  <w:vAlign w:val="center"/>
                  <w:hideMark/>
                </w:tcPr>
                <w:p w:rsidR="00C60A70" w:rsidRPr="00F9574E" w:rsidRDefault="00C60A70" w:rsidP="00C60A70">
                  <w:pPr>
                    <w:rPr>
                      <w:iCs/>
                    </w:rPr>
                  </w:pPr>
                </w:p>
              </w:tc>
              <w:tc>
                <w:tcPr>
                  <w:tcW w:w="480" w:type="pct"/>
                  <w:tcBorders>
                    <w:top w:val="outset" w:sz="6" w:space="0" w:color="414142"/>
                    <w:left w:val="outset" w:sz="6" w:space="0" w:color="414142"/>
                    <w:bottom w:val="outset" w:sz="6" w:space="0" w:color="414142"/>
                    <w:right w:val="outset" w:sz="6" w:space="0" w:color="414142"/>
                  </w:tcBorders>
                  <w:vAlign w:val="center"/>
                  <w:hideMark/>
                </w:tcPr>
                <w:p w:rsidR="00C60A70" w:rsidRPr="00F9574E" w:rsidRDefault="00C60A70" w:rsidP="00C60A70">
                  <w:pPr>
                    <w:jc w:val="center"/>
                  </w:pPr>
                  <w:r>
                    <w:t>0</w:t>
                  </w:r>
                </w:p>
              </w:tc>
              <w:tc>
                <w:tcPr>
                  <w:tcW w:w="547" w:type="pct"/>
                  <w:vMerge/>
                  <w:shd w:val="clear" w:color="auto" w:fill="auto"/>
                  <w:vAlign w:val="center"/>
                  <w:hideMark/>
                </w:tcPr>
                <w:p w:rsidR="00C60A70" w:rsidRPr="00F9574E" w:rsidRDefault="00C60A70" w:rsidP="00C60A70">
                  <w:pPr>
                    <w:rPr>
                      <w:iCs/>
                    </w:rPr>
                  </w:pPr>
                </w:p>
              </w:tc>
              <w:tc>
                <w:tcPr>
                  <w:tcW w:w="615" w:type="pct"/>
                  <w:shd w:val="clear" w:color="auto" w:fill="auto"/>
                  <w:vAlign w:val="center"/>
                </w:tcPr>
                <w:p w:rsidR="00C60A70" w:rsidRPr="00F9574E" w:rsidRDefault="00C60A70" w:rsidP="00C60A70">
                  <w:pPr>
                    <w:jc w:val="center"/>
                    <w:rPr>
                      <w:iCs/>
                    </w:rPr>
                  </w:pPr>
                  <w:r w:rsidRPr="004A28D9">
                    <w:rPr>
                      <w:iCs/>
                    </w:rPr>
                    <w:t>76 402</w:t>
                  </w:r>
                </w:p>
              </w:tc>
              <w:tc>
                <w:tcPr>
                  <w:tcW w:w="546" w:type="pct"/>
                  <w:vMerge/>
                  <w:shd w:val="clear" w:color="auto" w:fill="auto"/>
                  <w:vAlign w:val="center"/>
                  <w:hideMark/>
                </w:tcPr>
                <w:p w:rsidR="00C60A70" w:rsidRPr="00F9574E" w:rsidRDefault="00C60A70" w:rsidP="00C60A70">
                  <w:pPr>
                    <w:rPr>
                      <w:iCs/>
                    </w:rPr>
                  </w:pPr>
                </w:p>
              </w:tc>
              <w:tc>
                <w:tcPr>
                  <w:tcW w:w="683" w:type="pct"/>
                  <w:shd w:val="clear" w:color="auto" w:fill="auto"/>
                  <w:vAlign w:val="center"/>
                </w:tcPr>
                <w:p w:rsidR="00C60A70" w:rsidRPr="00F9574E" w:rsidRDefault="00C60A70" w:rsidP="00C60A70">
                  <w:pPr>
                    <w:jc w:val="center"/>
                    <w:rPr>
                      <w:iCs/>
                    </w:rPr>
                  </w:pPr>
                  <w:r w:rsidRPr="004A28D9">
                    <w:rPr>
                      <w:iCs/>
                    </w:rPr>
                    <w:t>76 402</w:t>
                  </w:r>
                </w:p>
              </w:tc>
              <w:tc>
                <w:tcPr>
                  <w:tcW w:w="615" w:type="pct"/>
                  <w:shd w:val="clear" w:color="auto" w:fill="auto"/>
                  <w:vAlign w:val="center"/>
                </w:tcPr>
                <w:p w:rsidR="00C60A70" w:rsidRPr="00F9574E" w:rsidRDefault="00C60A70" w:rsidP="00C60A70">
                  <w:pPr>
                    <w:jc w:val="center"/>
                    <w:rPr>
                      <w:iCs/>
                    </w:rPr>
                  </w:pPr>
                  <w:r w:rsidRPr="004A28D9">
                    <w:rPr>
                      <w:iCs/>
                    </w:rPr>
                    <w:t>76 402</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5.2. speciālais budžets</w:t>
                  </w:r>
                </w:p>
              </w:tc>
              <w:tc>
                <w:tcPr>
                  <w:tcW w:w="615" w:type="pct"/>
                  <w:vMerge/>
                  <w:shd w:val="clear" w:color="auto" w:fill="auto"/>
                  <w:vAlign w:val="center"/>
                  <w:hideMark/>
                </w:tcPr>
                <w:p w:rsidR="00C60A70" w:rsidRPr="00F9574E" w:rsidRDefault="00C60A70" w:rsidP="00C60A70">
                  <w:pPr>
                    <w:rPr>
                      <w:iCs/>
                    </w:rPr>
                  </w:pP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vMerge/>
                  <w:shd w:val="clear" w:color="auto" w:fill="auto"/>
                  <w:vAlign w:val="center"/>
                  <w:hideMark/>
                </w:tcPr>
                <w:p w:rsidR="00C60A70" w:rsidRPr="00F9574E" w:rsidRDefault="00C60A70" w:rsidP="00C60A70">
                  <w:pPr>
                    <w:rPr>
                      <w:iCs/>
                    </w:rPr>
                  </w:pP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vMerge/>
                  <w:shd w:val="clear" w:color="auto" w:fill="auto"/>
                  <w:vAlign w:val="center"/>
                  <w:hideMark/>
                </w:tcPr>
                <w:p w:rsidR="00C60A70" w:rsidRPr="00F9574E" w:rsidRDefault="00C60A70" w:rsidP="00C60A70">
                  <w:pPr>
                    <w:rPr>
                      <w:iCs/>
                    </w:rPr>
                  </w:pP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5.3. pašvaldību budžets</w:t>
                  </w:r>
                </w:p>
              </w:tc>
              <w:tc>
                <w:tcPr>
                  <w:tcW w:w="615" w:type="pct"/>
                  <w:vMerge/>
                  <w:shd w:val="clear" w:color="auto" w:fill="auto"/>
                  <w:vAlign w:val="center"/>
                  <w:hideMark/>
                </w:tcPr>
                <w:p w:rsidR="00C60A70" w:rsidRPr="00F9574E" w:rsidRDefault="00C60A70" w:rsidP="00C60A70">
                  <w:pPr>
                    <w:rPr>
                      <w:iCs/>
                    </w:rPr>
                  </w:pPr>
                </w:p>
              </w:tc>
              <w:tc>
                <w:tcPr>
                  <w:tcW w:w="480" w:type="pct"/>
                  <w:shd w:val="clear" w:color="auto" w:fill="auto"/>
                  <w:vAlign w:val="center"/>
                  <w:hideMark/>
                </w:tcPr>
                <w:p w:rsidR="00C60A70" w:rsidRPr="00F9574E" w:rsidRDefault="00C60A70" w:rsidP="00C60A70">
                  <w:pPr>
                    <w:jc w:val="center"/>
                    <w:rPr>
                      <w:iCs/>
                    </w:rPr>
                  </w:pPr>
                  <w:r w:rsidRPr="00F9574E">
                    <w:rPr>
                      <w:iCs/>
                    </w:rPr>
                    <w:t>0</w:t>
                  </w:r>
                </w:p>
              </w:tc>
              <w:tc>
                <w:tcPr>
                  <w:tcW w:w="547" w:type="pct"/>
                  <w:vMerge/>
                  <w:shd w:val="clear" w:color="auto" w:fill="auto"/>
                  <w:vAlign w:val="center"/>
                  <w:hideMark/>
                </w:tcPr>
                <w:p w:rsidR="00C60A70" w:rsidRPr="00F9574E" w:rsidRDefault="00C60A70" w:rsidP="00C60A70">
                  <w:pPr>
                    <w:rPr>
                      <w:iCs/>
                    </w:rPr>
                  </w:pPr>
                </w:p>
              </w:tc>
              <w:tc>
                <w:tcPr>
                  <w:tcW w:w="615" w:type="pct"/>
                  <w:shd w:val="clear" w:color="auto" w:fill="auto"/>
                  <w:vAlign w:val="center"/>
                  <w:hideMark/>
                </w:tcPr>
                <w:p w:rsidR="00C60A70" w:rsidRPr="00F9574E" w:rsidRDefault="00C60A70" w:rsidP="00C60A70">
                  <w:pPr>
                    <w:jc w:val="center"/>
                    <w:rPr>
                      <w:iCs/>
                    </w:rPr>
                  </w:pPr>
                  <w:r w:rsidRPr="00F9574E">
                    <w:rPr>
                      <w:iCs/>
                    </w:rPr>
                    <w:t>0</w:t>
                  </w:r>
                </w:p>
              </w:tc>
              <w:tc>
                <w:tcPr>
                  <w:tcW w:w="546" w:type="pct"/>
                  <w:vMerge/>
                  <w:shd w:val="clear" w:color="auto" w:fill="auto"/>
                  <w:vAlign w:val="center"/>
                  <w:hideMark/>
                </w:tcPr>
                <w:p w:rsidR="00C60A70" w:rsidRPr="00F9574E" w:rsidRDefault="00C60A70" w:rsidP="00C60A70">
                  <w:pPr>
                    <w:rPr>
                      <w:iCs/>
                    </w:rPr>
                  </w:pPr>
                </w:p>
              </w:tc>
              <w:tc>
                <w:tcPr>
                  <w:tcW w:w="683" w:type="pct"/>
                  <w:shd w:val="clear" w:color="auto" w:fill="auto"/>
                  <w:vAlign w:val="center"/>
                  <w:hideMark/>
                </w:tcPr>
                <w:p w:rsidR="00C60A70" w:rsidRPr="00F9574E" w:rsidRDefault="00C60A70" w:rsidP="00C60A70">
                  <w:pPr>
                    <w:jc w:val="center"/>
                    <w:rPr>
                      <w:iCs/>
                    </w:rPr>
                  </w:pPr>
                  <w:r w:rsidRPr="00F9574E">
                    <w:rPr>
                      <w:iCs/>
                    </w:rPr>
                    <w:t>0</w:t>
                  </w:r>
                </w:p>
              </w:tc>
              <w:tc>
                <w:tcPr>
                  <w:tcW w:w="615" w:type="pct"/>
                  <w:shd w:val="clear" w:color="auto" w:fill="auto"/>
                  <w:vAlign w:val="center"/>
                  <w:hideMark/>
                </w:tcPr>
                <w:p w:rsidR="00C60A70" w:rsidRPr="00F9574E" w:rsidRDefault="00C60A70" w:rsidP="00C60A70">
                  <w:pPr>
                    <w:jc w:val="center"/>
                    <w:rPr>
                      <w:iCs/>
                    </w:rPr>
                  </w:pPr>
                  <w:r w:rsidRPr="00F9574E">
                    <w:rPr>
                      <w:iCs/>
                    </w:rPr>
                    <w:t>0</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6. Detalizēts ieņēmumu un izdevumu aprēķins (ja nepieciešams, detalizētu ieņēmumu un izdevumu aprēķinu var pievienot anotācijas pielikumā)</w:t>
                  </w:r>
                </w:p>
              </w:tc>
              <w:tc>
                <w:tcPr>
                  <w:tcW w:w="4101" w:type="pct"/>
                  <w:gridSpan w:val="7"/>
                  <w:vMerge w:val="restart"/>
                  <w:tcBorders>
                    <w:top w:val="outset" w:sz="6" w:space="0" w:color="414142"/>
                    <w:left w:val="outset" w:sz="6" w:space="0" w:color="414142"/>
                    <w:bottom w:val="outset" w:sz="6" w:space="0" w:color="414142"/>
                    <w:right w:val="outset" w:sz="6" w:space="0" w:color="414142"/>
                  </w:tcBorders>
                  <w:vAlign w:val="center"/>
                </w:tcPr>
                <w:p w:rsidR="00C60A70" w:rsidRPr="00F9574E" w:rsidRDefault="00C60A70" w:rsidP="00C60A70">
                  <w:pPr>
                    <w:jc w:val="both"/>
                    <w:rPr>
                      <w:b/>
                      <w:i/>
                    </w:rPr>
                  </w:pPr>
                  <w:r w:rsidRPr="00F9574E">
                    <w:rPr>
                      <w:b/>
                      <w:i/>
                    </w:rPr>
                    <w:t>Detalizēts ieņēmumu aprēķins:</w:t>
                  </w:r>
                </w:p>
                <w:p w:rsidR="00C60A70" w:rsidRDefault="00C60A70" w:rsidP="00C60A70">
                  <w:pPr>
                    <w:ind w:firstLine="468"/>
                    <w:jc w:val="both"/>
                  </w:pPr>
                  <w:r w:rsidRPr="001D4ED2">
                    <w:t>Saskaņā ar likumu „Par valsts budžetu 2019.gadam” un likumu “Par vidēja termiņa budžeta ietvaru 2019., 2020. un 2021.gadam” valsts budžeta ieņēmumi no naudas sodiem, ko uzliek Valsts policija 2019.gadā un turpmāk katru gadu plānoti 641 391 </w:t>
                  </w:r>
                  <w:proofErr w:type="spellStart"/>
                  <w:r w:rsidRPr="001D4ED2">
                    <w:rPr>
                      <w:i/>
                    </w:rPr>
                    <w:t>euro</w:t>
                  </w:r>
                  <w:proofErr w:type="spellEnd"/>
                  <w:r w:rsidRPr="001D4ED2">
                    <w:rPr>
                      <w:i/>
                    </w:rPr>
                    <w:t xml:space="preserve"> </w:t>
                  </w:r>
                  <w:r w:rsidRPr="001D4ED2">
                    <w:t>apmērā (ieņēmumu klasifikācijas kods 10.1.1.2.).</w:t>
                  </w:r>
                </w:p>
                <w:p w:rsidR="00C60A70" w:rsidRDefault="00C60A70" w:rsidP="00C60A70">
                  <w:pPr>
                    <w:ind w:firstLine="468"/>
                    <w:jc w:val="both"/>
                  </w:pPr>
                  <w:r w:rsidRPr="00D174EB">
                    <w:t xml:space="preserve">Ņemot vērā, ka ar likumprojektu tiek pārņemtas un precizētas </w:t>
                  </w:r>
                  <w:r>
                    <w:t>Kodeksā</w:t>
                  </w:r>
                  <w:r w:rsidRPr="00D174EB">
                    <w:t xml:space="preserve"> iekļautās normas par administratīvajiem pārkāpumiem</w:t>
                  </w:r>
                  <w:r w:rsidRPr="00DB395F">
                    <w:rPr>
                      <w:color w:val="FF0000"/>
                    </w:rPr>
                    <w:t xml:space="preserve"> </w:t>
                  </w:r>
                  <w:r w:rsidRPr="00BD2D61">
                    <w:t>ieroču aprites jomā un soda apmēru piemērošanā kā arī tiek  paaugstināti administratīvās atbildības soda apmēri</w:t>
                  </w:r>
                  <w:r w:rsidRPr="009608E9">
                    <w:rPr>
                      <w:color w:val="FF0000"/>
                    </w:rPr>
                    <w:t xml:space="preserve"> </w:t>
                  </w:r>
                  <w:r w:rsidRPr="009608E9">
                    <w:t xml:space="preserve">tiek prognozēts valsts pamatbudžeta ieņēmumu palielinājums </w:t>
                  </w:r>
                  <w:r>
                    <w:t>76 402 </w:t>
                  </w:r>
                  <w:proofErr w:type="spellStart"/>
                  <w:r w:rsidRPr="00E50349">
                    <w:rPr>
                      <w:i/>
                    </w:rPr>
                    <w:t>euro</w:t>
                  </w:r>
                  <w:proofErr w:type="spellEnd"/>
                  <w:r>
                    <w:t xml:space="preserve"> apmērā 2020.gadā un turpmāk katru gadu.</w:t>
                  </w:r>
                </w:p>
                <w:p w:rsidR="00C60A70" w:rsidRDefault="00C60A70" w:rsidP="00C60A70">
                  <w:pPr>
                    <w:ind w:firstLine="468"/>
                    <w:jc w:val="both"/>
                  </w:pPr>
                </w:p>
                <w:p w:rsidR="00C60A70" w:rsidRPr="001D4ED2" w:rsidRDefault="00C60A70" w:rsidP="00C60A70">
                  <w:pPr>
                    <w:ind w:firstLine="468"/>
                    <w:jc w:val="both"/>
                  </w:pPr>
                  <w:r>
                    <w:t>Plānotā ieņēmumu palielinājuma prognoze pielikumā.</w:t>
                  </w:r>
                </w:p>
                <w:p w:rsidR="00C60A70" w:rsidRPr="00F9574E" w:rsidRDefault="00C60A70" w:rsidP="00C60A70">
                  <w:pPr>
                    <w:pStyle w:val="ListParagraph"/>
                    <w:ind w:left="502"/>
                    <w:rPr>
                      <w:i/>
                    </w:rPr>
                  </w:pP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6.1. detalizēts ieņēmumu aprēķins</w:t>
                  </w:r>
                </w:p>
              </w:tc>
              <w:tc>
                <w:tcPr>
                  <w:tcW w:w="4101" w:type="pct"/>
                  <w:gridSpan w:val="7"/>
                  <w:vMerge/>
                  <w:shd w:val="clear" w:color="auto" w:fill="auto"/>
                  <w:hideMark/>
                </w:tcPr>
                <w:p w:rsidR="00C60A70" w:rsidRPr="00F9574E" w:rsidRDefault="00C60A70" w:rsidP="00C60A70">
                  <w:pPr>
                    <w:rPr>
                      <w:iCs/>
                    </w:rPr>
                  </w:pP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6.2. detalizēts izdevumu aprēķins</w:t>
                  </w:r>
                </w:p>
              </w:tc>
              <w:tc>
                <w:tcPr>
                  <w:tcW w:w="4101" w:type="pct"/>
                  <w:gridSpan w:val="7"/>
                  <w:vMerge/>
                  <w:shd w:val="clear" w:color="auto" w:fill="auto"/>
                  <w:hideMark/>
                </w:tcPr>
                <w:p w:rsidR="00C60A70" w:rsidRPr="00F9574E" w:rsidRDefault="00C60A70" w:rsidP="00C60A70">
                  <w:pPr>
                    <w:rPr>
                      <w:iCs/>
                    </w:rPr>
                  </w:pP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7. Amata vietu skaita izmaiņas</w:t>
                  </w:r>
                </w:p>
              </w:tc>
              <w:tc>
                <w:tcPr>
                  <w:tcW w:w="4101" w:type="pct"/>
                  <w:gridSpan w:val="7"/>
                  <w:shd w:val="clear" w:color="auto" w:fill="auto"/>
                  <w:hideMark/>
                </w:tcPr>
                <w:p w:rsidR="00C60A70" w:rsidRPr="00F9574E" w:rsidRDefault="00C60A70" w:rsidP="00C60A70">
                  <w:pPr>
                    <w:jc w:val="both"/>
                    <w:rPr>
                      <w:iCs/>
                    </w:rPr>
                  </w:pPr>
                  <w:r w:rsidRPr="00F9574E">
                    <w:rPr>
                      <w:iCs/>
                    </w:rPr>
                    <w:t>Projekts šo jomu neskar.</w:t>
                  </w:r>
                </w:p>
              </w:tc>
            </w:tr>
            <w:tr w:rsidR="00C60A70" w:rsidRPr="00F9574E" w:rsidTr="00C60A70">
              <w:trPr>
                <w:gridAfter w:val="1"/>
                <w:wAfter w:w="114" w:type="pct"/>
              </w:trPr>
              <w:tc>
                <w:tcPr>
                  <w:tcW w:w="786" w:type="pct"/>
                  <w:gridSpan w:val="2"/>
                  <w:shd w:val="clear" w:color="auto" w:fill="auto"/>
                  <w:hideMark/>
                </w:tcPr>
                <w:p w:rsidR="00C60A70" w:rsidRPr="00F9574E" w:rsidRDefault="00C60A70" w:rsidP="00C60A70">
                  <w:pPr>
                    <w:rPr>
                      <w:iCs/>
                    </w:rPr>
                  </w:pPr>
                  <w:r w:rsidRPr="00F9574E">
                    <w:rPr>
                      <w:iCs/>
                    </w:rPr>
                    <w:t>8. Cita informācija</w:t>
                  </w:r>
                </w:p>
              </w:tc>
              <w:tc>
                <w:tcPr>
                  <w:tcW w:w="4101" w:type="pct"/>
                  <w:gridSpan w:val="7"/>
                  <w:shd w:val="clear" w:color="auto" w:fill="auto"/>
                </w:tcPr>
                <w:p w:rsidR="00C60A70" w:rsidRPr="00F9574E" w:rsidRDefault="00C60A70" w:rsidP="00C60A70">
                  <w:pPr>
                    <w:spacing w:after="160" w:line="256" w:lineRule="auto"/>
                    <w:jc w:val="both"/>
                  </w:pPr>
                  <w:r>
                    <w:t>Nav.</w:t>
                  </w:r>
                </w:p>
              </w:tc>
            </w:tr>
          </w:tbl>
          <w:p w:rsidR="00C60A70" w:rsidRDefault="00C60A70" w:rsidP="001A46FA"/>
          <w:p w:rsidR="00C60A70" w:rsidRPr="005659E6" w:rsidRDefault="00C60A70" w:rsidP="001A46FA"/>
        </w:tc>
      </w:tr>
      <w:tr w:rsidR="007F26BC" w:rsidRPr="005659E6" w:rsidTr="00C60A70">
        <w:trPr>
          <w:cantSplit/>
        </w:trPr>
        <w:tc>
          <w:tcPr>
            <w:tcW w:w="5000" w:type="pct"/>
            <w:gridSpan w:val="5"/>
            <w:vAlign w:val="center"/>
            <w:hideMark/>
          </w:tcPr>
          <w:p w:rsidR="0036513B" w:rsidRPr="005659E6" w:rsidRDefault="0036513B" w:rsidP="001A46FA">
            <w:pPr>
              <w:jc w:val="center"/>
              <w:rPr>
                <w:b/>
                <w:bCs/>
              </w:rPr>
            </w:pPr>
          </w:p>
          <w:p w:rsidR="007F26BC" w:rsidRPr="005659E6" w:rsidRDefault="007F26BC" w:rsidP="001A46FA">
            <w:pPr>
              <w:jc w:val="center"/>
              <w:rPr>
                <w:b/>
                <w:bCs/>
              </w:rPr>
            </w:pPr>
            <w:r w:rsidRPr="005659E6">
              <w:rPr>
                <w:b/>
                <w:bCs/>
              </w:rPr>
              <w:t>IV. Tiesību akta projekta ietekme uz spēkā esošo tiesību normu sistēmu</w:t>
            </w:r>
          </w:p>
          <w:p w:rsidR="002D5555" w:rsidRPr="005659E6" w:rsidRDefault="00A05177" w:rsidP="00A05177">
            <w:pPr>
              <w:widowControl w:val="0"/>
              <w:tabs>
                <w:tab w:val="left" w:pos="64"/>
                <w:tab w:val="left" w:pos="1134"/>
              </w:tabs>
              <w:ind w:left="64" w:right="96"/>
              <w:jc w:val="center"/>
              <w:rPr>
                <w:b/>
                <w:bCs/>
              </w:rPr>
            </w:pPr>
            <w:r w:rsidRPr="005659E6">
              <w:t>Projekts šo jomu neskar.</w:t>
            </w:r>
          </w:p>
        </w:tc>
      </w:tr>
      <w:tr w:rsidR="007F26BC" w:rsidRPr="005659E6" w:rsidTr="00C60A70">
        <w:trPr>
          <w:cantSplit/>
        </w:trPr>
        <w:tc>
          <w:tcPr>
            <w:tcW w:w="5000" w:type="pct"/>
            <w:gridSpan w:val="5"/>
            <w:vAlign w:val="center"/>
            <w:hideMark/>
          </w:tcPr>
          <w:p w:rsidR="0036513B" w:rsidRPr="005659E6" w:rsidRDefault="00C3612B" w:rsidP="001A46FA">
            <w:pPr>
              <w:jc w:val="center"/>
            </w:pPr>
            <w:r w:rsidRPr="005659E6">
              <w:br w:type="page"/>
            </w:r>
          </w:p>
          <w:p w:rsidR="007F26BC" w:rsidRPr="005659E6" w:rsidRDefault="007F26BC" w:rsidP="001A46FA">
            <w:pPr>
              <w:jc w:val="center"/>
              <w:rPr>
                <w:b/>
                <w:bCs/>
              </w:rPr>
            </w:pPr>
            <w:r w:rsidRPr="005659E6">
              <w:rPr>
                <w:b/>
                <w:bCs/>
              </w:rPr>
              <w:t>V. Tiesību akta projekta atbilstība Latvijas Republikas starptautiskajām saistībām</w:t>
            </w:r>
          </w:p>
        </w:tc>
      </w:tr>
      <w:tr w:rsidR="007F26BC" w:rsidRPr="005659E6" w:rsidTr="00C60A70">
        <w:trPr>
          <w:cantSplit/>
          <w:trHeight w:val="162"/>
        </w:trPr>
        <w:tc>
          <w:tcPr>
            <w:tcW w:w="5000" w:type="pct"/>
            <w:gridSpan w:val="5"/>
          </w:tcPr>
          <w:p w:rsidR="007F26BC" w:rsidRPr="005659E6" w:rsidRDefault="007F26BC" w:rsidP="001A46FA">
            <w:pPr>
              <w:jc w:val="center"/>
            </w:pPr>
            <w:r w:rsidRPr="005659E6">
              <w:t>Projekts šo jomu neskar.</w:t>
            </w:r>
          </w:p>
        </w:tc>
      </w:tr>
      <w:tr w:rsidR="007F26BC" w:rsidRPr="005659E6" w:rsidTr="00C60A70">
        <w:trPr>
          <w:cantSplit/>
        </w:trPr>
        <w:tc>
          <w:tcPr>
            <w:tcW w:w="5000" w:type="pct"/>
            <w:gridSpan w:val="5"/>
            <w:vAlign w:val="center"/>
            <w:hideMark/>
          </w:tcPr>
          <w:p w:rsidR="0036513B" w:rsidRPr="005659E6" w:rsidRDefault="00267834" w:rsidP="00E74811">
            <w:pPr>
              <w:jc w:val="center"/>
            </w:pPr>
            <w:r w:rsidRPr="005659E6">
              <w:br w:type="page"/>
            </w:r>
          </w:p>
          <w:p w:rsidR="007F26BC" w:rsidRPr="005659E6" w:rsidRDefault="007F26BC" w:rsidP="00E74811">
            <w:pPr>
              <w:jc w:val="center"/>
              <w:rPr>
                <w:b/>
                <w:bCs/>
              </w:rPr>
            </w:pPr>
            <w:r w:rsidRPr="005659E6">
              <w:rPr>
                <w:b/>
                <w:bCs/>
              </w:rPr>
              <w:t>VI. Sabiedrības līdzdalība un komunikācijas aktivitātes</w:t>
            </w:r>
          </w:p>
        </w:tc>
      </w:tr>
      <w:tr w:rsidR="008573E8" w:rsidRPr="005659E6" w:rsidTr="00C60A70">
        <w:trPr>
          <w:cantSplit/>
        </w:trPr>
        <w:tc>
          <w:tcPr>
            <w:tcW w:w="617" w:type="pct"/>
            <w:gridSpan w:val="2"/>
            <w:hideMark/>
          </w:tcPr>
          <w:p w:rsidR="007F26BC" w:rsidRPr="005659E6" w:rsidRDefault="007F26BC" w:rsidP="001A46FA">
            <w:pPr>
              <w:jc w:val="center"/>
            </w:pPr>
            <w:r w:rsidRPr="005659E6">
              <w:lastRenderedPageBreak/>
              <w:t>1.</w:t>
            </w:r>
          </w:p>
        </w:tc>
        <w:tc>
          <w:tcPr>
            <w:tcW w:w="1315" w:type="pct"/>
            <w:gridSpan w:val="2"/>
            <w:hideMark/>
          </w:tcPr>
          <w:p w:rsidR="007F26BC" w:rsidRPr="005659E6" w:rsidRDefault="007F26BC" w:rsidP="001A46FA">
            <w:r w:rsidRPr="005659E6">
              <w:t>Plānotās sabiedrības līdzdalības un komunikācijas aktivitātes saistībā ar projektu</w:t>
            </w:r>
          </w:p>
        </w:tc>
        <w:tc>
          <w:tcPr>
            <w:tcW w:w="3068" w:type="pct"/>
            <w:hideMark/>
          </w:tcPr>
          <w:p w:rsidR="007F26BC" w:rsidRPr="005659E6" w:rsidRDefault="009C0FFF" w:rsidP="00DE25DF">
            <w:pPr>
              <w:jc w:val="both"/>
            </w:pPr>
            <w:r w:rsidRPr="005659E6">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8573E8" w:rsidRPr="005659E6" w:rsidTr="00C60A70">
        <w:trPr>
          <w:cantSplit/>
        </w:trPr>
        <w:tc>
          <w:tcPr>
            <w:tcW w:w="617" w:type="pct"/>
            <w:gridSpan w:val="2"/>
            <w:hideMark/>
          </w:tcPr>
          <w:p w:rsidR="007F26BC" w:rsidRPr="005659E6" w:rsidRDefault="007F26BC" w:rsidP="001A46FA">
            <w:pPr>
              <w:jc w:val="center"/>
            </w:pPr>
            <w:r w:rsidRPr="005659E6">
              <w:t>2.</w:t>
            </w:r>
          </w:p>
        </w:tc>
        <w:tc>
          <w:tcPr>
            <w:tcW w:w="1315" w:type="pct"/>
            <w:gridSpan w:val="2"/>
            <w:hideMark/>
          </w:tcPr>
          <w:p w:rsidR="007F26BC" w:rsidRPr="005659E6" w:rsidRDefault="007F26BC" w:rsidP="001A46FA">
            <w:r w:rsidRPr="005659E6">
              <w:t>Sabiedrības līdzdalība projekta izstrādē</w:t>
            </w:r>
          </w:p>
        </w:tc>
        <w:tc>
          <w:tcPr>
            <w:tcW w:w="3068" w:type="pct"/>
            <w:hideMark/>
          </w:tcPr>
          <w:p w:rsidR="007F26BC" w:rsidRPr="005659E6" w:rsidRDefault="009C0FFF" w:rsidP="009C0FFF">
            <w:pPr>
              <w:jc w:val="both"/>
            </w:pPr>
            <w:r w:rsidRPr="005659E6">
              <w:t>Likumprojekts pirms izsludināšanas Valsts sekretāru sanāksmē tika ievietots Iekšlietu ministrijas tīmekļvietnē www.iem.gov.lv sadaļā “Sabiedrības līdzdalība”</w:t>
            </w:r>
            <w:r w:rsidR="005A1224">
              <w:t>, aicinot sabiedrību, rakstveidā</w:t>
            </w:r>
            <w:r w:rsidRPr="005659E6">
              <w:t xml:space="preserve"> izteikt savu viedokli par L</w:t>
            </w:r>
            <w:r w:rsidR="005A1224">
              <w:t xml:space="preserve">ikumprojektu līdz 2019. gada </w:t>
            </w:r>
            <w:proofErr w:type="gramStart"/>
            <w:r w:rsidR="005A1224">
              <w:t>15.novembrim</w:t>
            </w:r>
            <w:bookmarkStart w:id="1" w:name="_GoBack"/>
            <w:bookmarkEnd w:id="1"/>
            <w:proofErr w:type="gramEnd"/>
            <w:r w:rsidRPr="005659E6">
              <w:t xml:space="preserve">. Projekts pēc izsludināšanas Valsts sekretāru sanāksmē būs pieejams Ministru kabineta mājas lapā </w:t>
            </w:r>
            <w:hyperlink r:id="rId8" w:history="1">
              <w:r w:rsidRPr="005659E6">
                <w:rPr>
                  <w:rStyle w:val="Hyperlink"/>
                </w:rPr>
                <w:t>www.mk.gov.lv</w:t>
              </w:r>
            </w:hyperlink>
            <w:r w:rsidRPr="005659E6">
              <w:t xml:space="preserve"> .</w:t>
            </w:r>
          </w:p>
        </w:tc>
      </w:tr>
      <w:tr w:rsidR="008573E8" w:rsidRPr="005659E6" w:rsidTr="00C60A70">
        <w:trPr>
          <w:cantSplit/>
        </w:trPr>
        <w:tc>
          <w:tcPr>
            <w:tcW w:w="617" w:type="pct"/>
            <w:gridSpan w:val="2"/>
            <w:hideMark/>
          </w:tcPr>
          <w:p w:rsidR="007F26BC" w:rsidRPr="005659E6" w:rsidRDefault="007F26BC" w:rsidP="001A46FA">
            <w:pPr>
              <w:jc w:val="center"/>
            </w:pPr>
            <w:r w:rsidRPr="005659E6">
              <w:t>3.</w:t>
            </w:r>
          </w:p>
        </w:tc>
        <w:tc>
          <w:tcPr>
            <w:tcW w:w="1315" w:type="pct"/>
            <w:gridSpan w:val="2"/>
            <w:hideMark/>
          </w:tcPr>
          <w:p w:rsidR="007F26BC" w:rsidRPr="005659E6" w:rsidRDefault="007F26BC" w:rsidP="001A46FA">
            <w:r w:rsidRPr="005659E6">
              <w:t>Sabiedrības līdzdalības rezultāti</w:t>
            </w:r>
          </w:p>
        </w:tc>
        <w:tc>
          <w:tcPr>
            <w:tcW w:w="3068" w:type="pct"/>
            <w:hideMark/>
          </w:tcPr>
          <w:p w:rsidR="007F26BC" w:rsidRPr="005659E6" w:rsidRDefault="009C0FFF" w:rsidP="00DF5DB1">
            <w:r w:rsidRPr="005659E6">
              <w:t>Projekta izstrādes laikā priekšlikumi netika saņemti.</w:t>
            </w:r>
          </w:p>
        </w:tc>
      </w:tr>
      <w:tr w:rsidR="008573E8" w:rsidRPr="005659E6" w:rsidTr="00C60A70">
        <w:trPr>
          <w:cantSplit/>
        </w:trPr>
        <w:tc>
          <w:tcPr>
            <w:tcW w:w="617" w:type="pct"/>
            <w:gridSpan w:val="2"/>
            <w:hideMark/>
          </w:tcPr>
          <w:p w:rsidR="007F26BC" w:rsidRPr="005659E6" w:rsidRDefault="007F26BC" w:rsidP="001A46FA">
            <w:pPr>
              <w:jc w:val="center"/>
            </w:pPr>
            <w:r w:rsidRPr="005659E6">
              <w:t>4.</w:t>
            </w:r>
          </w:p>
        </w:tc>
        <w:tc>
          <w:tcPr>
            <w:tcW w:w="1315" w:type="pct"/>
            <w:gridSpan w:val="2"/>
            <w:hideMark/>
          </w:tcPr>
          <w:p w:rsidR="007F26BC" w:rsidRPr="005659E6" w:rsidRDefault="007F26BC" w:rsidP="001A46FA">
            <w:r w:rsidRPr="005659E6">
              <w:t>Cita informācija</w:t>
            </w:r>
          </w:p>
        </w:tc>
        <w:tc>
          <w:tcPr>
            <w:tcW w:w="3068" w:type="pct"/>
            <w:hideMark/>
          </w:tcPr>
          <w:p w:rsidR="007F26BC" w:rsidRPr="005659E6" w:rsidRDefault="009D3888" w:rsidP="001A46FA">
            <w:r w:rsidRPr="005659E6">
              <w:t>Nav.</w:t>
            </w:r>
          </w:p>
        </w:tc>
      </w:tr>
      <w:tr w:rsidR="007F26BC" w:rsidRPr="005659E6" w:rsidTr="00C60A70">
        <w:trPr>
          <w:cantSplit/>
        </w:trPr>
        <w:tc>
          <w:tcPr>
            <w:tcW w:w="5000" w:type="pct"/>
            <w:gridSpan w:val="5"/>
            <w:vAlign w:val="center"/>
            <w:hideMark/>
          </w:tcPr>
          <w:p w:rsidR="0036513B" w:rsidRPr="005659E6" w:rsidRDefault="0036513B" w:rsidP="001A46FA">
            <w:pPr>
              <w:jc w:val="center"/>
              <w:rPr>
                <w:b/>
                <w:bCs/>
              </w:rPr>
            </w:pPr>
          </w:p>
          <w:p w:rsidR="007F26BC" w:rsidRPr="005659E6" w:rsidRDefault="007F26BC" w:rsidP="001A46FA">
            <w:pPr>
              <w:jc w:val="center"/>
              <w:rPr>
                <w:b/>
                <w:bCs/>
              </w:rPr>
            </w:pPr>
            <w:r w:rsidRPr="005659E6">
              <w:rPr>
                <w:b/>
                <w:bCs/>
              </w:rPr>
              <w:t>VII. Tiesību akta projekta izpildes nodrošināšana un tās ietekme uz institūcijām</w:t>
            </w:r>
          </w:p>
        </w:tc>
      </w:tr>
      <w:tr w:rsidR="008573E8" w:rsidRPr="005659E6" w:rsidTr="00C60A70">
        <w:trPr>
          <w:cantSplit/>
        </w:trPr>
        <w:tc>
          <w:tcPr>
            <w:tcW w:w="617" w:type="pct"/>
            <w:gridSpan w:val="2"/>
            <w:hideMark/>
          </w:tcPr>
          <w:p w:rsidR="007F26BC" w:rsidRPr="005659E6" w:rsidRDefault="007F26BC" w:rsidP="001A46FA">
            <w:pPr>
              <w:jc w:val="center"/>
            </w:pPr>
            <w:r w:rsidRPr="005659E6">
              <w:t>1.</w:t>
            </w:r>
          </w:p>
        </w:tc>
        <w:tc>
          <w:tcPr>
            <w:tcW w:w="1315" w:type="pct"/>
            <w:gridSpan w:val="2"/>
            <w:hideMark/>
          </w:tcPr>
          <w:p w:rsidR="007F26BC" w:rsidRPr="005659E6" w:rsidRDefault="007F26BC" w:rsidP="001A46FA">
            <w:r w:rsidRPr="005659E6">
              <w:t>Projekta izpildē iesaistītās institūcijas</w:t>
            </w:r>
          </w:p>
        </w:tc>
        <w:tc>
          <w:tcPr>
            <w:tcW w:w="3068" w:type="pct"/>
            <w:hideMark/>
          </w:tcPr>
          <w:p w:rsidR="007F26BC" w:rsidRPr="005659E6" w:rsidRDefault="00227DE5" w:rsidP="00D805B1">
            <w:r w:rsidRPr="005659E6">
              <w:t xml:space="preserve"> Valsts policija</w:t>
            </w:r>
            <w:r w:rsidR="00E231B2" w:rsidRPr="005659E6">
              <w:t>.</w:t>
            </w:r>
          </w:p>
        </w:tc>
      </w:tr>
      <w:tr w:rsidR="008573E8" w:rsidRPr="005659E6" w:rsidTr="00C60A70">
        <w:trPr>
          <w:cantSplit/>
        </w:trPr>
        <w:tc>
          <w:tcPr>
            <w:tcW w:w="617" w:type="pct"/>
            <w:gridSpan w:val="2"/>
            <w:hideMark/>
          </w:tcPr>
          <w:p w:rsidR="007F26BC" w:rsidRPr="005659E6" w:rsidRDefault="007F26BC" w:rsidP="001A46FA">
            <w:pPr>
              <w:jc w:val="center"/>
            </w:pPr>
            <w:r w:rsidRPr="005659E6">
              <w:t>2.</w:t>
            </w:r>
          </w:p>
        </w:tc>
        <w:tc>
          <w:tcPr>
            <w:tcW w:w="1315" w:type="pct"/>
            <w:gridSpan w:val="2"/>
            <w:hideMark/>
          </w:tcPr>
          <w:p w:rsidR="007F26BC" w:rsidRPr="005659E6" w:rsidRDefault="007F26BC" w:rsidP="001A46FA">
            <w:r w:rsidRPr="005659E6">
              <w:t>Projekta izpildes ietekme uz pārvaldes funkcijām un institucionālo struktūru.</w:t>
            </w:r>
            <w:r w:rsidRPr="005659E6">
              <w:br/>
              <w:t>Jaunu institūciju izveide, esošu institūciju likvidācija vai reorganizācija, to ietekme uz institūcijas cilvēkresursiem</w:t>
            </w:r>
          </w:p>
        </w:tc>
        <w:tc>
          <w:tcPr>
            <w:tcW w:w="3068" w:type="pct"/>
            <w:hideMark/>
          </w:tcPr>
          <w:p w:rsidR="00227DE5" w:rsidRPr="005659E6" w:rsidRDefault="00227DE5" w:rsidP="00227DE5">
            <w:pPr>
              <w:jc w:val="both"/>
            </w:pPr>
            <w:r w:rsidRPr="005659E6">
              <w:t>Ar Likumprojektu jaunas funkcijas un uzdevumi netiek radīti.</w:t>
            </w:r>
          </w:p>
          <w:p w:rsidR="00227DE5" w:rsidRPr="005659E6" w:rsidRDefault="00227DE5" w:rsidP="00227DE5">
            <w:pPr>
              <w:jc w:val="both"/>
            </w:pPr>
            <w:r w:rsidRPr="005659E6">
              <w:t>Jaunas institūcijas netiek veidotas.</w:t>
            </w:r>
          </w:p>
          <w:p w:rsidR="007F26BC" w:rsidRPr="005659E6" w:rsidRDefault="007F26BC" w:rsidP="00227DE5">
            <w:pPr>
              <w:jc w:val="both"/>
            </w:pPr>
          </w:p>
        </w:tc>
      </w:tr>
      <w:tr w:rsidR="008573E8" w:rsidRPr="005659E6" w:rsidTr="00C60A70">
        <w:trPr>
          <w:cantSplit/>
        </w:trPr>
        <w:tc>
          <w:tcPr>
            <w:tcW w:w="617" w:type="pct"/>
            <w:gridSpan w:val="2"/>
            <w:hideMark/>
          </w:tcPr>
          <w:p w:rsidR="007F26BC" w:rsidRPr="005659E6" w:rsidRDefault="007F26BC" w:rsidP="001A46FA">
            <w:pPr>
              <w:jc w:val="center"/>
            </w:pPr>
            <w:r w:rsidRPr="005659E6">
              <w:t>3.</w:t>
            </w:r>
          </w:p>
        </w:tc>
        <w:tc>
          <w:tcPr>
            <w:tcW w:w="1315" w:type="pct"/>
            <w:gridSpan w:val="2"/>
            <w:hideMark/>
          </w:tcPr>
          <w:p w:rsidR="007F26BC" w:rsidRPr="005659E6" w:rsidRDefault="007F26BC" w:rsidP="001A46FA">
            <w:r w:rsidRPr="005659E6">
              <w:t>Cita informācija</w:t>
            </w:r>
          </w:p>
        </w:tc>
        <w:tc>
          <w:tcPr>
            <w:tcW w:w="3068" w:type="pct"/>
            <w:hideMark/>
          </w:tcPr>
          <w:p w:rsidR="007F26BC" w:rsidRPr="005659E6" w:rsidRDefault="00227DE5" w:rsidP="001A46FA">
            <w:r w:rsidRPr="005659E6">
              <w:t xml:space="preserve"> Nav.</w:t>
            </w:r>
          </w:p>
        </w:tc>
      </w:tr>
    </w:tbl>
    <w:p w:rsidR="00E231B2" w:rsidRPr="005659E6" w:rsidRDefault="00E231B2" w:rsidP="007F26BC">
      <w:pPr>
        <w:tabs>
          <w:tab w:val="left" w:pos="6521"/>
        </w:tabs>
        <w:jc w:val="both"/>
      </w:pPr>
    </w:p>
    <w:p w:rsidR="007F26BC" w:rsidRPr="005659E6" w:rsidRDefault="007F26BC" w:rsidP="007F26BC">
      <w:pPr>
        <w:tabs>
          <w:tab w:val="left" w:pos="6521"/>
        </w:tabs>
        <w:jc w:val="both"/>
      </w:pPr>
      <w:r w:rsidRPr="005659E6">
        <w:t>Iekšlietu ministrs</w:t>
      </w:r>
      <w:r w:rsidRPr="005659E6">
        <w:tab/>
      </w:r>
      <w:r w:rsidR="00E231B2" w:rsidRPr="005659E6">
        <w:t>S</w:t>
      </w:r>
      <w:r w:rsidR="00B24359" w:rsidRPr="005659E6">
        <w:t xml:space="preserve">andis </w:t>
      </w:r>
      <w:proofErr w:type="spellStart"/>
      <w:r w:rsidR="00E231B2" w:rsidRPr="005659E6">
        <w:t>Ģirģens</w:t>
      </w:r>
      <w:proofErr w:type="spellEnd"/>
    </w:p>
    <w:p w:rsidR="00E231B2" w:rsidRPr="005659E6" w:rsidRDefault="00E231B2" w:rsidP="007F26BC">
      <w:pPr>
        <w:tabs>
          <w:tab w:val="left" w:pos="6521"/>
        </w:tabs>
        <w:jc w:val="both"/>
      </w:pPr>
    </w:p>
    <w:p w:rsidR="009D3888" w:rsidRPr="005659E6" w:rsidRDefault="009D3888" w:rsidP="007F26BC">
      <w:pPr>
        <w:tabs>
          <w:tab w:val="left" w:pos="6521"/>
        </w:tabs>
        <w:jc w:val="both"/>
      </w:pPr>
    </w:p>
    <w:p w:rsidR="009D3888" w:rsidRPr="005659E6" w:rsidRDefault="009D3888" w:rsidP="007F26BC">
      <w:pPr>
        <w:tabs>
          <w:tab w:val="left" w:pos="6521"/>
        </w:tabs>
        <w:jc w:val="both"/>
      </w:pPr>
    </w:p>
    <w:p w:rsidR="007F26BC" w:rsidRPr="005659E6" w:rsidRDefault="007F26BC" w:rsidP="00877B15">
      <w:pPr>
        <w:pStyle w:val="naisf"/>
        <w:rPr>
          <w:szCs w:val="24"/>
        </w:rPr>
      </w:pPr>
      <w:r w:rsidRPr="005659E6">
        <w:rPr>
          <w:szCs w:val="24"/>
        </w:rPr>
        <w:t>Vīza: valsts sekretārs</w:t>
      </w:r>
      <w:r w:rsidRPr="005659E6">
        <w:rPr>
          <w:szCs w:val="24"/>
        </w:rPr>
        <w:tab/>
      </w:r>
      <w:r w:rsidRPr="005659E6">
        <w:rPr>
          <w:szCs w:val="24"/>
        </w:rPr>
        <w:tab/>
      </w:r>
      <w:r w:rsidRPr="005659E6">
        <w:rPr>
          <w:szCs w:val="24"/>
        </w:rPr>
        <w:tab/>
        <w:t xml:space="preserve"> </w:t>
      </w:r>
      <w:r w:rsidRPr="005659E6">
        <w:rPr>
          <w:szCs w:val="24"/>
        </w:rPr>
        <w:tab/>
      </w:r>
      <w:r w:rsidRPr="005659E6">
        <w:rPr>
          <w:szCs w:val="24"/>
        </w:rPr>
        <w:tab/>
      </w:r>
      <w:r w:rsidRPr="005659E6">
        <w:rPr>
          <w:szCs w:val="24"/>
        </w:rPr>
        <w:tab/>
      </w:r>
      <w:r w:rsidR="00C37AE0" w:rsidRPr="005659E6">
        <w:rPr>
          <w:szCs w:val="24"/>
        </w:rPr>
        <w:t xml:space="preserve">            </w:t>
      </w:r>
      <w:r w:rsidR="00B24359" w:rsidRPr="005659E6">
        <w:rPr>
          <w:szCs w:val="24"/>
        </w:rPr>
        <w:t xml:space="preserve">Dimitrijs </w:t>
      </w:r>
      <w:r w:rsidRPr="005659E6">
        <w:rPr>
          <w:szCs w:val="24"/>
        </w:rPr>
        <w:t>Trofimovs</w:t>
      </w:r>
    </w:p>
    <w:sectPr w:rsidR="007F26BC" w:rsidRPr="005659E6" w:rsidSect="00877B15">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7C" w:rsidRDefault="0068317C" w:rsidP="007F26BC">
      <w:r>
        <w:separator/>
      </w:r>
    </w:p>
  </w:endnote>
  <w:endnote w:type="continuationSeparator" w:id="0">
    <w:p w:rsidR="0068317C" w:rsidRDefault="0068317C" w:rsidP="007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C9" w:rsidRPr="004A24D2" w:rsidRDefault="005B62BC" w:rsidP="00316C53">
    <w:pPr>
      <w:pStyle w:val="Footer"/>
      <w:jc w:val="both"/>
      <w:rPr>
        <w:sz w:val="20"/>
        <w:szCs w:val="20"/>
      </w:rPr>
    </w:pPr>
    <w:r>
      <w:rPr>
        <w:sz w:val="20"/>
        <w:szCs w:val="20"/>
      </w:rPr>
      <w:t>IEManot_</w:t>
    </w:r>
    <w:r w:rsidR="00C217F4">
      <w:rPr>
        <w:sz w:val="20"/>
        <w:szCs w:val="20"/>
      </w:rPr>
      <w:t>111</w:t>
    </w:r>
    <w:r w:rsidR="009C0FFF">
      <w:rPr>
        <w:sz w:val="20"/>
        <w:szCs w:val="20"/>
      </w:rPr>
      <w:t>19</w:t>
    </w:r>
    <w:r>
      <w:rPr>
        <w:sz w:val="20"/>
        <w:szCs w:val="20"/>
      </w:rPr>
      <w:t>_IAL_kod</w:t>
    </w:r>
  </w:p>
  <w:p w:rsidR="009C30C9" w:rsidRPr="00316C53" w:rsidRDefault="009C30C9" w:rsidP="00316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BC" w:rsidRPr="004A24D2" w:rsidRDefault="008A6479" w:rsidP="005B62BC">
    <w:pPr>
      <w:pStyle w:val="Footer"/>
      <w:jc w:val="both"/>
      <w:rPr>
        <w:sz w:val="20"/>
        <w:szCs w:val="20"/>
      </w:rPr>
    </w:pPr>
    <w:r>
      <w:rPr>
        <w:sz w:val="20"/>
        <w:szCs w:val="20"/>
      </w:rPr>
      <w:t>IEManot_</w:t>
    </w:r>
    <w:r w:rsidR="00C217F4">
      <w:rPr>
        <w:sz w:val="20"/>
        <w:szCs w:val="20"/>
      </w:rPr>
      <w:t>1111</w:t>
    </w:r>
    <w:r w:rsidR="005B62BC">
      <w:rPr>
        <w:sz w:val="20"/>
        <w:szCs w:val="20"/>
      </w:rPr>
      <w:t>19_IAL_kod</w:t>
    </w:r>
  </w:p>
  <w:p w:rsidR="009C30C9" w:rsidRPr="00B40F00" w:rsidRDefault="009C30C9" w:rsidP="00B40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7C" w:rsidRDefault="0068317C" w:rsidP="007F26BC">
      <w:r>
        <w:separator/>
      </w:r>
    </w:p>
  </w:footnote>
  <w:footnote w:type="continuationSeparator" w:id="0">
    <w:p w:rsidR="0068317C" w:rsidRDefault="0068317C" w:rsidP="007F2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9C30C9" w:rsidRDefault="009C30C9">
        <w:pPr>
          <w:pStyle w:val="Header"/>
          <w:jc w:val="center"/>
        </w:pPr>
        <w:r>
          <w:fldChar w:fldCharType="begin"/>
        </w:r>
        <w:r>
          <w:instrText xml:space="preserve"> PAGE   \* MERGEFORMAT </w:instrText>
        </w:r>
        <w:r>
          <w:fldChar w:fldCharType="separate"/>
        </w:r>
        <w:r w:rsidR="005A1224">
          <w:rPr>
            <w:noProof/>
          </w:rPr>
          <w:t>12</w:t>
        </w:r>
        <w:r>
          <w:rPr>
            <w:noProof/>
          </w:rPr>
          <w:fldChar w:fldCharType="end"/>
        </w:r>
      </w:p>
    </w:sdtContent>
  </w:sdt>
  <w:p w:rsidR="009C30C9" w:rsidRDefault="009C3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194"/>
    <w:multiLevelType w:val="multilevel"/>
    <w:tmpl w:val="0684584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6DA06BC"/>
    <w:multiLevelType w:val="hybridMultilevel"/>
    <w:tmpl w:val="056EBD9A"/>
    <w:lvl w:ilvl="0" w:tplc="3AFAF77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7C41EAB"/>
    <w:multiLevelType w:val="multilevel"/>
    <w:tmpl w:val="9572B2EE"/>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 w15:restartNumberingAfterBreak="0">
    <w:nsid w:val="07D647A1"/>
    <w:multiLevelType w:val="multilevel"/>
    <w:tmpl w:val="50A41F56"/>
    <w:lvl w:ilvl="0">
      <w:start w:val="1"/>
      <w:numFmt w:val="decimal"/>
      <w:lvlText w:val="%1)"/>
      <w:lvlJc w:val="left"/>
      <w:pPr>
        <w:ind w:left="1515" w:hanging="360"/>
      </w:pPr>
      <w:rPr>
        <w:i w:val="0"/>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15:restartNumberingAfterBreak="0">
    <w:nsid w:val="0A3669E9"/>
    <w:multiLevelType w:val="multilevel"/>
    <w:tmpl w:val="9B7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54521"/>
    <w:multiLevelType w:val="multilevel"/>
    <w:tmpl w:val="DCEAAC2C"/>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6F26CD"/>
    <w:multiLevelType w:val="multilevel"/>
    <w:tmpl w:val="222C4A80"/>
    <w:lvl w:ilvl="0">
      <w:start w:val="1"/>
      <w:numFmt w:val="decimal"/>
      <w:lvlText w:val="%1)"/>
      <w:lvlJc w:val="left"/>
      <w:pPr>
        <w:ind w:left="1636" w:hanging="360"/>
      </w:pPr>
      <w:rPr>
        <w:rFonts w:ascii="Times New Roman" w:hAnsi="Times New Roman" w:cs="Times New Roman" w:hint="default"/>
        <w:color w:val="auto"/>
        <w:sz w:val="28"/>
        <w:szCs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15:restartNumberingAfterBreak="0">
    <w:nsid w:val="18BD32A5"/>
    <w:multiLevelType w:val="hybridMultilevel"/>
    <w:tmpl w:val="682615DE"/>
    <w:lvl w:ilvl="0" w:tplc="0426000F">
      <w:start w:val="1"/>
      <w:numFmt w:val="decimal"/>
      <w:lvlText w:val="%1."/>
      <w:lvlJc w:val="left"/>
      <w:pPr>
        <w:ind w:left="1331" w:hanging="360"/>
      </w:p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8" w15:restartNumberingAfterBreak="0">
    <w:nsid w:val="1ACA75BF"/>
    <w:multiLevelType w:val="multilevel"/>
    <w:tmpl w:val="479E0B54"/>
    <w:lvl w:ilvl="0">
      <w:start w:val="1"/>
      <w:numFmt w:val="decimal"/>
      <w:lvlText w:val="%1."/>
      <w:lvlJc w:val="left"/>
      <w:pPr>
        <w:ind w:left="2062"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9" w15:restartNumberingAfterBreak="0">
    <w:nsid w:val="29C93BDC"/>
    <w:multiLevelType w:val="hybridMultilevel"/>
    <w:tmpl w:val="4F7217C0"/>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CB18A2"/>
    <w:multiLevelType w:val="hybridMultilevel"/>
    <w:tmpl w:val="B900D1D8"/>
    <w:lvl w:ilvl="0" w:tplc="FE20A89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680914"/>
    <w:multiLevelType w:val="multilevel"/>
    <w:tmpl w:val="0782831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15:restartNumberingAfterBreak="0">
    <w:nsid w:val="2F0B793F"/>
    <w:multiLevelType w:val="multilevel"/>
    <w:tmpl w:val="4F7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507AF"/>
    <w:multiLevelType w:val="multilevel"/>
    <w:tmpl w:val="F4BED660"/>
    <w:lvl w:ilvl="0">
      <w:start w:val="1"/>
      <w:numFmt w:val="decimal"/>
      <w:lvlText w:val="%1)"/>
      <w:lvlJc w:val="left"/>
      <w:pPr>
        <w:ind w:left="2345" w:hanging="360"/>
      </w:pPr>
      <w:rPr>
        <w:rFonts w:ascii="Times New Roman" w:hAnsi="Times New Roman" w:cs="Times New Roman"/>
        <w:b w:val="0"/>
        <w:i w:val="0"/>
        <w:sz w:val="28"/>
        <w:szCs w:val="2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0712AF5"/>
    <w:multiLevelType w:val="multilevel"/>
    <w:tmpl w:val="76144048"/>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391405A3"/>
    <w:multiLevelType w:val="hybridMultilevel"/>
    <w:tmpl w:val="DD76B0DC"/>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0F595A"/>
    <w:multiLevelType w:val="hybridMultilevel"/>
    <w:tmpl w:val="906E61F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4E7E21"/>
    <w:multiLevelType w:val="hybridMultilevel"/>
    <w:tmpl w:val="3822EB76"/>
    <w:lvl w:ilvl="0" w:tplc="BDA2AA00">
      <w:numFmt w:val="bullet"/>
      <w:lvlText w:val="-"/>
      <w:lvlJc w:val="left"/>
      <w:pPr>
        <w:ind w:left="852" w:hanging="360"/>
      </w:pPr>
      <w:rPr>
        <w:rFonts w:ascii="Times New Roman" w:eastAsia="Times New Roman"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8" w15:restartNumberingAfterBreak="0">
    <w:nsid w:val="45ED4A5D"/>
    <w:multiLevelType w:val="multilevel"/>
    <w:tmpl w:val="49B895E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46613C39"/>
    <w:multiLevelType w:val="multilevel"/>
    <w:tmpl w:val="4DFAE20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4C5B77F2"/>
    <w:multiLevelType w:val="multilevel"/>
    <w:tmpl w:val="9502F298"/>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21" w15:restartNumberingAfterBreak="0">
    <w:nsid w:val="516E3F48"/>
    <w:multiLevelType w:val="hybridMultilevel"/>
    <w:tmpl w:val="6F0C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5815A4"/>
    <w:multiLevelType w:val="hybridMultilevel"/>
    <w:tmpl w:val="C78E2676"/>
    <w:lvl w:ilvl="0" w:tplc="0504C878">
      <w:start w:val="1"/>
      <w:numFmt w:val="bullet"/>
      <w:lvlText w:val="•"/>
      <w:lvlJc w:val="left"/>
      <w:pPr>
        <w:tabs>
          <w:tab w:val="num" w:pos="720"/>
        </w:tabs>
        <w:ind w:left="720" w:hanging="360"/>
      </w:pPr>
      <w:rPr>
        <w:rFonts w:ascii="Arial" w:hAnsi="Arial" w:hint="default"/>
      </w:rPr>
    </w:lvl>
    <w:lvl w:ilvl="1" w:tplc="3E5A7B08" w:tentative="1">
      <w:start w:val="1"/>
      <w:numFmt w:val="bullet"/>
      <w:lvlText w:val="•"/>
      <w:lvlJc w:val="left"/>
      <w:pPr>
        <w:tabs>
          <w:tab w:val="num" w:pos="1440"/>
        </w:tabs>
        <w:ind w:left="1440" w:hanging="360"/>
      </w:pPr>
      <w:rPr>
        <w:rFonts w:ascii="Arial" w:hAnsi="Arial" w:hint="default"/>
      </w:rPr>
    </w:lvl>
    <w:lvl w:ilvl="2" w:tplc="7710FC36" w:tentative="1">
      <w:start w:val="1"/>
      <w:numFmt w:val="bullet"/>
      <w:lvlText w:val="•"/>
      <w:lvlJc w:val="left"/>
      <w:pPr>
        <w:tabs>
          <w:tab w:val="num" w:pos="2160"/>
        </w:tabs>
        <w:ind w:left="2160" w:hanging="360"/>
      </w:pPr>
      <w:rPr>
        <w:rFonts w:ascii="Arial" w:hAnsi="Arial" w:hint="default"/>
      </w:rPr>
    </w:lvl>
    <w:lvl w:ilvl="3" w:tplc="36D601F6" w:tentative="1">
      <w:start w:val="1"/>
      <w:numFmt w:val="bullet"/>
      <w:lvlText w:val="•"/>
      <w:lvlJc w:val="left"/>
      <w:pPr>
        <w:tabs>
          <w:tab w:val="num" w:pos="2880"/>
        </w:tabs>
        <w:ind w:left="2880" w:hanging="360"/>
      </w:pPr>
      <w:rPr>
        <w:rFonts w:ascii="Arial" w:hAnsi="Arial" w:hint="default"/>
      </w:rPr>
    </w:lvl>
    <w:lvl w:ilvl="4" w:tplc="81202250" w:tentative="1">
      <w:start w:val="1"/>
      <w:numFmt w:val="bullet"/>
      <w:lvlText w:val="•"/>
      <w:lvlJc w:val="left"/>
      <w:pPr>
        <w:tabs>
          <w:tab w:val="num" w:pos="3600"/>
        </w:tabs>
        <w:ind w:left="3600" w:hanging="360"/>
      </w:pPr>
      <w:rPr>
        <w:rFonts w:ascii="Arial" w:hAnsi="Arial" w:hint="default"/>
      </w:rPr>
    </w:lvl>
    <w:lvl w:ilvl="5" w:tplc="AB7EB4AC" w:tentative="1">
      <w:start w:val="1"/>
      <w:numFmt w:val="bullet"/>
      <w:lvlText w:val="•"/>
      <w:lvlJc w:val="left"/>
      <w:pPr>
        <w:tabs>
          <w:tab w:val="num" w:pos="4320"/>
        </w:tabs>
        <w:ind w:left="4320" w:hanging="360"/>
      </w:pPr>
      <w:rPr>
        <w:rFonts w:ascii="Arial" w:hAnsi="Arial" w:hint="default"/>
      </w:rPr>
    </w:lvl>
    <w:lvl w:ilvl="6" w:tplc="BE1CB3E0" w:tentative="1">
      <w:start w:val="1"/>
      <w:numFmt w:val="bullet"/>
      <w:lvlText w:val="•"/>
      <w:lvlJc w:val="left"/>
      <w:pPr>
        <w:tabs>
          <w:tab w:val="num" w:pos="5040"/>
        </w:tabs>
        <w:ind w:left="5040" w:hanging="360"/>
      </w:pPr>
      <w:rPr>
        <w:rFonts w:ascii="Arial" w:hAnsi="Arial" w:hint="default"/>
      </w:rPr>
    </w:lvl>
    <w:lvl w:ilvl="7" w:tplc="4D9A8EAC" w:tentative="1">
      <w:start w:val="1"/>
      <w:numFmt w:val="bullet"/>
      <w:lvlText w:val="•"/>
      <w:lvlJc w:val="left"/>
      <w:pPr>
        <w:tabs>
          <w:tab w:val="num" w:pos="5760"/>
        </w:tabs>
        <w:ind w:left="5760" w:hanging="360"/>
      </w:pPr>
      <w:rPr>
        <w:rFonts w:ascii="Arial" w:hAnsi="Arial" w:hint="default"/>
      </w:rPr>
    </w:lvl>
    <w:lvl w:ilvl="8" w:tplc="CD54BB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6879E3"/>
    <w:multiLevelType w:val="hybridMultilevel"/>
    <w:tmpl w:val="753E7034"/>
    <w:lvl w:ilvl="0" w:tplc="EDB03608">
      <w:start w:val="1"/>
      <w:numFmt w:val="bullet"/>
      <w:lvlText w:val=""/>
      <w:lvlJc w:val="left"/>
      <w:pPr>
        <w:tabs>
          <w:tab w:val="num" w:pos="720"/>
        </w:tabs>
        <w:ind w:left="720" w:hanging="360"/>
      </w:pPr>
      <w:rPr>
        <w:rFonts w:ascii="Wingdings" w:hAnsi="Wingdings" w:hint="default"/>
      </w:rPr>
    </w:lvl>
    <w:lvl w:ilvl="1" w:tplc="6290B74C" w:tentative="1">
      <w:start w:val="1"/>
      <w:numFmt w:val="bullet"/>
      <w:lvlText w:val=""/>
      <w:lvlJc w:val="left"/>
      <w:pPr>
        <w:tabs>
          <w:tab w:val="num" w:pos="1440"/>
        </w:tabs>
        <w:ind w:left="1440" w:hanging="360"/>
      </w:pPr>
      <w:rPr>
        <w:rFonts w:ascii="Wingdings" w:hAnsi="Wingdings" w:hint="default"/>
      </w:rPr>
    </w:lvl>
    <w:lvl w:ilvl="2" w:tplc="7924FB22">
      <w:start w:val="278"/>
      <w:numFmt w:val="bullet"/>
      <w:lvlText w:val=""/>
      <w:lvlJc w:val="left"/>
      <w:pPr>
        <w:tabs>
          <w:tab w:val="num" w:pos="2160"/>
        </w:tabs>
        <w:ind w:left="2160" w:hanging="360"/>
      </w:pPr>
      <w:rPr>
        <w:rFonts w:ascii="Wingdings" w:hAnsi="Wingdings" w:hint="default"/>
      </w:rPr>
    </w:lvl>
    <w:lvl w:ilvl="3" w:tplc="068C8776" w:tentative="1">
      <w:start w:val="1"/>
      <w:numFmt w:val="bullet"/>
      <w:lvlText w:val=""/>
      <w:lvlJc w:val="left"/>
      <w:pPr>
        <w:tabs>
          <w:tab w:val="num" w:pos="2880"/>
        </w:tabs>
        <w:ind w:left="2880" w:hanging="360"/>
      </w:pPr>
      <w:rPr>
        <w:rFonts w:ascii="Wingdings" w:hAnsi="Wingdings" w:hint="default"/>
      </w:rPr>
    </w:lvl>
    <w:lvl w:ilvl="4" w:tplc="37CABE66" w:tentative="1">
      <w:start w:val="1"/>
      <w:numFmt w:val="bullet"/>
      <w:lvlText w:val=""/>
      <w:lvlJc w:val="left"/>
      <w:pPr>
        <w:tabs>
          <w:tab w:val="num" w:pos="3600"/>
        </w:tabs>
        <w:ind w:left="3600" w:hanging="360"/>
      </w:pPr>
      <w:rPr>
        <w:rFonts w:ascii="Wingdings" w:hAnsi="Wingdings" w:hint="default"/>
      </w:rPr>
    </w:lvl>
    <w:lvl w:ilvl="5" w:tplc="DC380C1E" w:tentative="1">
      <w:start w:val="1"/>
      <w:numFmt w:val="bullet"/>
      <w:lvlText w:val=""/>
      <w:lvlJc w:val="left"/>
      <w:pPr>
        <w:tabs>
          <w:tab w:val="num" w:pos="4320"/>
        </w:tabs>
        <w:ind w:left="4320" w:hanging="360"/>
      </w:pPr>
      <w:rPr>
        <w:rFonts w:ascii="Wingdings" w:hAnsi="Wingdings" w:hint="default"/>
      </w:rPr>
    </w:lvl>
    <w:lvl w:ilvl="6" w:tplc="19C024EE" w:tentative="1">
      <w:start w:val="1"/>
      <w:numFmt w:val="bullet"/>
      <w:lvlText w:val=""/>
      <w:lvlJc w:val="left"/>
      <w:pPr>
        <w:tabs>
          <w:tab w:val="num" w:pos="5040"/>
        </w:tabs>
        <w:ind w:left="5040" w:hanging="360"/>
      </w:pPr>
      <w:rPr>
        <w:rFonts w:ascii="Wingdings" w:hAnsi="Wingdings" w:hint="default"/>
      </w:rPr>
    </w:lvl>
    <w:lvl w:ilvl="7" w:tplc="1E7AB022" w:tentative="1">
      <w:start w:val="1"/>
      <w:numFmt w:val="bullet"/>
      <w:lvlText w:val=""/>
      <w:lvlJc w:val="left"/>
      <w:pPr>
        <w:tabs>
          <w:tab w:val="num" w:pos="5760"/>
        </w:tabs>
        <w:ind w:left="5760" w:hanging="360"/>
      </w:pPr>
      <w:rPr>
        <w:rFonts w:ascii="Wingdings" w:hAnsi="Wingdings" w:hint="default"/>
      </w:rPr>
    </w:lvl>
    <w:lvl w:ilvl="8" w:tplc="9A1C98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138F6"/>
    <w:multiLevelType w:val="hybridMultilevel"/>
    <w:tmpl w:val="2910B4CC"/>
    <w:lvl w:ilvl="0" w:tplc="6A3CEA34">
      <w:start w:val="1"/>
      <w:numFmt w:val="decimal"/>
      <w:lvlText w:val="%1."/>
      <w:lvlJc w:val="left"/>
      <w:pPr>
        <w:ind w:left="1257" w:hanging="360"/>
      </w:pPr>
      <w:rPr>
        <w:color w:val="0D0D0D"/>
      </w:rPr>
    </w:lvl>
    <w:lvl w:ilvl="1" w:tplc="04260019" w:tentative="1">
      <w:start w:val="1"/>
      <w:numFmt w:val="lowerLetter"/>
      <w:lvlText w:val="%2."/>
      <w:lvlJc w:val="left"/>
      <w:pPr>
        <w:ind w:left="1977" w:hanging="360"/>
      </w:pPr>
    </w:lvl>
    <w:lvl w:ilvl="2" w:tplc="0426001B" w:tentative="1">
      <w:start w:val="1"/>
      <w:numFmt w:val="lowerRoman"/>
      <w:lvlText w:val="%3."/>
      <w:lvlJc w:val="right"/>
      <w:pPr>
        <w:ind w:left="2697" w:hanging="180"/>
      </w:pPr>
    </w:lvl>
    <w:lvl w:ilvl="3" w:tplc="0426000F" w:tentative="1">
      <w:start w:val="1"/>
      <w:numFmt w:val="decimal"/>
      <w:lvlText w:val="%4."/>
      <w:lvlJc w:val="left"/>
      <w:pPr>
        <w:ind w:left="3417" w:hanging="360"/>
      </w:pPr>
    </w:lvl>
    <w:lvl w:ilvl="4" w:tplc="04260019" w:tentative="1">
      <w:start w:val="1"/>
      <w:numFmt w:val="lowerLetter"/>
      <w:lvlText w:val="%5."/>
      <w:lvlJc w:val="left"/>
      <w:pPr>
        <w:ind w:left="4137" w:hanging="360"/>
      </w:pPr>
    </w:lvl>
    <w:lvl w:ilvl="5" w:tplc="0426001B" w:tentative="1">
      <w:start w:val="1"/>
      <w:numFmt w:val="lowerRoman"/>
      <w:lvlText w:val="%6."/>
      <w:lvlJc w:val="right"/>
      <w:pPr>
        <w:ind w:left="4857" w:hanging="180"/>
      </w:pPr>
    </w:lvl>
    <w:lvl w:ilvl="6" w:tplc="0426000F" w:tentative="1">
      <w:start w:val="1"/>
      <w:numFmt w:val="decimal"/>
      <w:lvlText w:val="%7."/>
      <w:lvlJc w:val="left"/>
      <w:pPr>
        <w:ind w:left="5577" w:hanging="360"/>
      </w:pPr>
    </w:lvl>
    <w:lvl w:ilvl="7" w:tplc="04260019" w:tentative="1">
      <w:start w:val="1"/>
      <w:numFmt w:val="lowerLetter"/>
      <w:lvlText w:val="%8."/>
      <w:lvlJc w:val="left"/>
      <w:pPr>
        <w:ind w:left="6297" w:hanging="360"/>
      </w:pPr>
    </w:lvl>
    <w:lvl w:ilvl="8" w:tplc="0426001B" w:tentative="1">
      <w:start w:val="1"/>
      <w:numFmt w:val="lowerRoman"/>
      <w:lvlText w:val="%9."/>
      <w:lvlJc w:val="right"/>
      <w:pPr>
        <w:ind w:left="7017" w:hanging="180"/>
      </w:pPr>
    </w:lvl>
  </w:abstractNum>
  <w:abstractNum w:abstractNumId="25" w15:restartNumberingAfterBreak="0">
    <w:nsid w:val="74F81528"/>
    <w:multiLevelType w:val="hybridMultilevel"/>
    <w:tmpl w:val="D884C858"/>
    <w:lvl w:ilvl="0" w:tplc="A82C4B7A">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15:restartNumberingAfterBreak="0">
    <w:nsid w:val="792C60A7"/>
    <w:multiLevelType w:val="hybridMultilevel"/>
    <w:tmpl w:val="AE0EDBE0"/>
    <w:lvl w:ilvl="0" w:tplc="BE3E040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8379B5"/>
    <w:multiLevelType w:val="hybridMultilevel"/>
    <w:tmpl w:val="6BBEBC94"/>
    <w:lvl w:ilvl="0" w:tplc="79E49F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8" w15:restartNumberingAfterBreak="0">
    <w:nsid w:val="7C8E18D8"/>
    <w:multiLevelType w:val="hybridMultilevel"/>
    <w:tmpl w:val="7ED4295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BF13B5"/>
    <w:multiLevelType w:val="multilevel"/>
    <w:tmpl w:val="834461C2"/>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2"/>
  </w:num>
  <w:num w:numId="2">
    <w:abstractNumId w:val="8"/>
  </w:num>
  <w:num w:numId="3">
    <w:abstractNumId w:val="19"/>
  </w:num>
  <w:num w:numId="4">
    <w:abstractNumId w:val="16"/>
  </w:num>
  <w:num w:numId="5">
    <w:abstractNumId w:val="15"/>
  </w:num>
  <w:num w:numId="6">
    <w:abstractNumId w:val="3"/>
  </w:num>
  <w:num w:numId="7">
    <w:abstractNumId w:val="29"/>
  </w:num>
  <w:num w:numId="8">
    <w:abstractNumId w:val="20"/>
  </w:num>
  <w:num w:numId="9">
    <w:abstractNumId w:val="4"/>
  </w:num>
  <w:num w:numId="10">
    <w:abstractNumId w:val="11"/>
  </w:num>
  <w:num w:numId="11">
    <w:abstractNumId w:val="1"/>
  </w:num>
  <w:num w:numId="12">
    <w:abstractNumId w:val="0"/>
  </w:num>
  <w:num w:numId="13">
    <w:abstractNumId w:val="13"/>
  </w:num>
  <w:num w:numId="14">
    <w:abstractNumId w:val="25"/>
  </w:num>
  <w:num w:numId="15">
    <w:abstractNumId w:val="27"/>
  </w:num>
  <w:num w:numId="16">
    <w:abstractNumId w:val="18"/>
  </w:num>
  <w:num w:numId="17">
    <w:abstractNumId w:val="26"/>
  </w:num>
  <w:num w:numId="18">
    <w:abstractNumId w:val="10"/>
  </w:num>
  <w:num w:numId="19">
    <w:abstractNumId w:val="14"/>
  </w:num>
  <w:num w:numId="20">
    <w:abstractNumId w:val="5"/>
  </w:num>
  <w:num w:numId="21">
    <w:abstractNumId w:val="22"/>
  </w:num>
  <w:num w:numId="22">
    <w:abstractNumId w:val="6"/>
  </w:num>
  <w:num w:numId="23">
    <w:abstractNumId w:val="2"/>
  </w:num>
  <w:num w:numId="24">
    <w:abstractNumId w:val="24"/>
  </w:num>
  <w:num w:numId="25">
    <w:abstractNumId w:val="9"/>
  </w:num>
  <w:num w:numId="26">
    <w:abstractNumId w:val="23"/>
  </w:num>
  <w:num w:numId="27">
    <w:abstractNumId w:val="28"/>
  </w:num>
  <w:num w:numId="28">
    <w:abstractNumId w:val="7"/>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BC"/>
    <w:rsid w:val="00002088"/>
    <w:rsid w:val="000072B9"/>
    <w:rsid w:val="00010333"/>
    <w:rsid w:val="00013AA5"/>
    <w:rsid w:val="00021584"/>
    <w:rsid w:val="00026CB2"/>
    <w:rsid w:val="000276A7"/>
    <w:rsid w:val="00033360"/>
    <w:rsid w:val="00035D5B"/>
    <w:rsid w:val="00035DC9"/>
    <w:rsid w:val="00036231"/>
    <w:rsid w:val="0003641D"/>
    <w:rsid w:val="000428DD"/>
    <w:rsid w:val="000432AE"/>
    <w:rsid w:val="00043452"/>
    <w:rsid w:val="000441BE"/>
    <w:rsid w:val="00045D6E"/>
    <w:rsid w:val="000514D6"/>
    <w:rsid w:val="00054AA6"/>
    <w:rsid w:val="00056FF6"/>
    <w:rsid w:val="0006082F"/>
    <w:rsid w:val="0006148D"/>
    <w:rsid w:val="00064B26"/>
    <w:rsid w:val="00070BAD"/>
    <w:rsid w:val="00072CA6"/>
    <w:rsid w:val="00076C6D"/>
    <w:rsid w:val="000776CF"/>
    <w:rsid w:val="00077AF8"/>
    <w:rsid w:val="00080382"/>
    <w:rsid w:val="00081731"/>
    <w:rsid w:val="000833F9"/>
    <w:rsid w:val="00083DC5"/>
    <w:rsid w:val="00086EE7"/>
    <w:rsid w:val="00094866"/>
    <w:rsid w:val="00096E41"/>
    <w:rsid w:val="00096F33"/>
    <w:rsid w:val="000A18E1"/>
    <w:rsid w:val="000A1B81"/>
    <w:rsid w:val="000A5FD5"/>
    <w:rsid w:val="000B043B"/>
    <w:rsid w:val="000B402E"/>
    <w:rsid w:val="000B4D1F"/>
    <w:rsid w:val="000B5292"/>
    <w:rsid w:val="000C1547"/>
    <w:rsid w:val="000C284A"/>
    <w:rsid w:val="000C41E8"/>
    <w:rsid w:val="000D490D"/>
    <w:rsid w:val="000D600D"/>
    <w:rsid w:val="000D6859"/>
    <w:rsid w:val="000E1DC3"/>
    <w:rsid w:val="000E36BB"/>
    <w:rsid w:val="000E4752"/>
    <w:rsid w:val="000E7527"/>
    <w:rsid w:val="000E7B38"/>
    <w:rsid w:val="000F5F41"/>
    <w:rsid w:val="000F7449"/>
    <w:rsid w:val="000F7DA9"/>
    <w:rsid w:val="001007A5"/>
    <w:rsid w:val="00101A1D"/>
    <w:rsid w:val="00102A8D"/>
    <w:rsid w:val="00104B5F"/>
    <w:rsid w:val="001054EA"/>
    <w:rsid w:val="00106C2E"/>
    <w:rsid w:val="001101E6"/>
    <w:rsid w:val="001105EB"/>
    <w:rsid w:val="00110681"/>
    <w:rsid w:val="00113C08"/>
    <w:rsid w:val="0011522E"/>
    <w:rsid w:val="00116F86"/>
    <w:rsid w:val="00117EC3"/>
    <w:rsid w:val="00122AC4"/>
    <w:rsid w:val="00125794"/>
    <w:rsid w:val="00126482"/>
    <w:rsid w:val="001308C4"/>
    <w:rsid w:val="0013169D"/>
    <w:rsid w:val="00135238"/>
    <w:rsid w:val="0013695F"/>
    <w:rsid w:val="00137D60"/>
    <w:rsid w:val="001405DE"/>
    <w:rsid w:val="0014205D"/>
    <w:rsid w:val="00142F57"/>
    <w:rsid w:val="0014312F"/>
    <w:rsid w:val="001452F2"/>
    <w:rsid w:val="00145449"/>
    <w:rsid w:val="00146CAD"/>
    <w:rsid w:val="00147944"/>
    <w:rsid w:val="00151957"/>
    <w:rsid w:val="00152A81"/>
    <w:rsid w:val="00161887"/>
    <w:rsid w:val="001629E7"/>
    <w:rsid w:val="0016455E"/>
    <w:rsid w:val="00172FA3"/>
    <w:rsid w:val="001803AD"/>
    <w:rsid w:val="00186ED8"/>
    <w:rsid w:val="00196B85"/>
    <w:rsid w:val="001A13CB"/>
    <w:rsid w:val="001A1B3C"/>
    <w:rsid w:val="001A43B7"/>
    <w:rsid w:val="001A46FA"/>
    <w:rsid w:val="001A53D2"/>
    <w:rsid w:val="001A59C7"/>
    <w:rsid w:val="001A7441"/>
    <w:rsid w:val="001A7B56"/>
    <w:rsid w:val="001B05E7"/>
    <w:rsid w:val="001B3779"/>
    <w:rsid w:val="001B54A9"/>
    <w:rsid w:val="001B6FE4"/>
    <w:rsid w:val="001C13C7"/>
    <w:rsid w:val="001C1DEC"/>
    <w:rsid w:val="001C4C72"/>
    <w:rsid w:val="001D297B"/>
    <w:rsid w:val="001D63F3"/>
    <w:rsid w:val="001D6655"/>
    <w:rsid w:val="001D6824"/>
    <w:rsid w:val="001D7232"/>
    <w:rsid w:val="001E2B3E"/>
    <w:rsid w:val="001E7559"/>
    <w:rsid w:val="001F168B"/>
    <w:rsid w:val="001F22A3"/>
    <w:rsid w:val="001F64A1"/>
    <w:rsid w:val="001F6C0D"/>
    <w:rsid w:val="00200425"/>
    <w:rsid w:val="00202DB8"/>
    <w:rsid w:val="00205AC0"/>
    <w:rsid w:val="00205D92"/>
    <w:rsid w:val="00206E4E"/>
    <w:rsid w:val="00211EDF"/>
    <w:rsid w:val="00212BE3"/>
    <w:rsid w:val="00213436"/>
    <w:rsid w:val="002215F1"/>
    <w:rsid w:val="002221A3"/>
    <w:rsid w:val="00222553"/>
    <w:rsid w:val="00222FBC"/>
    <w:rsid w:val="00223673"/>
    <w:rsid w:val="00224C6F"/>
    <w:rsid w:val="00225314"/>
    <w:rsid w:val="002260EE"/>
    <w:rsid w:val="00227DE5"/>
    <w:rsid w:val="002315AD"/>
    <w:rsid w:val="00233B88"/>
    <w:rsid w:val="00234235"/>
    <w:rsid w:val="00234F39"/>
    <w:rsid w:val="00236780"/>
    <w:rsid w:val="00237D7D"/>
    <w:rsid w:val="0024147E"/>
    <w:rsid w:val="00241DAD"/>
    <w:rsid w:val="00243C5F"/>
    <w:rsid w:val="00245420"/>
    <w:rsid w:val="00247AD9"/>
    <w:rsid w:val="00252795"/>
    <w:rsid w:val="002576AB"/>
    <w:rsid w:val="00262F5B"/>
    <w:rsid w:val="00266161"/>
    <w:rsid w:val="00267070"/>
    <w:rsid w:val="00267834"/>
    <w:rsid w:val="002706F7"/>
    <w:rsid w:val="00271B28"/>
    <w:rsid w:val="00273C0D"/>
    <w:rsid w:val="002747AE"/>
    <w:rsid w:val="00275626"/>
    <w:rsid w:val="00276B39"/>
    <w:rsid w:val="00277246"/>
    <w:rsid w:val="002773E7"/>
    <w:rsid w:val="002802FB"/>
    <w:rsid w:val="002815E2"/>
    <w:rsid w:val="002817FC"/>
    <w:rsid w:val="00281A1A"/>
    <w:rsid w:val="00283C7C"/>
    <w:rsid w:val="0029013B"/>
    <w:rsid w:val="00294944"/>
    <w:rsid w:val="0029689A"/>
    <w:rsid w:val="00297FEA"/>
    <w:rsid w:val="002A06A1"/>
    <w:rsid w:val="002A356E"/>
    <w:rsid w:val="002B0678"/>
    <w:rsid w:val="002B6096"/>
    <w:rsid w:val="002B6A5B"/>
    <w:rsid w:val="002C05E3"/>
    <w:rsid w:val="002C14EE"/>
    <w:rsid w:val="002C26CC"/>
    <w:rsid w:val="002C39D9"/>
    <w:rsid w:val="002C5744"/>
    <w:rsid w:val="002C749C"/>
    <w:rsid w:val="002D1A78"/>
    <w:rsid w:val="002D5555"/>
    <w:rsid w:val="002D6A8B"/>
    <w:rsid w:val="002E292B"/>
    <w:rsid w:val="002F18F0"/>
    <w:rsid w:val="002F1F9A"/>
    <w:rsid w:val="002F6B61"/>
    <w:rsid w:val="0030073A"/>
    <w:rsid w:val="0030742E"/>
    <w:rsid w:val="00307476"/>
    <w:rsid w:val="0031615C"/>
    <w:rsid w:val="00316C53"/>
    <w:rsid w:val="0031754B"/>
    <w:rsid w:val="00320960"/>
    <w:rsid w:val="0032250B"/>
    <w:rsid w:val="00323C63"/>
    <w:rsid w:val="0032444C"/>
    <w:rsid w:val="003269AF"/>
    <w:rsid w:val="00327F2A"/>
    <w:rsid w:val="003318E5"/>
    <w:rsid w:val="00332449"/>
    <w:rsid w:val="00335BAA"/>
    <w:rsid w:val="003407E2"/>
    <w:rsid w:val="00340C6F"/>
    <w:rsid w:val="00342024"/>
    <w:rsid w:val="00343FF0"/>
    <w:rsid w:val="0034492A"/>
    <w:rsid w:val="00344930"/>
    <w:rsid w:val="00353612"/>
    <w:rsid w:val="0035557F"/>
    <w:rsid w:val="00356C81"/>
    <w:rsid w:val="00357189"/>
    <w:rsid w:val="00357CE9"/>
    <w:rsid w:val="0036207A"/>
    <w:rsid w:val="00363878"/>
    <w:rsid w:val="00364ED1"/>
    <w:rsid w:val="0036513B"/>
    <w:rsid w:val="003679C1"/>
    <w:rsid w:val="003710D7"/>
    <w:rsid w:val="00375540"/>
    <w:rsid w:val="00381B50"/>
    <w:rsid w:val="00381D7F"/>
    <w:rsid w:val="0038270A"/>
    <w:rsid w:val="00382A79"/>
    <w:rsid w:val="00384A87"/>
    <w:rsid w:val="00387BBA"/>
    <w:rsid w:val="0039426B"/>
    <w:rsid w:val="00394521"/>
    <w:rsid w:val="003A0EB3"/>
    <w:rsid w:val="003A0F47"/>
    <w:rsid w:val="003A1F3E"/>
    <w:rsid w:val="003A39F8"/>
    <w:rsid w:val="003A5E60"/>
    <w:rsid w:val="003A74C0"/>
    <w:rsid w:val="003A7DD0"/>
    <w:rsid w:val="003B15C7"/>
    <w:rsid w:val="003B2E41"/>
    <w:rsid w:val="003B333D"/>
    <w:rsid w:val="003B37D5"/>
    <w:rsid w:val="003B5F49"/>
    <w:rsid w:val="003B60EC"/>
    <w:rsid w:val="003C18F1"/>
    <w:rsid w:val="003C2DA3"/>
    <w:rsid w:val="003C5B6E"/>
    <w:rsid w:val="003C6FAF"/>
    <w:rsid w:val="003D032D"/>
    <w:rsid w:val="003D25ED"/>
    <w:rsid w:val="003D4D45"/>
    <w:rsid w:val="003D575C"/>
    <w:rsid w:val="003D74A8"/>
    <w:rsid w:val="003E0EA0"/>
    <w:rsid w:val="003E1C5C"/>
    <w:rsid w:val="003E282E"/>
    <w:rsid w:val="003E459C"/>
    <w:rsid w:val="003E76E8"/>
    <w:rsid w:val="003F11F8"/>
    <w:rsid w:val="003F1C83"/>
    <w:rsid w:val="003F2B87"/>
    <w:rsid w:val="003F3422"/>
    <w:rsid w:val="003F4D0A"/>
    <w:rsid w:val="0040639C"/>
    <w:rsid w:val="00407321"/>
    <w:rsid w:val="00407F35"/>
    <w:rsid w:val="00410979"/>
    <w:rsid w:val="004236BC"/>
    <w:rsid w:val="0042740B"/>
    <w:rsid w:val="00430293"/>
    <w:rsid w:val="0043210D"/>
    <w:rsid w:val="00433688"/>
    <w:rsid w:val="00433D3E"/>
    <w:rsid w:val="00434FDA"/>
    <w:rsid w:val="00436BB9"/>
    <w:rsid w:val="00440452"/>
    <w:rsid w:val="0044057A"/>
    <w:rsid w:val="00442891"/>
    <w:rsid w:val="00450CBD"/>
    <w:rsid w:val="004568EF"/>
    <w:rsid w:val="00456A35"/>
    <w:rsid w:val="004607CD"/>
    <w:rsid w:val="00460918"/>
    <w:rsid w:val="00462292"/>
    <w:rsid w:val="00463A3B"/>
    <w:rsid w:val="00465094"/>
    <w:rsid w:val="00465D01"/>
    <w:rsid w:val="004676FD"/>
    <w:rsid w:val="00471448"/>
    <w:rsid w:val="00473CC1"/>
    <w:rsid w:val="004747EB"/>
    <w:rsid w:val="00474DB2"/>
    <w:rsid w:val="00475C7D"/>
    <w:rsid w:val="00476BC7"/>
    <w:rsid w:val="00477856"/>
    <w:rsid w:val="004825CB"/>
    <w:rsid w:val="00483AFD"/>
    <w:rsid w:val="00487575"/>
    <w:rsid w:val="00493144"/>
    <w:rsid w:val="004932F1"/>
    <w:rsid w:val="00493F4D"/>
    <w:rsid w:val="00494F89"/>
    <w:rsid w:val="00495957"/>
    <w:rsid w:val="004961BB"/>
    <w:rsid w:val="004A1FE3"/>
    <w:rsid w:val="004A24D2"/>
    <w:rsid w:val="004A7EA8"/>
    <w:rsid w:val="004B3603"/>
    <w:rsid w:val="004B5C4B"/>
    <w:rsid w:val="004C70FB"/>
    <w:rsid w:val="004C7DA3"/>
    <w:rsid w:val="004D5140"/>
    <w:rsid w:val="004E0D10"/>
    <w:rsid w:val="004E2587"/>
    <w:rsid w:val="004E39D7"/>
    <w:rsid w:val="004E6740"/>
    <w:rsid w:val="004F1D62"/>
    <w:rsid w:val="004F2BA3"/>
    <w:rsid w:val="004F3886"/>
    <w:rsid w:val="004F6108"/>
    <w:rsid w:val="004F68EF"/>
    <w:rsid w:val="00500517"/>
    <w:rsid w:val="00500954"/>
    <w:rsid w:val="00502EA5"/>
    <w:rsid w:val="00504DFD"/>
    <w:rsid w:val="00504FA8"/>
    <w:rsid w:val="005060D6"/>
    <w:rsid w:val="00512466"/>
    <w:rsid w:val="005175E4"/>
    <w:rsid w:val="00522381"/>
    <w:rsid w:val="005227D0"/>
    <w:rsid w:val="00522998"/>
    <w:rsid w:val="005265F6"/>
    <w:rsid w:val="00527A2F"/>
    <w:rsid w:val="00531FFB"/>
    <w:rsid w:val="0053599D"/>
    <w:rsid w:val="00536970"/>
    <w:rsid w:val="00536A99"/>
    <w:rsid w:val="005370A4"/>
    <w:rsid w:val="00541795"/>
    <w:rsid w:val="00542B01"/>
    <w:rsid w:val="005432E9"/>
    <w:rsid w:val="00546035"/>
    <w:rsid w:val="00546752"/>
    <w:rsid w:val="00546F29"/>
    <w:rsid w:val="00547607"/>
    <w:rsid w:val="00550751"/>
    <w:rsid w:val="00550CA4"/>
    <w:rsid w:val="00553B4C"/>
    <w:rsid w:val="00553E9F"/>
    <w:rsid w:val="00555005"/>
    <w:rsid w:val="00562254"/>
    <w:rsid w:val="00564EC0"/>
    <w:rsid w:val="005659E6"/>
    <w:rsid w:val="005664D6"/>
    <w:rsid w:val="005708DC"/>
    <w:rsid w:val="0057173A"/>
    <w:rsid w:val="0057375E"/>
    <w:rsid w:val="00580C6B"/>
    <w:rsid w:val="005823E8"/>
    <w:rsid w:val="00586AA2"/>
    <w:rsid w:val="00591466"/>
    <w:rsid w:val="00591BCC"/>
    <w:rsid w:val="00591FCA"/>
    <w:rsid w:val="00592E27"/>
    <w:rsid w:val="0059410E"/>
    <w:rsid w:val="00595387"/>
    <w:rsid w:val="00595DCF"/>
    <w:rsid w:val="005A1224"/>
    <w:rsid w:val="005A2663"/>
    <w:rsid w:val="005A27DD"/>
    <w:rsid w:val="005A319C"/>
    <w:rsid w:val="005A31FF"/>
    <w:rsid w:val="005A506F"/>
    <w:rsid w:val="005B4083"/>
    <w:rsid w:val="005B4129"/>
    <w:rsid w:val="005B62BC"/>
    <w:rsid w:val="005C14D7"/>
    <w:rsid w:val="005C5F09"/>
    <w:rsid w:val="005C6AFA"/>
    <w:rsid w:val="005D0252"/>
    <w:rsid w:val="005D116B"/>
    <w:rsid w:val="005D1234"/>
    <w:rsid w:val="005D1466"/>
    <w:rsid w:val="005D17B9"/>
    <w:rsid w:val="005E3A85"/>
    <w:rsid w:val="005E478B"/>
    <w:rsid w:val="005E7DAA"/>
    <w:rsid w:val="005F197B"/>
    <w:rsid w:val="005F398C"/>
    <w:rsid w:val="005F5410"/>
    <w:rsid w:val="00600FC4"/>
    <w:rsid w:val="00601BE1"/>
    <w:rsid w:val="00605181"/>
    <w:rsid w:val="006065A2"/>
    <w:rsid w:val="00606B24"/>
    <w:rsid w:val="00611BCB"/>
    <w:rsid w:val="0061523E"/>
    <w:rsid w:val="00617414"/>
    <w:rsid w:val="006174F6"/>
    <w:rsid w:val="006248B7"/>
    <w:rsid w:val="0062500B"/>
    <w:rsid w:val="00627DE9"/>
    <w:rsid w:val="00631306"/>
    <w:rsid w:val="00631AD9"/>
    <w:rsid w:val="00636EEB"/>
    <w:rsid w:val="00640823"/>
    <w:rsid w:val="00641A12"/>
    <w:rsid w:val="006443EA"/>
    <w:rsid w:val="00644528"/>
    <w:rsid w:val="006511A2"/>
    <w:rsid w:val="00654044"/>
    <w:rsid w:val="006571A0"/>
    <w:rsid w:val="00661B9C"/>
    <w:rsid w:val="00664EE5"/>
    <w:rsid w:val="006666EE"/>
    <w:rsid w:val="006670CE"/>
    <w:rsid w:val="00667CC6"/>
    <w:rsid w:val="00675E05"/>
    <w:rsid w:val="006770BC"/>
    <w:rsid w:val="006828B8"/>
    <w:rsid w:val="0068317C"/>
    <w:rsid w:val="00693F46"/>
    <w:rsid w:val="006976B5"/>
    <w:rsid w:val="006A02D1"/>
    <w:rsid w:val="006A6BD8"/>
    <w:rsid w:val="006B252D"/>
    <w:rsid w:val="006B2D3C"/>
    <w:rsid w:val="006B448E"/>
    <w:rsid w:val="006B52CF"/>
    <w:rsid w:val="006B6193"/>
    <w:rsid w:val="006B685D"/>
    <w:rsid w:val="006B7219"/>
    <w:rsid w:val="006C0EDA"/>
    <w:rsid w:val="006C3359"/>
    <w:rsid w:val="006C69AD"/>
    <w:rsid w:val="006C7BA0"/>
    <w:rsid w:val="006D18C5"/>
    <w:rsid w:val="006E4C54"/>
    <w:rsid w:val="006E5CB6"/>
    <w:rsid w:val="006E7C3E"/>
    <w:rsid w:val="006F3338"/>
    <w:rsid w:val="006F4D43"/>
    <w:rsid w:val="006F74CA"/>
    <w:rsid w:val="006F77C3"/>
    <w:rsid w:val="00700286"/>
    <w:rsid w:val="00702685"/>
    <w:rsid w:val="00703A20"/>
    <w:rsid w:val="007070F5"/>
    <w:rsid w:val="00724A50"/>
    <w:rsid w:val="007267EF"/>
    <w:rsid w:val="007303F1"/>
    <w:rsid w:val="0073796F"/>
    <w:rsid w:val="007401CF"/>
    <w:rsid w:val="0074031F"/>
    <w:rsid w:val="00741F50"/>
    <w:rsid w:val="007442BB"/>
    <w:rsid w:val="00745ACC"/>
    <w:rsid w:val="00745ECA"/>
    <w:rsid w:val="00746C2A"/>
    <w:rsid w:val="00747C5F"/>
    <w:rsid w:val="00747F08"/>
    <w:rsid w:val="00751532"/>
    <w:rsid w:val="00753E38"/>
    <w:rsid w:val="007571C4"/>
    <w:rsid w:val="00757799"/>
    <w:rsid w:val="00766377"/>
    <w:rsid w:val="007711EF"/>
    <w:rsid w:val="0077593A"/>
    <w:rsid w:val="00780F87"/>
    <w:rsid w:val="00785365"/>
    <w:rsid w:val="00785A5D"/>
    <w:rsid w:val="0078653A"/>
    <w:rsid w:val="00787710"/>
    <w:rsid w:val="0078789C"/>
    <w:rsid w:val="007921B3"/>
    <w:rsid w:val="007934C7"/>
    <w:rsid w:val="00793823"/>
    <w:rsid w:val="0079566E"/>
    <w:rsid w:val="00796CED"/>
    <w:rsid w:val="007A07F7"/>
    <w:rsid w:val="007A2908"/>
    <w:rsid w:val="007A40BC"/>
    <w:rsid w:val="007A40EB"/>
    <w:rsid w:val="007A770C"/>
    <w:rsid w:val="007B0228"/>
    <w:rsid w:val="007B0E81"/>
    <w:rsid w:val="007B20B3"/>
    <w:rsid w:val="007B3E80"/>
    <w:rsid w:val="007B466F"/>
    <w:rsid w:val="007B4A77"/>
    <w:rsid w:val="007B5254"/>
    <w:rsid w:val="007B5C1A"/>
    <w:rsid w:val="007B5DB3"/>
    <w:rsid w:val="007B71E9"/>
    <w:rsid w:val="007B79EA"/>
    <w:rsid w:val="007C0922"/>
    <w:rsid w:val="007C2C2A"/>
    <w:rsid w:val="007C4875"/>
    <w:rsid w:val="007C5317"/>
    <w:rsid w:val="007C6D7B"/>
    <w:rsid w:val="007C769D"/>
    <w:rsid w:val="007D1E77"/>
    <w:rsid w:val="007D1E98"/>
    <w:rsid w:val="007D217A"/>
    <w:rsid w:val="007D2DF2"/>
    <w:rsid w:val="007D558F"/>
    <w:rsid w:val="007D5A0B"/>
    <w:rsid w:val="007D7749"/>
    <w:rsid w:val="007D7E5D"/>
    <w:rsid w:val="007E0F3B"/>
    <w:rsid w:val="007E6B1F"/>
    <w:rsid w:val="007F26BC"/>
    <w:rsid w:val="007F29CF"/>
    <w:rsid w:val="007F4A8B"/>
    <w:rsid w:val="007F6634"/>
    <w:rsid w:val="007F7593"/>
    <w:rsid w:val="008010DB"/>
    <w:rsid w:val="00801865"/>
    <w:rsid w:val="00802472"/>
    <w:rsid w:val="00803CE3"/>
    <w:rsid w:val="00804CB7"/>
    <w:rsid w:val="00806D07"/>
    <w:rsid w:val="00807473"/>
    <w:rsid w:val="008113E8"/>
    <w:rsid w:val="0081434F"/>
    <w:rsid w:val="00814DD1"/>
    <w:rsid w:val="00823566"/>
    <w:rsid w:val="0082428A"/>
    <w:rsid w:val="00825FF9"/>
    <w:rsid w:val="00827C37"/>
    <w:rsid w:val="00835544"/>
    <w:rsid w:val="00835D7B"/>
    <w:rsid w:val="00836F13"/>
    <w:rsid w:val="008375F4"/>
    <w:rsid w:val="0084023D"/>
    <w:rsid w:val="00842983"/>
    <w:rsid w:val="008432E0"/>
    <w:rsid w:val="00844E05"/>
    <w:rsid w:val="00846022"/>
    <w:rsid w:val="00847DC7"/>
    <w:rsid w:val="00854C4D"/>
    <w:rsid w:val="00854F00"/>
    <w:rsid w:val="00855748"/>
    <w:rsid w:val="00855FBC"/>
    <w:rsid w:val="00856084"/>
    <w:rsid w:val="00856324"/>
    <w:rsid w:val="008573E8"/>
    <w:rsid w:val="00860034"/>
    <w:rsid w:val="008603DF"/>
    <w:rsid w:val="0086279A"/>
    <w:rsid w:val="008629C1"/>
    <w:rsid w:val="00862A42"/>
    <w:rsid w:val="008635C5"/>
    <w:rsid w:val="008661D1"/>
    <w:rsid w:val="008663B9"/>
    <w:rsid w:val="00866A86"/>
    <w:rsid w:val="008706CE"/>
    <w:rsid w:val="00871F68"/>
    <w:rsid w:val="00872561"/>
    <w:rsid w:val="0087560D"/>
    <w:rsid w:val="00877B15"/>
    <w:rsid w:val="00881055"/>
    <w:rsid w:val="00882A12"/>
    <w:rsid w:val="00882E9A"/>
    <w:rsid w:val="00884581"/>
    <w:rsid w:val="0089061C"/>
    <w:rsid w:val="00890C36"/>
    <w:rsid w:val="00892C45"/>
    <w:rsid w:val="008934E7"/>
    <w:rsid w:val="00893DF1"/>
    <w:rsid w:val="00894281"/>
    <w:rsid w:val="00896CE7"/>
    <w:rsid w:val="008A4977"/>
    <w:rsid w:val="008A6119"/>
    <w:rsid w:val="008A6479"/>
    <w:rsid w:val="008A6E00"/>
    <w:rsid w:val="008B2A0B"/>
    <w:rsid w:val="008B2AA6"/>
    <w:rsid w:val="008B6BF5"/>
    <w:rsid w:val="008B6FFF"/>
    <w:rsid w:val="008B74EF"/>
    <w:rsid w:val="008C5C50"/>
    <w:rsid w:val="008D0552"/>
    <w:rsid w:val="008D3F41"/>
    <w:rsid w:val="008D47DC"/>
    <w:rsid w:val="008D75E2"/>
    <w:rsid w:val="008E08FB"/>
    <w:rsid w:val="008E319F"/>
    <w:rsid w:val="008E5F0F"/>
    <w:rsid w:val="008E61C9"/>
    <w:rsid w:val="008E75E1"/>
    <w:rsid w:val="008F1409"/>
    <w:rsid w:val="008F1D7D"/>
    <w:rsid w:val="008F33B2"/>
    <w:rsid w:val="008F3BA2"/>
    <w:rsid w:val="008F42A4"/>
    <w:rsid w:val="008F5258"/>
    <w:rsid w:val="008F5B85"/>
    <w:rsid w:val="008F5D9E"/>
    <w:rsid w:val="008F70E0"/>
    <w:rsid w:val="00902546"/>
    <w:rsid w:val="00903E33"/>
    <w:rsid w:val="00905CC9"/>
    <w:rsid w:val="009062E6"/>
    <w:rsid w:val="009125BF"/>
    <w:rsid w:val="00916367"/>
    <w:rsid w:val="00923A58"/>
    <w:rsid w:val="00923DE7"/>
    <w:rsid w:val="009248B9"/>
    <w:rsid w:val="0092609C"/>
    <w:rsid w:val="009275E1"/>
    <w:rsid w:val="00927F16"/>
    <w:rsid w:val="0093022C"/>
    <w:rsid w:val="00930D99"/>
    <w:rsid w:val="00931EF8"/>
    <w:rsid w:val="00941593"/>
    <w:rsid w:val="00943983"/>
    <w:rsid w:val="00943F56"/>
    <w:rsid w:val="00946676"/>
    <w:rsid w:val="00951175"/>
    <w:rsid w:val="009521A0"/>
    <w:rsid w:val="009538B7"/>
    <w:rsid w:val="00955085"/>
    <w:rsid w:val="0095607B"/>
    <w:rsid w:val="00956469"/>
    <w:rsid w:val="00956B71"/>
    <w:rsid w:val="00962898"/>
    <w:rsid w:val="00964D1A"/>
    <w:rsid w:val="00964D46"/>
    <w:rsid w:val="009706C3"/>
    <w:rsid w:val="00971A46"/>
    <w:rsid w:val="009725FF"/>
    <w:rsid w:val="00973FBD"/>
    <w:rsid w:val="00980782"/>
    <w:rsid w:val="00990D4B"/>
    <w:rsid w:val="00996A96"/>
    <w:rsid w:val="009A00FE"/>
    <w:rsid w:val="009A1AE7"/>
    <w:rsid w:val="009A65E2"/>
    <w:rsid w:val="009A688B"/>
    <w:rsid w:val="009B141D"/>
    <w:rsid w:val="009C0FFF"/>
    <w:rsid w:val="009C1765"/>
    <w:rsid w:val="009C30C9"/>
    <w:rsid w:val="009C6EFB"/>
    <w:rsid w:val="009C784B"/>
    <w:rsid w:val="009D0026"/>
    <w:rsid w:val="009D05B9"/>
    <w:rsid w:val="009D19DE"/>
    <w:rsid w:val="009D1F0D"/>
    <w:rsid w:val="009D2167"/>
    <w:rsid w:val="009D3888"/>
    <w:rsid w:val="009D52E4"/>
    <w:rsid w:val="009D6F75"/>
    <w:rsid w:val="009E0BB8"/>
    <w:rsid w:val="009E1AFA"/>
    <w:rsid w:val="009E5BEF"/>
    <w:rsid w:val="009F1C76"/>
    <w:rsid w:val="009F20F8"/>
    <w:rsid w:val="009F420E"/>
    <w:rsid w:val="009F528F"/>
    <w:rsid w:val="009F5B6D"/>
    <w:rsid w:val="009F70AE"/>
    <w:rsid w:val="00A04113"/>
    <w:rsid w:val="00A04DBC"/>
    <w:rsid w:val="00A05177"/>
    <w:rsid w:val="00A0669F"/>
    <w:rsid w:val="00A06CC1"/>
    <w:rsid w:val="00A10BF6"/>
    <w:rsid w:val="00A1165C"/>
    <w:rsid w:val="00A12BC9"/>
    <w:rsid w:val="00A147FB"/>
    <w:rsid w:val="00A164DC"/>
    <w:rsid w:val="00A1723F"/>
    <w:rsid w:val="00A17631"/>
    <w:rsid w:val="00A21F83"/>
    <w:rsid w:val="00A233ED"/>
    <w:rsid w:val="00A235EE"/>
    <w:rsid w:val="00A2580C"/>
    <w:rsid w:val="00A26475"/>
    <w:rsid w:val="00A2799E"/>
    <w:rsid w:val="00A30DBE"/>
    <w:rsid w:val="00A32310"/>
    <w:rsid w:val="00A3349E"/>
    <w:rsid w:val="00A338AD"/>
    <w:rsid w:val="00A3517F"/>
    <w:rsid w:val="00A35874"/>
    <w:rsid w:val="00A370B1"/>
    <w:rsid w:val="00A37253"/>
    <w:rsid w:val="00A40CB2"/>
    <w:rsid w:val="00A42137"/>
    <w:rsid w:val="00A425E9"/>
    <w:rsid w:val="00A465D2"/>
    <w:rsid w:val="00A5070C"/>
    <w:rsid w:val="00A52812"/>
    <w:rsid w:val="00A5436C"/>
    <w:rsid w:val="00A55478"/>
    <w:rsid w:val="00A5581A"/>
    <w:rsid w:val="00A55CC1"/>
    <w:rsid w:val="00A57EDB"/>
    <w:rsid w:val="00A64E2F"/>
    <w:rsid w:val="00A650CB"/>
    <w:rsid w:val="00A73F03"/>
    <w:rsid w:val="00A75813"/>
    <w:rsid w:val="00A808AA"/>
    <w:rsid w:val="00A81162"/>
    <w:rsid w:val="00A831F2"/>
    <w:rsid w:val="00A836CB"/>
    <w:rsid w:val="00A83B75"/>
    <w:rsid w:val="00A84070"/>
    <w:rsid w:val="00A8494A"/>
    <w:rsid w:val="00A85B94"/>
    <w:rsid w:val="00A86011"/>
    <w:rsid w:val="00A8611A"/>
    <w:rsid w:val="00A869E6"/>
    <w:rsid w:val="00A879FE"/>
    <w:rsid w:val="00A90B95"/>
    <w:rsid w:val="00A9461B"/>
    <w:rsid w:val="00A95D2D"/>
    <w:rsid w:val="00A97105"/>
    <w:rsid w:val="00AA1E10"/>
    <w:rsid w:val="00AA3426"/>
    <w:rsid w:val="00AA71A0"/>
    <w:rsid w:val="00AA7E55"/>
    <w:rsid w:val="00AB1DAB"/>
    <w:rsid w:val="00AB3A2F"/>
    <w:rsid w:val="00AB4EA4"/>
    <w:rsid w:val="00AC1BC1"/>
    <w:rsid w:val="00AC3658"/>
    <w:rsid w:val="00AC3D4E"/>
    <w:rsid w:val="00AC3D7A"/>
    <w:rsid w:val="00AC4360"/>
    <w:rsid w:val="00AC536D"/>
    <w:rsid w:val="00AC7600"/>
    <w:rsid w:val="00AD2926"/>
    <w:rsid w:val="00AD3098"/>
    <w:rsid w:val="00AD4160"/>
    <w:rsid w:val="00AD5D44"/>
    <w:rsid w:val="00AD6053"/>
    <w:rsid w:val="00AE1319"/>
    <w:rsid w:val="00AE4C0F"/>
    <w:rsid w:val="00AF00DA"/>
    <w:rsid w:val="00AF0A92"/>
    <w:rsid w:val="00B02F3D"/>
    <w:rsid w:val="00B03DF3"/>
    <w:rsid w:val="00B051C7"/>
    <w:rsid w:val="00B0724A"/>
    <w:rsid w:val="00B101DF"/>
    <w:rsid w:val="00B108BB"/>
    <w:rsid w:val="00B130DC"/>
    <w:rsid w:val="00B133DB"/>
    <w:rsid w:val="00B1560A"/>
    <w:rsid w:val="00B2036B"/>
    <w:rsid w:val="00B24359"/>
    <w:rsid w:val="00B24EE2"/>
    <w:rsid w:val="00B25BDE"/>
    <w:rsid w:val="00B268F6"/>
    <w:rsid w:val="00B358AD"/>
    <w:rsid w:val="00B35947"/>
    <w:rsid w:val="00B37B4B"/>
    <w:rsid w:val="00B40F00"/>
    <w:rsid w:val="00B4156C"/>
    <w:rsid w:val="00B41DAC"/>
    <w:rsid w:val="00B43092"/>
    <w:rsid w:val="00B445B0"/>
    <w:rsid w:val="00B45757"/>
    <w:rsid w:val="00B50CC9"/>
    <w:rsid w:val="00B511A4"/>
    <w:rsid w:val="00B5238D"/>
    <w:rsid w:val="00B52C46"/>
    <w:rsid w:val="00B53003"/>
    <w:rsid w:val="00B531AB"/>
    <w:rsid w:val="00B60EF0"/>
    <w:rsid w:val="00B616D6"/>
    <w:rsid w:val="00B624C1"/>
    <w:rsid w:val="00B62EBA"/>
    <w:rsid w:val="00B63EE8"/>
    <w:rsid w:val="00B659DD"/>
    <w:rsid w:val="00B7196E"/>
    <w:rsid w:val="00B72535"/>
    <w:rsid w:val="00B734D7"/>
    <w:rsid w:val="00B75211"/>
    <w:rsid w:val="00B77226"/>
    <w:rsid w:val="00B80E4D"/>
    <w:rsid w:val="00B85799"/>
    <w:rsid w:val="00B867D5"/>
    <w:rsid w:val="00B90F1F"/>
    <w:rsid w:val="00B93A86"/>
    <w:rsid w:val="00B94479"/>
    <w:rsid w:val="00B945F5"/>
    <w:rsid w:val="00BA578B"/>
    <w:rsid w:val="00BA60A9"/>
    <w:rsid w:val="00BB24DD"/>
    <w:rsid w:val="00BB6414"/>
    <w:rsid w:val="00BB65AB"/>
    <w:rsid w:val="00BC2715"/>
    <w:rsid w:val="00BC342F"/>
    <w:rsid w:val="00BD0235"/>
    <w:rsid w:val="00BD32F2"/>
    <w:rsid w:val="00BD3FD4"/>
    <w:rsid w:val="00BD4401"/>
    <w:rsid w:val="00BD6B09"/>
    <w:rsid w:val="00BD758E"/>
    <w:rsid w:val="00BD7A14"/>
    <w:rsid w:val="00BD7B93"/>
    <w:rsid w:val="00BE041A"/>
    <w:rsid w:val="00BE22DB"/>
    <w:rsid w:val="00BE2AF0"/>
    <w:rsid w:val="00BE701C"/>
    <w:rsid w:val="00BF03F3"/>
    <w:rsid w:val="00BF1143"/>
    <w:rsid w:val="00BF146C"/>
    <w:rsid w:val="00C01406"/>
    <w:rsid w:val="00C01727"/>
    <w:rsid w:val="00C01C7B"/>
    <w:rsid w:val="00C06B6E"/>
    <w:rsid w:val="00C07091"/>
    <w:rsid w:val="00C07C2E"/>
    <w:rsid w:val="00C11016"/>
    <w:rsid w:val="00C138F3"/>
    <w:rsid w:val="00C14B34"/>
    <w:rsid w:val="00C200F8"/>
    <w:rsid w:val="00C202CE"/>
    <w:rsid w:val="00C217F4"/>
    <w:rsid w:val="00C21EF7"/>
    <w:rsid w:val="00C245BB"/>
    <w:rsid w:val="00C24698"/>
    <w:rsid w:val="00C246FE"/>
    <w:rsid w:val="00C301AA"/>
    <w:rsid w:val="00C306BE"/>
    <w:rsid w:val="00C30840"/>
    <w:rsid w:val="00C30852"/>
    <w:rsid w:val="00C34217"/>
    <w:rsid w:val="00C3612B"/>
    <w:rsid w:val="00C37AE0"/>
    <w:rsid w:val="00C37FC2"/>
    <w:rsid w:val="00C42D36"/>
    <w:rsid w:val="00C44504"/>
    <w:rsid w:val="00C44D90"/>
    <w:rsid w:val="00C44E1F"/>
    <w:rsid w:val="00C46F91"/>
    <w:rsid w:val="00C5021F"/>
    <w:rsid w:val="00C513BD"/>
    <w:rsid w:val="00C519F2"/>
    <w:rsid w:val="00C51A67"/>
    <w:rsid w:val="00C57B19"/>
    <w:rsid w:val="00C60A70"/>
    <w:rsid w:val="00C61BD1"/>
    <w:rsid w:val="00C641BB"/>
    <w:rsid w:val="00C64CB1"/>
    <w:rsid w:val="00C66A18"/>
    <w:rsid w:val="00C71A65"/>
    <w:rsid w:val="00C75B56"/>
    <w:rsid w:val="00C765AD"/>
    <w:rsid w:val="00C8650C"/>
    <w:rsid w:val="00C86816"/>
    <w:rsid w:val="00C918A1"/>
    <w:rsid w:val="00C94110"/>
    <w:rsid w:val="00C972AC"/>
    <w:rsid w:val="00C97546"/>
    <w:rsid w:val="00CA1E55"/>
    <w:rsid w:val="00CA2293"/>
    <w:rsid w:val="00CA43D5"/>
    <w:rsid w:val="00CA452C"/>
    <w:rsid w:val="00CA461E"/>
    <w:rsid w:val="00CA50A6"/>
    <w:rsid w:val="00CA5B4D"/>
    <w:rsid w:val="00CB177C"/>
    <w:rsid w:val="00CB30E9"/>
    <w:rsid w:val="00CB33EA"/>
    <w:rsid w:val="00CB3F2F"/>
    <w:rsid w:val="00CB6984"/>
    <w:rsid w:val="00CB7009"/>
    <w:rsid w:val="00CC1092"/>
    <w:rsid w:val="00CC134B"/>
    <w:rsid w:val="00CC1A02"/>
    <w:rsid w:val="00CC2668"/>
    <w:rsid w:val="00CC284F"/>
    <w:rsid w:val="00CC324E"/>
    <w:rsid w:val="00CC4174"/>
    <w:rsid w:val="00CC5E94"/>
    <w:rsid w:val="00CC66CA"/>
    <w:rsid w:val="00CC7A81"/>
    <w:rsid w:val="00CD08F3"/>
    <w:rsid w:val="00CD2F23"/>
    <w:rsid w:val="00CD315E"/>
    <w:rsid w:val="00CD4655"/>
    <w:rsid w:val="00CD5297"/>
    <w:rsid w:val="00CD603E"/>
    <w:rsid w:val="00CD6573"/>
    <w:rsid w:val="00CE1452"/>
    <w:rsid w:val="00CE157B"/>
    <w:rsid w:val="00CE4DC5"/>
    <w:rsid w:val="00CE552C"/>
    <w:rsid w:val="00CF17D8"/>
    <w:rsid w:val="00CF23F1"/>
    <w:rsid w:val="00CF268E"/>
    <w:rsid w:val="00CF31F9"/>
    <w:rsid w:val="00CF4C32"/>
    <w:rsid w:val="00CF7893"/>
    <w:rsid w:val="00D015FB"/>
    <w:rsid w:val="00D04B91"/>
    <w:rsid w:val="00D05C4D"/>
    <w:rsid w:val="00D16FD8"/>
    <w:rsid w:val="00D24E10"/>
    <w:rsid w:val="00D2760E"/>
    <w:rsid w:val="00D276C8"/>
    <w:rsid w:val="00D31FF2"/>
    <w:rsid w:val="00D344A0"/>
    <w:rsid w:val="00D35765"/>
    <w:rsid w:val="00D4158C"/>
    <w:rsid w:val="00D43E8A"/>
    <w:rsid w:val="00D551F6"/>
    <w:rsid w:val="00D572DC"/>
    <w:rsid w:val="00D65F7F"/>
    <w:rsid w:val="00D7017E"/>
    <w:rsid w:val="00D805B1"/>
    <w:rsid w:val="00D82AA4"/>
    <w:rsid w:val="00D844ED"/>
    <w:rsid w:val="00D851C8"/>
    <w:rsid w:val="00D86BC4"/>
    <w:rsid w:val="00D87590"/>
    <w:rsid w:val="00D87813"/>
    <w:rsid w:val="00D912E5"/>
    <w:rsid w:val="00D91333"/>
    <w:rsid w:val="00D91383"/>
    <w:rsid w:val="00D91991"/>
    <w:rsid w:val="00D92A1B"/>
    <w:rsid w:val="00D9371B"/>
    <w:rsid w:val="00D94322"/>
    <w:rsid w:val="00D96A97"/>
    <w:rsid w:val="00DA0C00"/>
    <w:rsid w:val="00DA286D"/>
    <w:rsid w:val="00DA3524"/>
    <w:rsid w:val="00DA379B"/>
    <w:rsid w:val="00DA55F0"/>
    <w:rsid w:val="00DB24BB"/>
    <w:rsid w:val="00DB34D2"/>
    <w:rsid w:val="00DB5A47"/>
    <w:rsid w:val="00DB793B"/>
    <w:rsid w:val="00DC3282"/>
    <w:rsid w:val="00DC35CE"/>
    <w:rsid w:val="00DC63A9"/>
    <w:rsid w:val="00DD3466"/>
    <w:rsid w:val="00DE037E"/>
    <w:rsid w:val="00DE0F0F"/>
    <w:rsid w:val="00DE25DF"/>
    <w:rsid w:val="00DE3493"/>
    <w:rsid w:val="00DE59FA"/>
    <w:rsid w:val="00DF4731"/>
    <w:rsid w:val="00DF4754"/>
    <w:rsid w:val="00DF4B45"/>
    <w:rsid w:val="00DF55C9"/>
    <w:rsid w:val="00DF5DB1"/>
    <w:rsid w:val="00E012B8"/>
    <w:rsid w:val="00E053C3"/>
    <w:rsid w:val="00E06FE2"/>
    <w:rsid w:val="00E07477"/>
    <w:rsid w:val="00E07F8A"/>
    <w:rsid w:val="00E116DF"/>
    <w:rsid w:val="00E227A2"/>
    <w:rsid w:val="00E22AE4"/>
    <w:rsid w:val="00E231B2"/>
    <w:rsid w:val="00E25EA6"/>
    <w:rsid w:val="00E27BC9"/>
    <w:rsid w:val="00E3115D"/>
    <w:rsid w:val="00E328DF"/>
    <w:rsid w:val="00E35110"/>
    <w:rsid w:val="00E37F36"/>
    <w:rsid w:val="00E41224"/>
    <w:rsid w:val="00E41515"/>
    <w:rsid w:val="00E4191F"/>
    <w:rsid w:val="00E433B6"/>
    <w:rsid w:val="00E4388A"/>
    <w:rsid w:val="00E43D10"/>
    <w:rsid w:val="00E4531C"/>
    <w:rsid w:val="00E456F4"/>
    <w:rsid w:val="00E55FFE"/>
    <w:rsid w:val="00E5634E"/>
    <w:rsid w:val="00E619C6"/>
    <w:rsid w:val="00E644E0"/>
    <w:rsid w:val="00E70B14"/>
    <w:rsid w:val="00E744D4"/>
    <w:rsid w:val="00E74811"/>
    <w:rsid w:val="00E7537B"/>
    <w:rsid w:val="00E75E77"/>
    <w:rsid w:val="00E76725"/>
    <w:rsid w:val="00E76A90"/>
    <w:rsid w:val="00E77629"/>
    <w:rsid w:val="00E800DF"/>
    <w:rsid w:val="00E80DA0"/>
    <w:rsid w:val="00E81B66"/>
    <w:rsid w:val="00E83B1E"/>
    <w:rsid w:val="00E854A9"/>
    <w:rsid w:val="00E9005D"/>
    <w:rsid w:val="00E9093D"/>
    <w:rsid w:val="00E91E80"/>
    <w:rsid w:val="00E91FA8"/>
    <w:rsid w:val="00E95F47"/>
    <w:rsid w:val="00EA0360"/>
    <w:rsid w:val="00EA06E6"/>
    <w:rsid w:val="00EA196B"/>
    <w:rsid w:val="00EA5DEA"/>
    <w:rsid w:val="00EB30C9"/>
    <w:rsid w:val="00EB3803"/>
    <w:rsid w:val="00EB3B59"/>
    <w:rsid w:val="00EB3E7C"/>
    <w:rsid w:val="00EB4FB8"/>
    <w:rsid w:val="00EB5E0D"/>
    <w:rsid w:val="00EB6866"/>
    <w:rsid w:val="00EC4385"/>
    <w:rsid w:val="00EC6AF7"/>
    <w:rsid w:val="00ED20D8"/>
    <w:rsid w:val="00EE0C2D"/>
    <w:rsid w:val="00EE1002"/>
    <w:rsid w:val="00EE5264"/>
    <w:rsid w:val="00EE6049"/>
    <w:rsid w:val="00EE69A6"/>
    <w:rsid w:val="00EE797C"/>
    <w:rsid w:val="00EF1765"/>
    <w:rsid w:val="00EF1B6A"/>
    <w:rsid w:val="00EF2C09"/>
    <w:rsid w:val="00EF2E5B"/>
    <w:rsid w:val="00EF40F2"/>
    <w:rsid w:val="00EF5AB7"/>
    <w:rsid w:val="00EF689E"/>
    <w:rsid w:val="00EF715F"/>
    <w:rsid w:val="00EF73A4"/>
    <w:rsid w:val="00F0138D"/>
    <w:rsid w:val="00F026F0"/>
    <w:rsid w:val="00F03A7E"/>
    <w:rsid w:val="00F0584E"/>
    <w:rsid w:val="00F122FB"/>
    <w:rsid w:val="00F1492F"/>
    <w:rsid w:val="00F160A5"/>
    <w:rsid w:val="00F24412"/>
    <w:rsid w:val="00F24E6D"/>
    <w:rsid w:val="00F25CB0"/>
    <w:rsid w:val="00F2663C"/>
    <w:rsid w:val="00F276FE"/>
    <w:rsid w:val="00F27AE4"/>
    <w:rsid w:val="00F34D81"/>
    <w:rsid w:val="00F35EE3"/>
    <w:rsid w:val="00F36043"/>
    <w:rsid w:val="00F36143"/>
    <w:rsid w:val="00F37101"/>
    <w:rsid w:val="00F41C26"/>
    <w:rsid w:val="00F441C3"/>
    <w:rsid w:val="00F4631C"/>
    <w:rsid w:val="00F46332"/>
    <w:rsid w:val="00F51D91"/>
    <w:rsid w:val="00F5409F"/>
    <w:rsid w:val="00F54173"/>
    <w:rsid w:val="00F5695C"/>
    <w:rsid w:val="00F6111D"/>
    <w:rsid w:val="00F61610"/>
    <w:rsid w:val="00F6222C"/>
    <w:rsid w:val="00F66BD3"/>
    <w:rsid w:val="00F700F2"/>
    <w:rsid w:val="00F70A83"/>
    <w:rsid w:val="00F71604"/>
    <w:rsid w:val="00F735FA"/>
    <w:rsid w:val="00F7599B"/>
    <w:rsid w:val="00F75DB1"/>
    <w:rsid w:val="00F77C58"/>
    <w:rsid w:val="00F8043B"/>
    <w:rsid w:val="00F9348B"/>
    <w:rsid w:val="00F9372D"/>
    <w:rsid w:val="00F97874"/>
    <w:rsid w:val="00F97D67"/>
    <w:rsid w:val="00FA2398"/>
    <w:rsid w:val="00FA3336"/>
    <w:rsid w:val="00FA4334"/>
    <w:rsid w:val="00FB11E9"/>
    <w:rsid w:val="00FB481A"/>
    <w:rsid w:val="00FC04A7"/>
    <w:rsid w:val="00FC3AB7"/>
    <w:rsid w:val="00FC5047"/>
    <w:rsid w:val="00FC611E"/>
    <w:rsid w:val="00FC6D8A"/>
    <w:rsid w:val="00FD01AE"/>
    <w:rsid w:val="00FD22D0"/>
    <w:rsid w:val="00FD34A4"/>
    <w:rsid w:val="00FD3975"/>
    <w:rsid w:val="00FE1574"/>
    <w:rsid w:val="00FE1B2C"/>
    <w:rsid w:val="00FE72E6"/>
    <w:rsid w:val="00FE79B7"/>
    <w:rsid w:val="00FE7A5A"/>
    <w:rsid w:val="00FF0FDC"/>
    <w:rsid w:val="00FF1015"/>
    <w:rsid w:val="00FF26E9"/>
    <w:rsid w:val="00FF2D10"/>
    <w:rsid w:val="00FF62EA"/>
    <w:rsid w:val="00FF70AB"/>
    <w:rsid w:val="00FF7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F015-358C-4244-A68F-241194B6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0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371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F26B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6BC"/>
    <w:rPr>
      <w:rFonts w:ascii="Times New Roman" w:eastAsia="Times New Roman" w:hAnsi="Times New Roman" w:cs="Times New Roman"/>
      <w:b/>
      <w:bCs/>
      <w:sz w:val="27"/>
      <w:szCs w:val="27"/>
      <w:lang w:eastAsia="lv-LV"/>
    </w:rPr>
  </w:style>
  <w:style w:type="paragraph" w:styleId="Title">
    <w:name w:val="Title"/>
    <w:basedOn w:val="Normal"/>
    <w:link w:val="TitleChar"/>
    <w:qFormat/>
    <w:rsid w:val="007F26BC"/>
    <w:pPr>
      <w:jc w:val="center"/>
    </w:pPr>
    <w:rPr>
      <w:sz w:val="28"/>
      <w:szCs w:val="20"/>
      <w:lang w:eastAsia="en-US"/>
    </w:rPr>
  </w:style>
  <w:style w:type="character" w:customStyle="1" w:styleId="TitleChar">
    <w:name w:val="Title Char"/>
    <w:basedOn w:val="DefaultParagraphFont"/>
    <w:link w:val="Title"/>
    <w:rsid w:val="007F26BC"/>
    <w:rPr>
      <w:rFonts w:ascii="Times New Roman" w:eastAsia="Times New Roman" w:hAnsi="Times New Roman" w:cs="Times New Roman"/>
      <w:sz w:val="28"/>
      <w:szCs w:val="20"/>
    </w:rPr>
  </w:style>
  <w:style w:type="character" w:styleId="Hyperlink">
    <w:name w:val="Hyperlink"/>
    <w:basedOn w:val="DefaultParagraphFont"/>
    <w:uiPriority w:val="99"/>
    <w:unhideWhenUsed/>
    <w:rsid w:val="007F26BC"/>
    <w:rPr>
      <w:color w:val="0000FF"/>
      <w:u w:val="single"/>
    </w:rPr>
  </w:style>
  <w:style w:type="paragraph" w:styleId="Header">
    <w:name w:val="header"/>
    <w:basedOn w:val="Normal"/>
    <w:link w:val="HeaderChar"/>
    <w:uiPriority w:val="99"/>
    <w:unhideWhenUsed/>
    <w:rsid w:val="007F26BC"/>
    <w:pPr>
      <w:tabs>
        <w:tab w:val="center" w:pos="4153"/>
        <w:tab w:val="right" w:pos="8306"/>
      </w:tabs>
    </w:pPr>
  </w:style>
  <w:style w:type="character" w:customStyle="1" w:styleId="HeaderChar">
    <w:name w:val="Header Char"/>
    <w:basedOn w:val="DefaultParagraphFont"/>
    <w:link w:val="Header"/>
    <w:uiPriority w:val="99"/>
    <w:rsid w:val="007F26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F26BC"/>
    <w:pPr>
      <w:tabs>
        <w:tab w:val="center" w:pos="4153"/>
        <w:tab w:val="right" w:pos="8306"/>
      </w:tabs>
    </w:pPr>
  </w:style>
  <w:style w:type="character" w:customStyle="1" w:styleId="FooterChar">
    <w:name w:val="Footer Char"/>
    <w:basedOn w:val="DefaultParagraphFont"/>
    <w:link w:val="Footer"/>
    <w:uiPriority w:val="99"/>
    <w:rsid w:val="007F26BC"/>
    <w:rPr>
      <w:rFonts w:ascii="Times New Roman" w:eastAsia="Times New Roman" w:hAnsi="Times New Roman" w:cs="Times New Roman"/>
      <w:sz w:val="24"/>
      <w:szCs w:val="24"/>
      <w:lang w:eastAsia="lv-LV"/>
    </w:rPr>
  </w:style>
  <w:style w:type="paragraph" w:customStyle="1" w:styleId="naisf">
    <w:name w:val="naisf"/>
    <w:basedOn w:val="Normal"/>
    <w:rsid w:val="007F26BC"/>
    <w:pPr>
      <w:spacing w:before="100" w:after="100"/>
    </w:pPr>
    <w:rPr>
      <w:szCs w:val="20"/>
    </w:rPr>
  </w:style>
  <w:style w:type="paragraph" w:styleId="FootnoteText">
    <w:name w:val="footnote text"/>
    <w:basedOn w:val="Normal"/>
    <w:link w:val="FootnoteTextChar"/>
    <w:uiPriority w:val="99"/>
    <w:semiHidden/>
    <w:unhideWhenUsed/>
    <w:rsid w:val="007F26BC"/>
    <w:rPr>
      <w:sz w:val="20"/>
      <w:szCs w:val="20"/>
    </w:rPr>
  </w:style>
  <w:style w:type="character" w:customStyle="1" w:styleId="FootnoteTextChar">
    <w:name w:val="Footnote Text Char"/>
    <w:basedOn w:val="DefaultParagraphFont"/>
    <w:link w:val="FootnoteText"/>
    <w:uiPriority w:val="99"/>
    <w:semiHidden/>
    <w:rsid w:val="007F26B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F26BC"/>
    <w:rPr>
      <w:vertAlign w:val="superscript"/>
    </w:rPr>
  </w:style>
  <w:style w:type="paragraph" w:customStyle="1" w:styleId="naiskr">
    <w:name w:val="naiskr"/>
    <w:basedOn w:val="Normal"/>
    <w:rsid w:val="002C14EE"/>
    <w:pPr>
      <w:spacing w:before="75" w:after="75"/>
    </w:pPr>
  </w:style>
  <w:style w:type="paragraph" w:customStyle="1" w:styleId="NormalWebCharChar">
    <w:name w:val="Normal (Web) Char Char"/>
    <w:basedOn w:val="Normal"/>
    <w:rsid w:val="003C6FAF"/>
    <w:pPr>
      <w:widowControl w:val="0"/>
      <w:suppressAutoHyphens/>
      <w:spacing w:before="280" w:after="280"/>
    </w:pPr>
    <w:rPr>
      <w:color w:val="000000"/>
      <w:sz w:val="20"/>
      <w:szCs w:val="20"/>
      <w:lang w:eastAsia="zh-CN"/>
    </w:rPr>
  </w:style>
  <w:style w:type="paragraph" w:styleId="CommentText">
    <w:name w:val="annotation text"/>
    <w:basedOn w:val="Normal"/>
    <w:link w:val="CommentTextChar"/>
    <w:unhideWhenUsed/>
    <w:rsid w:val="0035718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357189"/>
    <w:rPr>
      <w:sz w:val="20"/>
      <w:szCs w:val="20"/>
    </w:rPr>
  </w:style>
  <w:style w:type="character" w:customStyle="1" w:styleId="Heading1Char">
    <w:name w:val="Heading 1 Char"/>
    <w:basedOn w:val="DefaultParagraphFont"/>
    <w:link w:val="Heading1"/>
    <w:uiPriority w:val="9"/>
    <w:rsid w:val="003710D7"/>
    <w:rPr>
      <w:rFonts w:asciiTheme="majorHAnsi" w:eastAsiaTheme="majorEastAsia" w:hAnsiTheme="majorHAnsi" w:cstheme="majorBidi"/>
      <w:color w:val="2E74B5" w:themeColor="accent1" w:themeShade="BF"/>
      <w:sz w:val="32"/>
      <w:szCs w:val="32"/>
      <w:lang w:eastAsia="lv-LV"/>
    </w:rPr>
  </w:style>
  <w:style w:type="paragraph" w:styleId="ListParagraph">
    <w:name w:val="List Paragraph"/>
    <w:basedOn w:val="Normal"/>
    <w:uiPriority w:val="34"/>
    <w:qFormat/>
    <w:rsid w:val="005265F6"/>
    <w:pPr>
      <w:ind w:left="720"/>
      <w:contextualSpacing/>
    </w:pPr>
  </w:style>
  <w:style w:type="paragraph" w:styleId="BalloonText">
    <w:name w:val="Balloon Text"/>
    <w:basedOn w:val="Normal"/>
    <w:link w:val="BalloonTextChar"/>
    <w:uiPriority w:val="99"/>
    <w:semiHidden/>
    <w:unhideWhenUsed/>
    <w:rsid w:val="005D1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6B"/>
    <w:rPr>
      <w:rFonts w:ascii="Segoe UI" w:eastAsia="Times New Roman" w:hAnsi="Segoe UI" w:cs="Segoe UI"/>
      <w:sz w:val="18"/>
      <w:szCs w:val="18"/>
      <w:lang w:eastAsia="lv-LV"/>
    </w:rPr>
  </w:style>
  <w:style w:type="paragraph" w:styleId="NormalWeb">
    <w:name w:val="Normal (Web)"/>
    <w:basedOn w:val="Normal"/>
    <w:uiPriority w:val="99"/>
    <w:unhideWhenUsed/>
    <w:rsid w:val="00CB30E9"/>
    <w:pPr>
      <w:spacing w:before="100" w:beforeAutospacing="1" w:after="100" w:afterAutospacing="1"/>
    </w:pPr>
  </w:style>
  <w:style w:type="table" w:styleId="TableGrid">
    <w:name w:val="Table Grid"/>
    <w:basedOn w:val="TableNormal"/>
    <w:uiPriority w:val="39"/>
    <w:rsid w:val="0014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68EF"/>
    <w:pPr>
      <w:spacing w:after="0" w:line="240" w:lineRule="auto"/>
    </w:pPr>
    <w:rPr>
      <w:rFonts w:ascii="Calibri" w:eastAsia="Times New Roman" w:hAnsi="Calibri" w:cs="Times New Roman"/>
      <w:lang w:eastAsia="lv-LV"/>
    </w:rPr>
  </w:style>
  <w:style w:type="character" w:styleId="CommentReference">
    <w:name w:val="annotation reference"/>
    <w:basedOn w:val="DefaultParagraphFont"/>
    <w:uiPriority w:val="99"/>
    <w:semiHidden/>
    <w:unhideWhenUsed/>
    <w:rsid w:val="00DF55C9"/>
    <w:rPr>
      <w:sz w:val="16"/>
      <w:szCs w:val="16"/>
    </w:rPr>
  </w:style>
  <w:style w:type="paragraph" w:styleId="CommentSubject">
    <w:name w:val="annotation subject"/>
    <w:basedOn w:val="CommentText"/>
    <w:next w:val="CommentText"/>
    <w:link w:val="CommentSubjectChar"/>
    <w:uiPriority w:val="99"/>
    <w:semiHidden/>
    <w:unhideWhenUsed/>
    <w:rsid w:val="00DF55C9"/>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DF55C9"/>
    <w:rPr>
      <w:rFonts w:ascii="Times New Roman" w:eastAsia="Times New Roman" w:hAnsi="Times New Roman" w:cs="Times New Roman"/>
      <w:b/>
      <w:bCs/>
      <w:sz w:val="20"/>
      <w:szCs w:val="20"/>
      <w:lang w:eastAsia="lv-LV"/>
    </w:rPr>
  </w:style>
  <w:style w:type="paragraph" w:customStyle="1" w:styleId="tv2131">
    <w:name w:val="tv2131"/>
    <w:basedOn w:val="Normal"/>
    <w:rsid w:val="00BF03F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2905">
      <w:bodyDiv w:val="1"/>
      <w:marLeft w:val="0"/>
      <w:marRight w:val="0"/>
      <w:marTop w:val="0"/>
      <w:marBottom w:val="0"/>
      <w:divBdr>
        <w:top w:val="none" w:sz="0" w:space="0" w:color="auto"/>
        <w:left w:val="none" w:sz="0" w:space="0" w:color="auto"/>
        <w:bottom w:val="none" w:sz="0" w:space="0" w:color="auto"/>
        <w:right w:val="none" w:sz="0" w:space="0" w:color="auto"/>
      </w:divBdr>
    </w:div>
    <w:div w:id="121387410">
      <w:bodyDiv w:val="1"/>
      <w:marLeft w:val="0"/>
      <w:marRight w:val="0"/>
      <w:marTop w:val="0"/>
      <w:marBottom w:val="0"/>
      <w:divBdr>
        <w:top w:val="none" w:sz="0" w:space="0" w:color="auto"/>
        <w:left w:val="none" w:sz="0" w:space="0" w:color="auto"/>
        <w:bottom w:val="none" w:sz="0" w:space="0" w:color="auto"/>
        <w:right w:val="none" w:sz="0" w:space="0" w:color="auto"/>
      </w:divBdr>
    </w:div>
    <w:div w:id="163663913">
      <w:bodyDiv w:val="1"/>
      <w:marLeft w:val="0"/>
      <w:marRight w:val="0"/>
      <w:marTop w:val="0"/>
      <w:marBottom w:val="0"/>
      <w:divBdr>
        <w:top w:val="none" w:sz="0" w:space="0" w:color="auto"/>
        <w:left w:val="none" w:sz="0" w:space="0" w:color="auto"/>
        <w:bottom w:val="none" w:sz="0" w:space="0" w:color="auto"/>
        <w:right w:val="none" w:sz="0" w:space="0" w:color="auto"/>
      </w:divBdr>
    </w:div>
    <w:div w:id="302079295">
      <w:bodyDiv w:val="1"/>
      <w:marLeft w:val="0"/>
      <w:marRight w:val="0"/>
      <w:marTop w:val="0"/>
      <w:marBottom w:val="0"/>
      <w:divBdr>
        <w:top w:val="none" w:sz="0" w:space="0" w:color="auto"/>
        <w:left w:val="none" w:sz="0" w:space="0" w:color="auto"/>
        <w:bottom w:val="none" w:sz="0" w:space="0" w:color="auto"/>
        <w:right w:val="none" w:sz="0" w:space="0" w:color="auto"/>
      </w:divBdr>
    </w:div>
    <w:div w:id="398941401">
      <w:bodyDiv w:val="1"/>
      <w:marLeft w:val="0"/>
      <w:marRight w:val="0"/>
      <w:marTop w:val="0"/>
      <w:marBottom w:val="0"/>
      <w:divBdr>
        <w:top w:val="none" w:sz="0" w:space="0" w:color="auto"/>
        <w:left w:val="none" w:sz="0" w:space="0" w:color="auto"/>
        <w:bottom w:val="none" w:sz="0" w:space="0" w:color="auto"/>
        <w:right w:val="none" w:sz="0" w:space="0" w:color="auto"/>
      </w:divBdr>
    </w:div>
    <w:div w:id="615063067">
      <w:bodyDiv w:val="1"/>
      <w:marLeft w:val="0"/>
      <w:marRight w:val="0"/>
      <w:marTop w:val="0"/>
      <w:marBottom w:val="0"/>
      <w:divBdr>
        <w:top w:val="none" w:sz="0" w:space="0" w:color="auto"/>
        <w:left w:val="none" w:sz="0" w:space="0" w:color="auto"/>
        <w:bottom w:val="none" w:sz="0" w:space="0" w:color="auto"/>
        <w:right w:val="none" w:sz="0" w:space="0" w:color="auto"/>
      </w:divBdr>
    </w:div>
    <w:div w:id="682051169">
      <w:bodyDiv w:val="1"/>
      <w:marLeft w:val="0"/>
      <w:marRight w:val="0"/>
      <w:marTop w:val="0"/>
      <w:marBottom w:val="0"/>
      <w:divBdr>
        <w:top w:val="none" w:sz="0" w:space="0" w:color="auto"/>
        <w:left w:val="none" w:sz="0" w:space="0" w:color="auto"/>
        <w:bottom w:val="none" w:sz="0" w:space="0" w:color="auto"/>
        <w:right w:val="none" w:sz="0" w:space="0" w:color="auto"/>
      </w:divBdr>
    </w:div>
    <w:div w:id="792331347">
      <w:bodyDiv w:val="1"/>
      <w:marLeft w:val="0"/>
      <w:marRight w:val="0"/>
      <w:marTop w:val="0"/>
      <w:marBottom w:val="0"/>
      <w:divBdr>
        <w:top w:val="none" w:sz="0" w:space="0" w:color="auto"/>
        <w:left w:val="none" w:sz="0" w:space="0" w:color="auto"/>
        <w:bottom w:val="none" w:sz="0" w:space="0" w:color="auto"/>
        <w:right w:val="none" w:sz="0" w:space="0" w:color="auto"/>
      </w:divBdr>
    </w:div>
    <w:div w:id="837310237">
      <w:bodyDiv w:val="1"/>
      <w:marLeft w:val="0"/>
      <w:marRight w:val="0"/>
      <w:marTop w:val="0"/>
      <w:marBottom w:val="0"/>
      <w:divBdr>
        <w:top w:val="none" w:sz="0" w:space="0" w:color="auto"/>
        <w:left w:val="none" w:sz="0" w:space="0" w:color="auto"/>
        <w:bottom w:val="none" w:sz="0" w:space="0" w:color="auto"/>
        <w:right w:val="none" w:sz="0" w:space="0" w:color="auto"/>
      </w:divBdr>
    </w:div>
    <w:div w:id="916213596">
      <w:bodyDiv w:val="1"/>
      <w:marLeft w:val="0"/>
      <w:marRight w:val="0"/>
      <w:marTop w:val="0"/>
      <w:marBottom w:val="0"/>
      <w:divBdr>
        <w:top w:val="none" w:sz="0" w:space="0" w:color="auto"/>
        <w:left w:val="none" w:sz="0" w:space="0" w:color="auto"/>
        <w:bottom w:val="none" w:sz="0" w:space="0" w:color="auto"/>
        <w:right w:val="none" w:sz="0" w:space="0" w:color="auto"/>
      </w:divBdr>
    </w:div>
    <w:div w:id="984092992">
      <w:bodyDiv w:val="1"/>
      <w:marLeft w:val="0"/>
      <w:marRight w:val="0"/>
      <w:marTop w:val="0"/>
      <w:marBottom w:val="0"/>
      <w:divBdr>
        <w:top w:val="none" w:sz="0" w:space="0" w:color="auto"/>
        <w:left w:val="none" w:sz="0" w:space="0" w:color="auto"/>
        <w:bottom w:val="none" w:sz="0" w:space="0" w:color="auto"/>
        <w:right w:val="none" w:sz="0" w:space="0" w:color="auto"/>
      </w:divBdr>
    </w:div>
    <w:div w:id="1015352444">
      <w:bodyDiv w:val="1"/>
      <w:marLeft w:val="0"/>
      <w:marRight w:val="0"/>
      <w:marTop w:val="0"/>
      <w:marBottom w:val="0"/>
      <w:divBdr>
        <w:top w:val="none" w:sz="0" w:space="0" w:color="auto"/>
        <w:left w:val="none" w:sz="0" w:space="0" w:color="auto"/>
        <w:bottom w:val="none" w:sz="0" w:space="0" w:color="auto"/>
        <w:right w:val="none" w:sz="0" w:space="0" w:color="auto"/>
      </w:divBdr>
      <w:divsChild>
        <w:div w:id="540749567">
          <w:marLeft w:val="0"/>
          <w:marRight w:val="0"/>
          <w:marTop w:val="0"/>
          <w:marBottom w:val="0"/>
          <w:divBdr>
            <w:top w:val="none" w:sz="0" w:space="0" w:color="auto"/>
            <w:left w:val="none" w:sz="0" w:space="0" w:color="auto"/>
            <w:bottom w:val="none" w:sz="0" w:space="0" w:color="auto"/>
            <w:right w:val="none" w:sz="0" w:space="0" w:color="auto"/>
          </w:divBdr>
          <w:divsChild>
            <w:div w:id="1142311745">
              <w:marLeft w:val="0"/>
              <w:marRight w:val="0"/>
              <w:marTop w:val="0"/>
              <w:marBottom w:val="0"/>
              <w:divBdr>
                <w:top w:val="none" w:sz="0" w:space="0" w:color="auto"/>
                <w:left w:val="none" w:sz="0" w:space="0" w:color="auto"/>
                <w:bottom w:val="none" w:sz="0" w:space="0" w:color="auto"/>
                <w:right w:val="none" w:sz="0" w:space="0" w:color="auto"/>
              </w:divBdr>
              <w:divsChild>
                <w:div w:id="1912499700">
                  <w:marLeft w:val="0"/>
                  <w:marRight w:val="0"/>
                  <w:marTop w:val="0"/>
                  <w:marBottom w:val="0"/>
                  <w:divBdr>
                    <w:top w:val="none" w:sz="0" w:space="0" w:color="auto"/>
                    <w:left w:val="none" w:sz="0" w:space="0" w:color="auto"/>
                    <w:bottom w:val="none" w:sz="0" w:space="0" w:color="auto"/>
                    <w:right w:val="none" w:sz="0" w:space="0" w:color="auto"/>
                  </w:divBdr>
                  <w:divsChild>
                    <w:div w:id="660275286">
                      <w:marLeft w:val="0"/>
                      <w:marRight w:val="0"/>
                      <w:marTop w:val="0"/>
                      <w:marBottom w:val="0"/>
                      <w:divBdr>
                        <w:top w:val="none" w:sz="0" w:space="0" w:color="auto"/>
                        <w:left w:val="none" w:sz="0" w:space="0" w:color="auto"/>
                        <w:bottom w:val="none" w:sz="0" w:space="0" w:color="auto"/>
                        <w:right w:val="none" w:sz="0" w:space="0" w:color="auto"/>
                      </w:divBdr>
                      <w:divsChild>
                        <w:div w:id="1238444414">
                          <w:marLeft w:val="0"/>
                          <w:marRight w:val="0"/>
                          <w:marTop w:val="0"/>
                          <w:marBottom w:val="0"/>
                          <w:divBdr>
                            <w:top w:val="none" w:sz="0" w:space="0" w:color="auto"/>
                            <w:left w:val="none" w:sz="0" w:space="0" w:color="auto"/>
                            <w:bottom w:val="none" w:sz="0" w:space="0" w:color="auto"/>
                            <w:right w:val="none" w:sz="0" w:space="0" w:color="auto"/>
                          </w:divBdr>
                        </w:div>
                        <w:div w:id="1604192341">
                          <w:marLeft w:val="0"/>
                          <w:marRight w:val="0"/>
                          <w:marTop w:val="0"/>
                          <w:marBottom w:val="0"/>
                          <w:divBdr>
                            <w:top w:val="none" w:sz="0" w:space="0" w:color="auto"/>
                            <w:left w:val="none" w:sz="0" w:space="0" w:color="auto"/>
                            <w:bottom w:val="none" w:sz="0" w:space="0" w:color="auto"/>
                            <w:right w:val="none" w:sz="0" w:space="0" w:color="auto"/>
                          </w:divBdr>
                          <w:divsChild>
                            <w:div w:id="313294406">
                              <w:marLeft w:val="0"/>
                              <w:marRight w:val="0"/>
                              <w:marTop w:val="0"/>
                              <w:marBottom w:val="0"/>
                              <w:divBdr>
                                <w:top w:val="none" w:sz="0" w:space="0" w:color="auto"/>
                                <w:left w:val="none" w:sz="0" w:space="0" w:color="auto"/>
                                <w:bottom w:val="none" w:sz="0" w:space="0" w:color="auto"/>
                                <w:right w:val="none" w:sz="0" w:space="0" w:color="auto"/>
                              </w:divBdr>
                              <w:divsChild>
                                <w:div w:id="18416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4322">
          <w:marLeft w:val="0"/>
          <w:marRight w:val="0"/>
          <w:marTop w:val="0"/>
          <w:marBottom w:val="0"/>
          <w:divBdr>
            <w:top w:val="none" w:sz="0" w:space="0" w:color="auto"/>
            <w:left w:val="none" w:sz="0" w:space="0" w:color="auto"/>
            <w:bottom w:val="none" w:sz="0" w:space="0" w:color="auto"/>
            <w:right w:val="none" w:sz="0" w:space="0" w:color="auto"/>
          </w:divBdr>
          <w:divsChild>
            <w:div w:id="454983104">
              <w:marLeft w:val="0"/>
              <w:marRight w:val="0"/>
              <w:marTop w:val="0"/>
              <w:marBottom w:val="0"/>
              <w:divBdr>
                <w:top w:val="none" w:sz="0" w:space="0" w:color="auto"/>
                <w:left w:val="none" w:sz="0" w:space="0" w:color="auto"/>
                <w:bottom w:val="none" w:sz="0" w:space="0" w:color="auto"/>
                <w:right w:val="none" w:sz="0" w:space="0" w:color="auto"/>
              </w:divBdr>
              <w:divsChild>
                <w:div w:id="73280762">
                  <w:marLeft w:val="0"/>
                  <w:marRight w:val="0"/>
                  <w:marTop w:val="0"/>
                  <w:marBottom w:val="0"/>
                  <w:divBdr>
                    <w:top w:val="none" w:sz="0" w:space="0" w:color="auto"/>
                    <w:left w:val="none" w:sz="0" w:space="0" w:color="auto"/>
                    <w:bottom w:val="none" w:sz="0" w:space="0" w:color="auto"/>
                    <w:right w:val="none" w:sz="0" w:space="0" w:color="auto"/>
                  </w:divBdr>
                  <w:divsChild>
                    <w:div w:id="1239091794">
                      <w:marLeft w:val="0"/>
                      <w:marRight w:val="0"/>
                      <w:marTop w:val="0"/>
                      <w:marBottom w:val="0"/>
                      <w:divBdr>
                        <w:top w:val="none" w:sz="0" w:space="0" w:color="auto"/>
                        <w:left w:val="none" w:sz="0" w:space="0" w:color="auto"/>
                        <w:bottom w:val="none" w:sz="0" w:space="0" w:color="auto"/>
                        <w:right w:val="none" w:sz="0" w:space="0" w:color="auto"/>
                      </w:divBdr>
                      <w:divsChild>
                        <w:div w:id="484518493">
                          <w:marLeft w:val="0"/>
                          <w:marRight w:val="0"/>
                          <w:marTop w:val="0"/>
                          <w:marBottom w:val="0"/>
                          <w:divBdr>
                            <w:top w:val="none" w:sz="0" w:space="0" w:color="auto"/>
                            <w:left w:val="none" w:sz="0" w:space="0" w:color="auto"/>
                            <w:bottom w:val="none" w:sz="0" w:space="0" w:color="auto"/>
                            <w:right w:val="none" w:sz="0" w:space="0" w:color="auto"/>
                          </w:divBdr>
                        </w:div>
                        <w:div w:id="201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329">
                  <w:marLeft w:val="0"/>
                  <w:marRight w:val="0"/>
                  <w:marTop w:val="0"/>
                  <w:marBottom w:val="0"/>
                  <w:divBdr>
                    <w:top w:val="none" w:sz="0" w:space="0" w:color="auto"/>
                    <w:left w:val="none" w:sz="0" w:space="0" w:color="auto"/>
                    <w:bottom w:val="none" w:sz="0" w:space="0" w:color="auto"/>
                    <w:right w:val="none" w:sz="0" w:space="0" w:color="auto"/>
                  </w:divBdr>
                  <w:divsChild>
                    <w:div w:id="1027637141">
                      <w:marLeft w:val="0"/>
                      <w:marRight w:val="0"/>
                      <w:marTop w:val="0"/>
                      <w:marBottom w:val="0"/>
                      <w:divBdr>
                        <w:top w:val="none" w:sz="0" w:space="0" w:color="auto"/>
                        <w:left w:val="none" w:sz="0" w:space="0" w:color="auto"/>
                        <w:bottom w:val="none" w:sz="0" w:space="0" w:color="auto"/>
                        <w:right w:val="none" w:sz="0" w:space="0" w:color="auto"/>
                      </w:divBdr>
                      <w:divsChild>
                        <w:div w:id="111097017">
                          <w:marLeft w:val="0"/>
                          <w:marRight w:val="0"/>
                          <w:marTop w:val="0"/>
                          <w:marBottom w:val="0"/>
                          <w:divBdr>
                            <w:top w:val="none" w:sz="0" w:space="0" w:color="auto"/>
                            <w:left w:val="none" w:sz="0" w:space="0" w:color="auto"/>
                            <w:bottom w:val="none" w:sz="0" w:space="0" w:color="auto"/>
                            <w:right w:val="none" w:sz="0" w:space="0" w:color="auto"/>
                          </w:divBdr>
                        </w:div>
                        <w:div w:id="625895435">
                          <w:marLeft w:val="0"/>
                          <w:marRight w:val="0"/>
                          <w:marTop w:val="0"/>
                          <w:marBottom w:val="0"/>
                          <w:divBdr>
                            <w:top w:val="none" w:sz="0" w:space="0" w:color="auto"/>
                            <w:left w:val="none" w:sz="0" w:space="0" w:color="auto"/>
                            <w:bottom w:val="none" w:sz="0" w:space="0" w:color="auto"/>
                            <w:right w:val="none" w:sz="0" w:space="0" w:color="auto"/>
                          </w:divBdr>
                        </w:div>
                      </w:divsChild>
                    </w:div>
                    <w:div w:id="1096830047">
                      <w:marLeft w:val="0"/>
                      <w:marRight w:val="0"/>
                      <w:marTop w:val="0"/>
                      <w:marBottom w:val="0"/>
                      <w:divBdr>
                        <w:top w:val="none" w:sz="0" w:space="0" w:color="auto"/>
                        <w:left w:val="none" w:sz="0" w:space="0" w:color="auto"/>
                        <w:bottom w:val="none" w:sz="0" w:space="0" w:color="auto"/>
                        <w:right w:val="none" w:sz="0" w:space="0" w:color="auto"/>
                      </w:divBdr>
                      <w:divsChild>
                        <w:div w:id="1155727915">
                          <w:marLeft w:val="0"/>
                          <w:marRight w:val="0"/>
                          <w:marTop w:val="0"/>
                          <w:marBottom w:val="0"/>
                          <w:divBdr>
                            <w:top w:val="none" w:sz="0" w:space="0" w:color="auto"/>
                            <w:left w:val="none" w:sz="0" w:space="0" w:color="auto"/>
                            <w:bottom w:val="none" w:sz="0" w:space="0" w:color="auto"/>
                            <w:right w:val="none" w:sz="0" w:space="0" w:color="auto"/>
                          </w:divBdr>
                          <w:divsChild>
                            <w:div w:id="1261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919">
                      <w:marLeft w:val="0"/>
                      <w:marRight w:val="0"/>
                      <w:marTop w:val="0"/>
                      <w:marBottom w:val="0"/>
                      <w:divBdr>
                        <w:top w:val="none" w:sz="0" w:space="0" w:color="auto"/>
                        <w:left w:val="none" w:sz="0" w:space="0" w:color="auto"/>
                        <w:bottom w:val="none" w:sz="0" w:space="0" w:color="auto"/>
                        <w:right w:val="none" w:sz="0" w:space="0" w:color="auto"/>
                      </w:divBdr>
                      <w:divsChild>
                        <w:div w:id="728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2787">
                  <w:marLeft w:val="0"/>
                  <w:marRight w:val="0"/>
                  <w:marTop w:val="0"/>
                  <w:marBottom w:val="0"/>
                  <w:divBdr>
                    <w:top w:val="none" w:sz="0" w:space="0" w:color="auto"/>
                    <w:left w:val="none" w:sz="0" w:space="0" w:color="auto"/>
                    <w:bottom w:val="none" w:sz="0" w:space="0" w:color="auto"/>
                    <w:right w:val="none" w:sz="0" w:space="0" w:color="auto"/>
                  </w:divBdr>
                  <w:divsChild>
                    <w:div w:id="276452974">
                      <w:marLeft w:val="0"/>
                      <w:marRight w:val="0"/>
                      <w:marTop w:val="0"/>
                      <w:marBottom w:val="0"/>
                      <w:divBdr>
                        <w:top w:val="none" w:sz="0" w:space="0" w:color="auto"/>
                        <w:left w:val="none" w:sz="0" w:space="0" w:color="auto"/>
                        <w:bottom w:val="none" w:sz="0" w:space="0" w:color="auto"/>
                        <w:right w:val="none" w:sz="0" w:space="0" w:color="auto"/>
                      </w:divBdr>
                    </w:div>
                    <w:div w:id="1295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8091">
              <w:marLeft w:val="0"/>
              <w:marRight w:val="0"/>
              <w:marTop w:val="0"/>
              <w:marBottom w:val="0"/>
              <w:divBdr>
                <w:top w:val="none" w:sz="0" w:space="0" w:color="auto"/>
                <w:left w:val="none" w:sz="0" w:space="0" w:color="auto"/>
                <w:bottom w:val="none" w:sz="0" w:space="0" w:color="auto"/>
                <w:right w:val="none" w:sz="0" w:space="0" w:color="auto"/>
              </w:divBdr>
              <w:divsChild>
                <w:div w:id="751585764">
                  <w:marLeft w:val="0"/>
                  <w:marRight w:val="0"/>
                  <w:marTop w:val="0"/>
                  <w:marBottom w:val="0"/>
                  <w:divBdr>
                    <w:top w:val="none" w:sz="0" w:space="0" w:color="auto"/>
                    <w:left w:val="none" w:sz="0" w:space="0" w:color="auto"/>
                    <w:bottom w:val="none" w:sz="0" w:space="0" w:color="auto"/>
                    <w:right w:val="none" w:sz="0" w:space="0" w:color="auto"/>
                  </w:divBdr>
                  <w:divsChild>
                    <w:div w:id="13387472">
                      <w:marLeft w:val="0"/>
                      <w:marRight w:val="0"/>
                      <w:marTop w:val="0"/>
                      <w:marBottom w:val="0"/>
                      <w:divBdr>
                        <w:top w:val="none" w:sz="0" w:space="0" w:color="auto"/>
                        <w:left w:val="none" w:sz="0" w:space="0" w:color="auto"/>
                        <w:bottom w:val="none" w:sz="0" w:space="0" w:color="auto"/>
                        <w:right w:val="none" w:sz="0" w:space="0" w:color="auto"/>
                      </w:divBdr>
                    </w:div>
                    <w:div w:id="1490711200">
                      <w:marLeft w:val="0"/>
                      <w:marRight w:val="0"/>
                      <w:marTop w:val="0"/>
                      <w:marBottom w:val="0"/>
                      <w:divBdr>
                        <w:top w:val="none" w:sz="0" w:space="0" w:color="auto"/>
                        <w:left w:val="none" w:sz="0" w:space="0" w:color="auto"/>
                        <w:bottom w:val="none" w:sz="0" w:space="0" w:color="auto"/>
                        <w:right w:val="none" w:sz="0" w:space="0" w:color="auto"/>
                      </w:divBdr>
                      <w:divsChild>
                        <w:div w:id="639770411">
                          <w:marLeft w:val="0"/>
                          <w:marRight w:val="0"/>
                          <w:marTop w:val="0"/>
                          <w:marBottom w:val="0"/>
                          <w:divBdr>
                            <w:top w:val="none" w:sz="0" w:space="0" w:color="auto"/>
                            <w:left w:val="none" w:sz="0" w:space="0" w:color="auto"/>
                            <w:bottom w:val="none" w:sz="0" w:space="0" w:color="auto"/>
                            <w:right w:val="none" w:sz="0" w:space="0" w:color="auto"/>
                          </w:divBdr>
                        </w:div>
                        <w:div w:id="1142120853">
                          <w:marLeft w:val="0"/>
                          <w:marRight w:val="0"/>
                          <w:marTop w:val="0"/>
                          <w:marBottom w:val="0"/>
                          <w:divBdr>
                            <w:top w:val="none" w:sz="0" w:space="0" w:color="auto"/>
                            <w:left w:val="none" w:sz="0" w:space="0" w:color="auto"/>
                            <w:bottom w:val="none" w:sz="0" w:space="0" w:color="auto"/>
                            <w:right w:val="none" w:sz="0" w:space="0" w:color="auto"/>
                          </w:divBdr>
                          <w:divsChild>
                            <w:div w:id="1348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30546">
          <w:marLeft w:val="0"/>
          <w:marRight w:val="0"/>
          <w:marTop w:val="0"/>
          <w:marBottom w:val="0"/>
          <w:divBdr>
            <w:top w:val="none" w:sz="0" w:space="0" w:color="auto"/>
            <w:left w:val="none" w:sz="0" w:space="0" w:color="auto"/>
            <w:bottom w:val="none" w:sz="0" w:space="0" w:color="auto"/>
            <w:right w:val="none" w:sz="0" w:space="0" w:color="auto"/>
          </w:divBdr>
          <w:divsChild>
            <w:div w:id="1494222678">
              <w:marLeft w:val="0"/>
              <w:marRight w:val="0"/>
              <w:marTop w:val="0"/>
              <w:marBottom w:val="0"/>
              <w:divBdr>
                <w:top w:val="none" w:sz="0" w:space="0" w:color="auto"/>
                <w:left w:val="none" w:sz="0" w:space="0" w:color="auto"/>
                <w:bottom w:val="none" w:sz="0" w:space="0" w:color="auto"/>
                <w:right w:val="none" w:sz="0" w:space="0" w:color="auto"/>
              </w:divBdr>
              <w:divsChild>
                <w:div w:id="1624923502">
                  <w:marLeft w:val="0"/>
                  <w:marRight w:val="0"/>
                  <w:marTop w:val="0"/>
                  <w:marBottom w:val="0"/>
                  <w:divBdr>
                    <w:top w:val="none" w:sz="0" w:space="0" w:color="auto"/>
                    <w:left w:val="none" w:sz="0" w:space="0" w:color="auto"/>
                    <w:bottom w:val="none" w:sz="0" w:space="0" w:color="auto"/>
                    <w:right w:val="none" w:sz="0" w:space="0" w:color="auto"/>
                  </w:divBdr>
                  <w:divsChild>
                    <w:div w:id="1592229045">
                      <w:marLeft w:val="0"/>
                      <w:marRight w:val="0"/>
                      <w:marTop w:val="0"/>
                      <w:marBottom w:val="0"/>
                      <w:divBdr>
                        <w:top w:val="none" w:sz="0" w:space="0" w:color="auto"/>
                        <w:left w:val="none" w:sz="0" w:space="0" w:color="auto"/>
                        <w:bottom w:val="none" w:sz="0" w:space="0" w:color="auto"/>
                        <w:right w:val="none" w:sz="0" w:space="0" w:color="auto"/>
                      </w:divBdr>
                      <w:divsChild>
                        <w:div w:id="1491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3737">
      <w:bodyDiv w:val="1"/>
      <w:marLeft w:val="0"/>
      <w:marRight w:val="0"/>
      <w:marTop w:val="0"/>
      <w:marBottom w:val="0"/>
      <w:divBdr>
        <w:top w:val="none" w:sz="0" w:space="0" w:color="auto"/>
        <w:left w:val="none" w:sz="0" w:space="0" w:color="auto"/>
        <w:bottom w:val="none" w:sz="0" w:space="0" w:color="auto"/>
        <w:right w:val="none" w:sz="0" w:space="0" w:color="auto"/>
      </w:divBdr>
    </w:div>
    <w:div w:id="1084493637">
      <w:bodyDiv w:val="1"/>
      <w:marLeft w:val="0"/>
      <w:marRight w:val="0"/>
      <w:marTop w:val="0"/>
      <w:marBottom w:val="0"/>
      <w:divBdr>
        <w:top w:val="none" w:sz="0" w:space="0" w:color="auto"/>
        <w:left w:val="none" w:sz="0" w:space="0" w:color="auto"/>
        <w:bottom w:val="none" w:sz="0" w:space="0" w:color="auto"/>
        <w:right w:val="none" w:sz="0" w:space="0" w:color="auto"/>
      </w:divBdr>
    </w:div>
    <w:div w:id="1141852357">
      <w:bodyDiv w:val="1"/>
      <w:marLeft w:val="0"/>
      <w:marRight w:val="0"/>
      <w:marTop w:val="0"/>
      <w:marBottom w:val="0"/>
      <w:divBdr>
        <w:top w:val="none" w:sz="0" w:space="0" w:color="auto"/>
        <w:left w:val="none" w:sz="0" w:space="0" w:color="auto"/>
        <w:bottom w:val="none" w:sz="0" w:space="0" w:color="auto"/>
        <w:right w:val="none" w:sz="0" w:space="0" w:color="auto"/>
      </w:divBdr>
    </w:div>
    <w:div w:id="1252355693">
      <w:bodyDiv w:val="1"/>
      <w:marLeft w:val="0"/>
      <w:marRight w:val="0"/>
      <w:marTop w:val="0"/>
      <w:marBottom w:val="0"/>
      <w:divBdr>
        <w:top w:val="none" w:sz="0" w:space="0" w:color="auto"/>
        <w:left w:val="none" w:sz="0" w:space="0" w:color="auto"/>
        <w:bottom w:val="none" w:sz="0" w:space="0" w:color="auto"/>
        <w:right w:val="none" w:sz="0" w:space="0" w:color="auto"/>
      </w:divBdr>
    </w:div>
    <w:div w:id="1321274733">
      <w:bodyDiv w:val="1"/>
      <w:marLeft w:val="0"/>
      <w:marRight w:val="0"/>
      <w:marTop w:val="0"/>
      <w:marBottom w:val="0"/>
      <w:divBdr>
        <w:top w:val="none" w:sz="0" w:space="0" w:color="auto"/>
        <w:left w:val="none" w:sz="0" w:space="0" w:color="auto"/>
        <w:bottom w:val="none" w:sz="0" w:space="0" w:color="auto"/>
        <w:right w:val="none" w:sz="0" w:space="0" w:color="auto"/>
      </w:divBdr>
    </w:div>
    <w:div w:id="1348747591">
      <w:bodyDiv w:val="1"/>
      <w:marLeft w:val="0"/>
      <w:marRight w:val="0"/>
      <w:marTop w:val="0"/>
      <w:marBottom w:val="0"/>
      <w:divBdr>
        <w:top w:val="none" w:sz="0" w:space="0" w:color="auto"/>
        <w:left w:val="none" w:sz="0" w:space="0" w:color="auto"/>
        <w:bottom w:val="none" w:sz="0" w:space="0" w:color="auto"/>
        <w:right w:val="none" w:sz="0" w:space="0" w:color="auto"/>
      </w:divBdr>
    </w:div>
    <w:div w:id="1436168165">
      <w:bodyDiv w:val="1"/>
      <w:marLeft w:val="0"/>
      <w:marRight w:val="0"/>
      <w:marTop w:val="0"/>
      <w:marBottom w:val="0"/>
      <w:divBdr>
        <w:top w:val="none" w:sz="0" w:space="0" w:color="auto"/>
        <w:left w:val="none" w:sz="0" w:space="0" w:color="auto"/>
        <w:bottom w:val="none" w:sz="0" w:space="0" w:color="auto"/>
        <w:right w:val="none" w:sz="0" w:space="0" w:color="auto"/>
      </w:divBdr>
    </w:div>
    <w:div w:id="1497306249">
      <w:bodyDiv w:val="1"/>
      <w:marLeft w:val="0"/>
      <w:marRight w:val="0"/>
      <w:marTop w:val="0"/>
      <w:marBottom w:val="0"/>
      <w:divBdr>
        <w:top w:val="none" w:sz="0" w:space="0" w:color="auto"/>
        <w:left w:val="none" w:sz="0" w:space="0" w:color="auto"/>
        <w:bottom w:val="none" w:sz="0" w:space="0" w:color="auto"/>
        <w:right w:val="none" w:sz="0" w:space="0" w:color="auto"/>
      </w:divBdr>
      <w:divsChild>
        <w:div w:id="1088110845">
          <w:marLeft w:val="547"/>
          <w:marRight w:val="0"/>
          <w:marTop w:val="86"/>
          <w:marBottom w:val="0"/>
          <w:divBdr>
            <w:top w:val="none" w:sz="0" w:space="0" w:color="auto"/>
            <w:left w:val="none" w:sz="0" w:space="0" w:color="auto"/>
            <w:bottom w:val="none" w:sz="0" w:space="0" w:color="auto"/>
            <w:right w:val="none" w:sz="0" w:space="0" w:color="auto"/>
          </w:divBdr>
        </w:div>
        <w:div w:id="639532456">
          <w:marLeft w:val="576"/>
          <w:marRight w:val="0"/>
          <w:marTop w:val="82"/>
          <w:marBottom w:val="0"/>
          <w:divBdr>
            <w:top w:val="none" w:sz="0" w:space="0" w:color="auto"/>
            <w:left w:val="none" w:sz="0" w:space="0" w:color="auto"/>
            <w:bottom w:val="none" w:sz="0" w:space="0" w:color="auto"/>
            <w:right w:val="none" w:sz="0" w:space="0" w:color="auto"/>
          </w:divBdr>
        </w:div>
        <w:div w:id="2005156633">
          <w:marLeft w:val="576"/>
          <w:marRight w:val="0"/>
          <w:marTop w:val="82"/>
          <w:marBottom w:val="0"/>
          <w:divBdr>
            <w:top w:val="none" w:sz="0" w:space="0" w:color="auto"/>
            <w:left w:val="none" w:sz="0" w:space="0" w:color="auto"/>
            <w:bottom w:val="none" w:sz="0" w:space="0" w:color="auto"/>
            <w:right w:val="none" w:sz="0" w:space="0" w:color="auto"/>
          </w:divBdr>
        </w:div>
        <w:div w:id="627013188">
          <w:marLeft w:val="576"/>
          <w:marRight w:val="0"/>
          <w:marTop w:val="82"/>
          <w:marBottom w:val="0"/>
          <w:divBdr>
            <w:top w:val="none" w:sz="0" w:space="0" w:color="auto"/>
            <w:left w:val="none" w:sz="0" w:space="0" w:color="auto"/>
            <w:bottom w:val="none" w:sz="0" w:space="0" w:color="auto"/>
            <w:right w:val="none" w:sz="0" w:space="0" w:color="auto"/>
          </w:divBdr>
        </w:div>
        <w:div w:id="154608518">
          <w:marLeft w:val="576"/>
          <w:marRight w:val="0"/>
          <w:marTop w:val="82"/>
          <w:marBottom w:val="0"/>
          <w:divBdr>
            <w:top w:val="none" w:sz="0" w:space="0" w:color="auto"/>
            <w:left w:val="none" w:sz="0" w:space="0" w:color="auto"/>
            <w:bottom w:val="none" w:sz="0" w:space="0" w:color="auto"/>
            <w:right w:val="none" w:sz="0" w:space="0" w:color="auto"/>
          </w:divBdr>
        </w:div>
      </w:divsChild>
    </w:div>
    <w:div w:id="1510027846">
      <w:bodyDiv w:val="1"/>
      <w:marLeft w:val="0"/>
      <w:marRight w:val="0"/>
      <w:marTop w:val="0"/>
      <w:marBottom w:val="0"/>
      <w:divBdr>
        <w:top w:val="none" w:sz="0" w:space="0" w:color="auto"/>
        <w:left w:val="none" w:sz="0" w:space="0" w:color="auto"/>
        <w:bottom w:val="none" w:sz="0" w:space="0" w:color="auto"/>
        <w:right w:val="none" w:sz="0" w:space="0" w:color="auto"/>
      </w:divBdr>
    </w:div>
    <w:div w:id="1521579328">
      <w:bodyDiv w:val="1"/>
      <w:marLeft w:val="0"/>
      <w:marRight w:val="0"/>
      <w:marTop w:val="0"/>
      <w:marBottom w:val="0"/>
      <w:divBdr>
        <w:top w:val="none" w:sz="0" w:space="0" w:color="auto"/>
        <w:left w:val="none" w:sz="0" w:space="0" w:color="auto"/>
        <w:bottom w:val="none" w:sz="0" w:space="0" w:color="auto"/>
        <w:right w:val="none" w:sz="0" w:space="0" w:color="auto"/>
      </w:divBdr>
    </w:div>
    <w:div w:id="1658341470">
      <w:bodyDiv w:val="1"/>
      <w:marLeft w:val="0"/>
      <w:marRight w:val="0"/>
      <w:marTop w:val="0"/>
      <w:marBottom w:val="0"/>
      <w:divBdr>
        <w:top w:val="none" w:sz="0" w:space="0" w:color="auto"/>
        <w:left w:val="none" w:sz="0" w:space="0" w:color="auto"/>
        <w:bottom w:val="none" w:sz="0" w:space="0" w:color="auto"/>
        <w:right w:val="none" w:sz="0" w:space="0" w:color="auto"/>
      </w:divBdr>
    </w:div>
    <w:div w:id="1664510812">
      <w:bodyDiv w:val="1"/>
      <w:marLeft w:val="0"/>
      <w:marRight w:val="0"/>
      <w:marTop w:val="0"/>
      <w:marBottom w:val="0"/>
      <w:divBdr>
        <w:top w:val="none" w:sz="0" w:space="0" w:color="auto"/>
        <w:left w:val="none" w:sz="0" w:space="0" w:color="auto"/>
        <w:bottom w:val="none" w:sz="0" w:space="0" w:color="auto"/>
        <w:right w:val="none" w:sz="0" w:space="0" w:color="auto"/>
      </w:divBdr>
    </w:div>
    <w:div w:id="1664815188">
      <w:bodyDiv w:val="1"/>
      <w:marLeft w:val="0"/>
      <w:marRight w:val="0"/>
      <w:marTop w:val="0"/>
      <w:marBottom w:val="0"/>
      <w:divBdr>
        <w:top w:val="none" w:sz="0" w:space="0" w:color="auto"/>
        <w:left w:val="none" w:sz="0" w:space="0" w:color="auto"/>
        <w:bottom w:val="none" w:sz="0" w:space="0" w:color="auto"/>
        <w:right w:val="none" w:sz="0" w:space="0" w:color="auto"/>
      </w:divBdr>
    </w:div>
    <w:div w:id="1759133935">
      <w:bodyDiv w:val="1"/>
      <w:marLeft w:val="0"/>
      <w:marRight w:val="0"/>
      <w:marTop w:val="0"/>
      <w:marBottom w:val="0"/>
      <w:divBdr>
        <w:top w:val="none" w:sz="0" w:space="0" w:color="auto"/>
        <w:left w:val="none" w:sz="0" w:space="0" w:color="auto"/>
        <w:bottom w:val="none" w:sz="0" w:space="0" w:color="auto"/>
        <w:right w:val="none" w:sz="0" w:space="0" w:color="auto"/>
      </w:divBdr>
    </w:div>
    <w:div w:id="1768652397">
      <w:bodyDiv w:val="1"/>
      <w:marLeft w:val="0"/>
      <w:marRight w:val="0"/>
      <w:marTop w:val="0"/>
      <w:marBottom w:val="0"/>
      <w:divBdr>
        <w:top w:val="none" w:sz="0" w:space="0" w:color="auto"/>
        <w:left w:val="none" w:sz="0" w:space="0" w:color="auto"/>
        <w:bottom w:val="none" w:sz="0" w:space="0" w:color="auto"/>
        <w:right w:val="none" w:sz="0" w:space="0" w:color="auto"/>
      </w:divBdr>
    </w:div>
    <w:div w:id="1848901686">
      <w:bodyDiv w:val="1"/>
      <w:marLeft w:val="0"/>
      <w:marRight w:val="0"/>
      <w:marTop w:val="0"/>
      <w:marBottom w:val="0"/>
      <w:divBdr>
        <w:top w:val="none" w:sz="0" w:space="0" w:color="auto"/>
        <w:left w:val="none" w:sz="0" w:space="0" w:color="auto"/>
        <w:bottom w:val="none" w:sz="0" w:space="0" w:color="auto"/>
        <w:right w:val="none" w:sz="0" w:space="0" w:color="auto"/>
      </w:divBdr>
    </w:div>
    <w:div w:id="1879313597">
      <w:bodyDiv w:val="1"/>
      <w:marLeft w:val="0"/>
      <w:marRight w:val="0"/>
      <w:marTop w:val="0"/>
      <w:marBottom w:val="0"/>
      <w:divBdr>
        <w:top w:val="none" w:sz="0" w:space="0" w:color="auto"/>
        <w:left w:val="none" w:sz="0" w:space="0" w:color="auto"/>
        <w:bottom w:val="none" w:sz="0" w:space="0" w:color="auto"/>
        <w:right w:val="none" w:sz="0" w:space="0" w:color="auto"/>
      </w:divBdr>
    </w:div>
    <w:div w:id="1880509494">
      <w:bodyDiv w:val="1"/>
      <w:marLeft w:val="0"/>
      <w:marRight w:val="0"/>
      <w:marTop w:val="0"/>
      <w:marBottom w:val="0"/>
      <w:divBdr>
        <w:top w:val="none" w:sz="0" w:space="0" w:color="auto"/>
        <w:left w:val="none" w:sz="0" w:space="0" w:color="auto"/>
        <w:bottom w:val="none" w:sz="0" w:space="0" w:color="auto"/>
        <w:right w:val="none" w:sz="0" w:space="0" w:color="auto"/>
      </w:divBdr>
      <w:divsChild>
        <w:div w:id="1010982443">
          <w:marLeft w:val="0"/>
          <w:marRight w:val="0"/>
          <w:marTop w:val="480"/>
          <w:marBottom w:val="240"/>
          <w:divBdr>
            <w:top w:val="none" w:sz="0" w:space="0" w:color="auto"/>
            <w:left w:val="none" w:sz="0" w:space="0" w:color="auto"/>
            <w:bottom w:val="none" w:sz="0" w:space="0" w:color="auto"/>
            <w:right w:val="none" w:sz="0" w:space="0" w:color="auto"/>
          </w:divBdr>
        </w:div>
        <w:div w:id="865748743">
          <w:marLeft w:val="0"/>
          <w:marRight w:val="0"/>
          <w:marTop w:val="0"/>
          <w:marBottom w:val="567"/>
          <w:divBdr>
            <w:top w:val="none" w:sz="0" w:space="0" w:color="auto"/>
            <w:left w:val="none" w:sz="0" w:space="0" w:color="auto"/>
            <w:bottom w:val="none" w:sz="0" w:space="0" w:color="auto"/>
            <w:right w:val="none" w:sz="0" w:space="0" w:color="auto"/>
          </w:divBdr>
        </w:div>
      </w:divsChild>
    </w:div>
    <w:div w:id="1889798802">
      <w:bodyDiv w:val="1"/>
      <w:marLeft w:val="0"/>
      <w:marRight w:val="0"/>
      <w:marTop w:val="0"/>
      <w:marBottom w:val="0"/>
      <w:divBdr>
        <w:top w:val="none" w:sz="0" w:space="0" w:color="auto"/>
        <w:left w:val="none" w:sz="0" w:space="0" w:color="auto"/>
        <w:bottom w:val="none" w:sz="0" w:space="0" w:color="auto"/>
        <w:right w:val="none" w:sz="0" w:space="0" w:color="auto"/>
      </w:divBdr>
      <w:divsChild>
        <w:div w:id="1883521598">
          <w:marLeft w:val="0"/>
          <w:marRight w:val="0"/>
          <w:marTop w:val="480"/>
          <w:marBottom w:val="240"/>
          <w:divBdr>
            <w:top w:val="none" w:sz="0" w:space="0" w:color="auto"/>
            <w:left w:val="none" w:sz="0" w:space="0" w:color="auto"/>
            <w:bottom w:val="none" w:sz="0" w:space="0" w:color="auto"/>
            <w:right w:val="none" w:sz="0" w:space="0" w:color="auto"/>
          </w:divBdr>
        </w:div>
        <w:div w:id="1681275204">
          <w:marLeft w:val="0"/>
          <w:marRight w:val="0"/>
          <w:marTop w:val="0"/>
          <w:marBottom w:val="567"/>
          <w:divBdr>
            <w:top w:val="none" w:sz="0" w:space="0" w:color="auto"/>
            <w:left w:val="none" w:sz="0" w:space="0" w:color="auto"/>
            <w:bottom w:val="none" w:sz="0" w:space="0" w:color="auto"/>
            <w:right w:val="none" w:sz="0" w:space="0" w:color="auto"/>
          </w:divBdr>
        </w:div>
      </w:divsChild>
    </w:div>
    <w:div w:id="2077582895">
      <w:bodyDiv w:val="1"/>
      <w:marLeft w:val="0"/>
      <w:marRight w:val="0"/>
      <w:marTop w:val="0"/>
      <w:marBottom w:val="0"/>
      <w:divBdr>
        <w:top w:val="none" w:sz="0" w:space="0" w:color="auto"/>
        <w:left w:val="none" w:sz="0" w:space="0" w:color="auto"/>
        <w:bottom w:val="none" w:sz="0" w:space="0" w:color="auto"/>
        <w:right w:val="none" w:sz="0" w:space="0" w:color="auto"/>
      </w:divBdr>
    </w:div>
    <w:div w:id="2135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687B-7DCA-4682-A032-5D49FB8D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18645</Words>
  <Characters>10629</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Inese Sproģe</cp:lastModifiedBy>
  <cp:revision>3</cp:revision>
  <cp:lastPrinted>2019-10-31T08:03:00Z</cp:lastPrinted>
  <dcterms:created xsi:type="dcterms:W3CDTF">2019-11-01T11:40:00Z</dcterms:created>
  <dcterms:modified xsi:type="dcterms:W3CDTF">2019-11-01T13:44:00Z</dcterms:modified>
</cp:coreProperties>
</file>