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55" w:rsidRDefault="007269A7" w:rsidP="00494147">
      <w:pPr>
        <w:shd w:val="clear" w:color="auto" w:fill="FFFFFF"/>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Ministru kabineta noteikumu “</w:t>
      </w:r>
      <w:r w:rsidR="00DD2F79">
        <w:rPr>
          <w:rFonts w:ascii="Times New Roman" w:eastAsia="Times New Roman" w:hAnsi="Times New Roman" w:cs="Times New Roman"/>
          <w:b/>
          <w:bCs/>
          <w:sz w:val="24"/>
          <w:szCs w:val="24"/>
          <w:lang w:eastAsia="lv-LV"/>
        </w:rPr>
        <w:t>Grozījum</w:t>
      </w:r>
      <w:r w:rsidR="00486A19">
        <w:rPr>
          <w:rFonts w:ascii="Times New Roman" w:eastAsia="Times New Roman" w:hAnsi="Times New Roman" w:cs="Times New Roman"/>
          <w:b/>
          <w:bCs/>
          <w:sz w:val="24"/>
          <w:szCs w:val="24"/>
          <w:lang w:eastAsia="lv-LV"/>
        </w:rPr>
        <w:t>s</w:t>
      </w:r>
      <w:r w:rsidR="00DD2F79">
        <w:rPr>
          <w:rFonts w:ascii="Times New Roman" w:eastAsia="Times New Roman" w:hAnsi="Times New Roman" w:cs="Times New Roman"/>
          <w:b/>
          <w:bCs/>
          <w:sz w:val="24"/>
          <w:szCs w:val="24"/>
          <w:lang w:eastAsia="lv-LV"/>
        </w:rPr>
        <w:t xml:space="preserve"> Ministru kabineta 2017.gada 12.septembra noteikumos Nr.557 “</w:t>
      </w:r>
      <w:r w:rsidR="004C6BE8" w:rsidRPr="00494147">
        <w:rPr>
          <w:rFonts w:ascii="Times New Roman" w:eastAsia="Times New Roman" w:hAnsi="Times New Roman" w:cs="Times New Roman"/>
          <w:b/>
          <w:bCs/>
          <w:sz w:val="24"/>
          <w:szCs w:val="24"/>
          <w:lang w:eastAsia="lv-LV"/>
        </w:rPr>
        <w:t>Noteikumi par valsts nodevu par vīzas, uzturēšanās atļaujas vai Eiropas Savienības pastāvīgā iedzīvotāja statusa Latvijas Republikā pieprasīšanai nepieciešamo dokumentu izskatīšanu un ar to saistītajiem pakalpojumiem”</w:t>
      </w:r>
      <w:r w:rsidR="009D5F0D" w:rsidRPr="00494147">
        <w:rPr>
          <w:rFonts w:ascii="Times New Roman" w:eastAsia="Times New Roman" w:hAnsi="Times New Roman" w:cs="Times New Roman"/>
          <w:b/>
          <w:bCs/>
          <w:sz w:val="24"/>
          <w:szCs w:val="24"/>
          <w:lang w:eastAsia="lv-LV"/>
        </w:rPr>
        <w:t>”</w:t>
      </w:r>
      <w:r w:rsidR="00894C55" w:rsidRPr="00494147">
        <w:rPr>
          <w:rFonts w:ascii="Times New Roman" w:eastAsia="Times New Roman" w:hAnsi="Times New Roman" w:cs="Times New Roman"/>
          <w:b/>
          <w:bCs/>
          <w:sz w:val="24"/>
          <w:szCs w:val="24"/>
          <w:lang w:eastAsia="lv-LV"/>
        </w:rPr>
        <w:t xml:space="preserve"> projekta</w:t>
      </w:r>
      <w:r w:rsidR="0079117A" w:rsidRPr="00494147">
        <w:rPr>
          <w:rFonts w:ascii="Times New Roman" w:eastAsia="Times New Roman" w:hAnsi="Times New Roman" w:cs="Times New Roman"/>
          <w:b/>
          <w:bCs/>
          <w:sz w:val="24"/>
          <w:szCs w:val="24"/>
          <w:lang w:eastAsia="lv-LV"/>
        </w:rPr>
        <w:t xml:space="preserve"> </w:t>
      </w:r>
      <w:r w:rsidR="00894C55" w:rsidRPr="00494147">
        <w:rPr>
          <w:rFonts w:ascii="Times New Roman" w:eastAsia="Times New Roman" w:hAnsi="Times New Roman" w:cs="Times New Roman"/>
          <w:b/>
          <w:bCs/>
          <w:sz w:val="24"/>
          <w:szCs w:val="24"/>
          <w:lang w:eastAsia="lv-LV"/>
        </w:rPr>
        <w:t>sākotnējās ietekmes novērtējuma ziņojums (anotācija)</w:t>
      </w:r>
    </w:p>
    <w:p w:rsidR="009C7377" w:rsidRDefault="009C7377" w:rsidP="00494147">
      <w:pPr>
        <w:shd w:val="clear" w:color="auto" w:fill="FFFFFF"/>
        <w:spacing w:after="120" w:line="240" w:lineRule="auto"/>
        <w:jc w:val="center"/>
        <w:rPr>
          <w:rFonts w:ascii="Times New Roman" w:eastAsia="Times New Roman" w:hAnsi="Times New Roman" w:cs="Times New Roman"/>
          <w:b/>
          <w:bCs/>
          <w:sz w:val="24"/>
          <w:szCs w:val="24"/>
          <w:lang w:eastAsia="lv-LV"/>
        </w:rPr>
      </w:pPr>
    </w:p>
    <w:tbl>
      <w:tblPr>
        <w:tblStyle w:val="TableGrid"/>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3261"/>
        <w:gridCol w:w="5811"/>
      </w:tblGrid>
      <w:tr w:rsidR="009C7377" w:rsidTr="009C7377">
        <w:tc>
          <w:tcPr>
            <w:tcW w:w="9072"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rsidR="009C7377" w:rsidRDefault="009C7377">
            <w:pPr>
              <w:jc w:val="center"/>
              <w:rPr>
                <w:b/>
                <w:iCs/>
              </w:rPr>
            </w:pPr>
            <w:r w:rsidRPr="009C7377">
              <w:rPr>
                <w:rFonts w:ascii="Times New Roman" w:eastAsia="Times New Roman" w:hAnsi="Times New Roman"/>
                <w:b/>
                <w:bCs/>
                <w:sz w:val="24"/>
                <w:szCs w:val="24"/>
                <w:lang w:eastAsia="lv-LV"/>
              </w:rPr>
              <w:t>Tiesību akta projekta anotācijas kopsavilkums</w:t>
            </w:r>
            <w:r>
              <w:rPr>
                <w:b/>
                <w:iCs/>
              </w:rPr>
              <w:t xml:space="preserve"> </w:t>
            </w:r>
          </w:p>
        </w:tc>
      </w:tr>
      <w:tr w:rsidR="009C7377" w:rsidTr="009C7377">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9C7377" w:rsidRPr="009C7377" w:rsidRDefault="009C7377">
            <w:pPr>
              <w:rPr>
                <w:rFonts w:ascii="Times New Roman" w:eastAsia="Times New Roman" w:hAnsi="Times New Roman"/>
                <w:sz w:val="24"/>
                <w:szCs w:val="24"/>
                <w:lang w:eastAsia="lv-LV"/>
              </w:rPr>
            </w:pPr>
            <w:r w:rsidRPr="009C7377">
              <w:rPr>
                <w:rFonts w:ascii="Times New Roman" w:eastAsia="Times New Roman" w:hAnsi="Times New Roman"/>
                <w:sz w:val="24"/>
                <w:szCs w:val="24"/>
                <w:lang w:eastAsia="lv-LV"/>
              </w:rPr>
              <w:t xml:space="preserve">Mērķis, risinājums un projekta spēkā stāšanās laiks </w:t>
            </w:r>
          </w:p>
        </w:tc>
        <w:tc>
          <w:tcPr>
            <w:tcW w:w="58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9C7377" w:rsidRPr="009C7377" w:rsidRDefault="009C7377">
            <w:pPr>
              <w:jc w:val="both"/>
              <w:rPr>
                <w:rFonts w:ascii="Times New Roman" w:eastAsia="Times New Roman" w:hAnsi="Times New Roman"/>
                <w:sz w:val="24"/>
                <w:szCs w:val="24"/>
                <w:lang w:eastAsia="lv-LV"/>
              </w:rPr>
            </w:pPr>
            <w:r w:rsidRPr="009C7377">
              <w:rPr>
                <w:rFonts w:ascii="Times New Roman" w:eastAsia="Times New Roman" w:hAnsi="Times New Roman"/>
                <w:sz w:val="24"/>
                <w:szCs w:val="24"/>
                <w:lang w:eastAsia="lv-LV"/>
              </w:rPr>
              <w:t>Kopsavilkums nav aizpildāms saskaņā ar Ministru kabineta 2009.gada 15.decembra instrukcijas Nr.19 “Tiesību akta projekta sākotnējās ietekmes izvērtēšanas kārtība 5.</w:t>
            </w:r>
            <w:r w:rsidRPr="009C7377">
              <w:rPr>
                <w:rFonts w:ascii="Times New Roman" w:eastAsia="Times New Roman" w:hAnsi="Times New Roman"/>
                <w:sz w:val="24"/>
                <w:szCs w:val="24"/>
                <w:vertAlign w:val="superscript"/>
                <w:lang w:eastAsia="lv-LV"/>
              </w:rPr>
              <w:t>1</w:t>
            </w:r>
            <w:r w:rsidRPr="009C7377">
              <w:rPr>
                <w:rFonts w:ascii="Times New Roman" w:eastAsia="Times New Roman" w:hAnsi="Times New Roman"/>
                <w:sz w:val="24"/>
                <w:szCs w:val="24"/>
                <w:lang w:eastAsia="lv-LV"/>
              </w:rPr>
              <w:t xml:space="preserve"> punktu.</w:t>
            </w:r>
          </w:p>
        </w:tc>
      </w:tr>
    </w:tbl>
    <w:p w:rsidR="00894C55" w:rsidRPr="00494147" w:rsidRDefault="00894C55" w:rsidP="00494147">
      <w:pPr>
        <w:shd w:val="clear" w:color="auto" w:fill="FFFFFF"/>
        <w:spacing w:after="120" w:line="240" w:lineRule="auto"/>
        <w:ind w:firstLine="300"/>
        <w:jc w:val="center"/>
        <w:rPr>
          <w:rFonts w:ascii="Times New Roman" w:eastAsia="Times New Roman" w:hAnsi="Times New Roman" w:cs="Times New Roman"/>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2807"/>
        <w:gridCol w:w="5795"/>
      </w:tblGrid>
      <w:tr w:rsidR="00894C55" w:rsidRPr="00494147" w:rsidTr="00894C55">
        <w:trPr>
          <w:trHeight w:val="32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494147" w:rsidRDefault="00894C55" w:rsidP="009C737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I.</w:t>
            </w:r>
            <w:r w:rsidR="0050178F" w:rsidRPr="00494147">
              <w:rPr>
                <w:rFonts w:ascii="Times New Roman" w:eastAsia="Times New Roman" w:hAnsi="Times New Roman" w:cs="Times New Roman"/>
                <w:b/>
                <w:bCs/>
                <w:sz w:val="24"/>
                <w:szCs w:val="24"/>
                <w:lang w:eastAsia="lv-LV"/>
              </w:rPr>
              <w:t> </w:t>
            </w:r>
            <w:r w:rsidRPr="00494147">
              <w:rPr>
                <w:rFonts w:ascii="Times New Roman" w:eastAsia="Times New Roman" w:hAnsi="Times New Roman" w:cs="Times New Roman"/>
                <w:b/>
                <w:bCs/>
                <w:sz w:val="24"/>
                <w:szCs w:val="24"/>
                <w:lang w:eastAsia="lv-LV"/>
              </w:rPr>
              <w:t>Tiesību akta projekta izstrādes nepieciešamība</w:t>
            </w:r>
          </w:p>
        </w:tc>
      </w:tr>
      <w:tr w:rsidR="00894C55" w:rsidRPr="00494147" w:rsidTr="00894C55">
        <w:trPr>
          <w:trHeight w:val="324"/>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494147" w:rsidRDefault="007F2694"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Iekšlietu ministrijas iniciatīva.</w:t>
            </w:r>
          </w:p>
        </w:tc>
      </w:tr>
      <w:tr w:rsidR="00894C55" w:rsidRPr="0049414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675144"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Pašreizējā situācija un problēmas, kuru risināšanai tiesību akta projekts izstrādāts, tiesiskā regulējum</w:t>
            </w:r>
            <w:bookmarkStart w:id="0" w:name="_GoBack"/>
            <w:bookmarkEnd w:id="0"/>
            <w:r w:rsidRPr="00494147">
              <w:rPr>
                <w:rFonts w:ascii="Times New Roman" w:eastAsia="Times New Roman" w:hAnsi="Times New Roman" w:cs="Times New Roman"/>
                <w:sz w:val="24"/>
                <w:szCs w:val="24"/>
                <w:lang w:eastAsia="lv-LV"/>
              </w:rPr>
              <w:t>a mērķis un būtība</w:t>
            </w:r>
          </w:p>
        </w:tc>
        <w:tc>
          <w:tcPr>
            <w:tcW w:w="3200" w:type="pct"/>
            <w:tcBorders>
              <w:top w:val="outset" w:sz="6" w:space="0" w:color="414142"/>
              <w:left w:val="outset" w:sz="6" w:space="0" w:color="414142"/>
              <w:bottom w:val="outset" w:sz="6" w:space="0" w:color="414142"/>
              <w:right w:val="outset" w:sz="6" w:space="0" w:color="414142"/>
            </w:tcBorders>
            <w:hideMark/>
          </w:tcPr>
          <w:p w:rsidR="00A47151" w:rsidRDefault="00EA3AFB" w:rsidP="00494147">
            <w:pPr>
              <w:spacing w:after="120" w:line="240" w:lineRule="auto"/>
              <w:jc w:val="both"/>
              <w:rPr>
                <w:rFonts w:ascii="Times New Roman" w:eastAsia="Times New Roman" w:hAnsi="Times New Roman" w:cs="Times New Roman"/>
                <w:sz w:val="24"/>
                <w:szCs w:val="24"/>
                <w:lang w:eastAsia="lv-LV"/>
              </w:rPr>
            </w:pPr>
            <w:r w:rsidRPr="00EA3AFB">
              <w:rPr>
                <w:rFonts w:ascii="Times New Roman" w:eastAsia="Times New Roman" w:hAnsi="Times New Roman" w:cs="Times New Roman"/>
                <w:sz w:val="24"/>
                <w:szCs w:val="24"/>
                <w:lang w:eastAsia="lv-LV"/>
              </w:rPr>
              <w:t>2019.gada 20.jūnijā tika pieņemta Eiropas Parlamenta un Padomes Regula (ES) 2019/1155, ar kuru groza Regulu (EK) Nr. 810/2009, ar ko izveido Kopienas Vīzu kodeksu (Vīzu kodekss)</w:t>
            </w:r>
            <w:r>
              <w:rPr>
                <w:rFonts w:ascii="Times New Roman" w:eastAsia="Times New Roman" w:hAnsi="Times New Roman" w:cs="Times New Roman"/>
                <w:sz w:val="24"/>
                <w:szCs w:val="24"/>
                <w:lang w:eastAsia="lv-LV"/>
              </w:rPr>
              <w:t xml:space="preserve">, paredzot </w:t>
            </w:r>
            <w:r w:rsidRPr="00EA3AFB">
              <w:rPr>
                <w:rFonts w:ascii="Times New Roman" w:eastAsia="Times New Roman" w:hAnsi="Times New Roman" w:cs="Times New Roman"/>
                <w:sz w:val="24"/>
                <w:szCs w:val="24"/>
                <w:lang w:eastAsia="lv-LV"/>
              </w:rPr>
              <w:t>no 2020.gada 1.februāra noteikt maksu par Šengenas vīzas pieteikuma izskatīšanu 80 EUR apmērā (pašreizējo 60 EUR vietā).</w:t>
            </w:r>
            <w:r>
              <w:rPr>
                <w:rFonts w:ascii="Segoe UI" w:hAnsi="Segoe UI" w:cs="Segoe UI"/>
                <w:color w:val="444444"/>
                <w:sz w:val="21"/>
                <w:szCs w:val="21"/>
                <w:shd w:val="clear" w:color="auto" w:fill="FFFFFF"/>
              </w:rPr>
              <w:t xml:space="preserve"> </w:t>
            </w:r>
            <w:r>
              <w:rPr>
                <w:rFonts w:ascii="Times New Roman" w:eastAsia="Times New Roman" w:hAnsi="Times New Roman" w:cs="Times New Roman"/>
                <w:sz w:val="24"/>
                <w:szCs w:val="24"/>
                <w:lang w:eastAsia="lv-LV"/>
              </w:rPr>
              <w:t>Ievērojot to, ka M</w:t>
            </w:r>
            <w:r w:rsidR="00AD393D" w:rsidRPr="00494147">
              <w:rPr>
                <w:rFonts w:ascii="Times New Roman" w:eastAsia="Times New Roman" w:hAnsi="Times New Roman" w:cs="Times New Roman"/>
                <w:sz w:val="24"/>
                <w:szCs w:val="24"/>
                <w:lang w:eastAsia="lv-LV"/>
              </w:rPr>
              <w:t>inistru kabineta 201</w:t>
            </w:r>
            <w:r>
              <w:rPr>
                <w:rFonts w:ascii="Times New Roman" w:eastAsia="Times New Roman" w:hAnsi="Times New Roman" w:cs="Times New Roman"/>
                <w:sz w:val="24"/>
                <w:szCs w:val="24"/>
                <w:lang w:eastAsia="lv-LV"/>
              </w:rPr>
              <w:t>7</w:t>
            </w:r>
            <w:r w:rsidR="00AD393D" w:rsidRPr="00494147">
              <w:rPr>
                <w:rFonts w:ascii="Times New Roman" w:eastAsia="Times New Roman" w:hAnsi="Times New Roman" w:cs="Times New Roman"/>
                <w:sz w:val="24"/>
                <w:szCs w:val="24"/>
                <w:lang w:eastAsia="lv-LV"/>
              </w:rPr>
              <w:t>.gada 1</w:t>
            </w:r>
            <w:r>
              <w:rPr>
                <w:rFonts w:ascii="Times New Roman" w:eastAsia="Times New Roman" w:hAnsi="Times New Roman" w:cs="Times New Roman"/>
                <w:sz w:val="24"/>
                <w:szCs w:val="24"/>
                <w:lang w:eastAsia="lv-LV"/>
              </w:rPr>
              <w:t>2</w:t>
            </w:r>
            <w:r w:rsidR="00AD393D" w:rsidRPr="0049414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septemb</w:t>
            </w:r>
            <w:r w:rsidR="00AD393D" w:rsidRPr="00494147">
              <w:rPr>
                <w:rFonts w:ascii="Times New Roman" w:eastAsia="Times New Roman" w:hAnsi="Times New Roman" w:cs="Times New Roman"/>
                <w:sz w:val="24"/>
                <w:szCs w:val="24"/>
                <w:lang w:eastAsia="lv-LV"/>
              </w:rPr>
              <w:t>ra noteikum</w:t>
            </w:r>
            <w:r w:rsidR="007F2694" w:rsidRPr="00494147">
              <w:rPr>
                <w:rFonts w:ascii="Times New Roman" w:eastAsia="Times New Roman" w:hAnsi="Times New Roman" w:cs="Times New Roman"/>
                <w:sz w:val="24"/>
                <w:szCs w:val="24"/>
                <w:lang w:eastAsia="lv-LV"/>
              </w:rPr>
              <w:t>i</w:t>
            </w:r>
            <w:r w:rsidR="00AD393D" w:rsidRPr="004941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557</w:t>
            </w:r>
            <w:r w:rsidR="00AD393D" w:rsidRPr="00494147">
              <w:rPr>
                <w:rFonts w:ascii="Times New Roman" w:eastAsia="Times New Roman" w:hAnsi="Times New Roman" w:cs="Times New Roman"/>
                <w:sz w:val="24"/>
                <w:szCs w:val="24"/>
                <w:lang w:eastAsia="lv-LV"/>
              </w:rPr>
              <w:t xml:space="preserve"> “Noteikumi par valsts nodevu par vīzas, uzturēšanās atļaujas vai Eiropas Savienības pastāvīgā iedzīvotāja statusa Latvijas Republikā pieprasīšanai nepieciešamo dokumentu izskatīšanu un ar to saistītajiem pakalpojumiem” </w:t>
            </w:r>
            <w:r>
              <w:rPr>
                <w:rFonts w:ascii="Times New Roman" w:eastAsia="Times New Roman" w:hAnsi="Times New Roman" w:cs="Times New Roman"/>
                <w:sz w:val="24"/>
                <w:szCs w:val="24"/>
                <w:lang w:eastAsia="lv-LV"/>
              </w:rPr>
              <w:t>paredz valsts nodevas likmi par ilgtermiņa vīzas pieteikuma izskatīšanu, kas šobrīd ir analoga valsts nodevai par Šengenas (īstermiņa) vīzas pieteikuma izskatīšanu, ir lietderīgi abas valsts nodevas likmes vienādot</w:t>
            </w:r>
            <w:r w:rsidR="00DD13E3">
              <w:rPr>
                <w:rFonts w:ascii="Times New Roman" w:eastAsia="Times New Roman" w:hAnsi="Times New Roman" w:cs="Times New Roman"/>
                <w:sz w:val="24"/>
                <w:szCs w:val="24"/>
                <w:lang w:eastAsia="lv-LV"/>
              </w:rPr>
              <w:t>, attiecīgi paaugstinot arī valsts nodevu par tāda pieteikuma izskatīšanu, kas iesniegts mazāk nekā trīs darbdienas pirms ārzemnieka likumīgās uzturēšanās termiņa beigām</w:t>
            </w:r>
            <w:r>
              <w:rPr>
                <w:rFonts w:ascii="Times New Roman" w:eastAsia="Times New Roman" w:hAnsi="Times New Roman" w:cs="Times New Roman"/>
                <w:sz w:val="24"/>
                <w:szCs w:val="24"/>
                <w:lang w:eastAsia="lv-LV"/>
              </w:rPr>
              <w:t xml:space="preserve">. </w:t>
            </w:r>
          </w:p>
          <w:p w:rsidR="00DD13E3" w:rsidRDefault="00FD6AB1"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 xml:space="preserve">Vienlaikus, </w:t>
            </w:r>
            <w:r w:rsidR="000D4FBF">
              <w:rPr>
                <w:rFonts w:ascii="Times New Roman" w:eastAsia="Times New Roman" w:hAnsi="Times New Roman" w:cs="Times New Roman"/>
                <w:sz w:val="24"/>
                <w:szCs w:val="24"/>
                <w:lang w:eastAsia="lv-LV"/>
              </w:rPr>
              <w:t xml:space="preserve">analizējot pašreizējo situāciju saistībā ar paātrinātu vīzas pieteikumu izskatīšanu, jāsecina, ka </w:t>
            </w:r>
            <w:r w:rsidR="00DD13E3">
              <w:rPr>
                <w:rFonts w:ascii="Times New Roman" w:eastAsia="Times New Roman" w:hAnsi="Times New Roman" w:cs="Times New Roman"/>
                <w:sz w:val="24"/>
                <w:szCs w:val="24"/>
                <w:lang w:eastAsia="lv-LV"/>
              </w:rPr>
              <w:t xml:space="preserve">šobrīd  paaugstinātu valsts nodevu par vīzas pieteikuma izskatīšanu ir iespējams </w:t>
            </w:r>
            <w:r w:rsidR="0085792F">
              <w:rPr>
                <w:rFonts w:ascii="Times New Roman" w:eastAsia="Times New Roman" w:hAnsi="Times New Roman" w:cs="Times New Roman"/>
                <w:sz w:val="24"/>
                <w:szCs w:val="24"/>
                <w:lang w:eastAsia="lv-LV"/>
              </w:rPr>
              <w:t xml:space="preserve">iekasēt </w:t>
            </w:r>
            <w:r w:rsidR="00DD13E3">
              <w:rPr>
                <w:rFonts w:ascii="Times New Roman" w:eastAsia="Times New Roman" w:hAnsi="Times New Roman" w:cs="Times New Roman"/>
                <w:sz w:val="24"/>
                <w:szCs w:val="24"/>
                <w:lang w:eastAsia="lv-LV"/>
              </w:rPr>
              <w:t>tikai tad, ja ārzemnieks vīzas pieteikumu iesniedzis, tuvojoties viņa likumīgās uzturēšanās Latvijas Republikas teritorijā beigām, lai gan daudz ārzemnieku un viņu uzaicinātāju, neraugoties uz to, ka likumīgās uzturēšanās termiņš vēl ir pietiekams</w:t>
            </w:r>
            <w:r w:rsidR="00595E2C">
              <w:rPr>
                <w:rFonts w:ascii="Times New Roman" w:eastAsia="Times New Roman" w:hAnsi="Times New Roman" w:cs="Times New Roman"/>
                <w:sz w:val="24"/>
                <w:szCs w:val="24"/>
                <w:lang w:eastAsia="lv-LV"/>
              </w:rPr>
              <w:t xml:space="preserve"> vai arī, ja vīzas </w:t>
            </w:r>
            <w:r w:rsidR="00595E2C">
              <w:rPr>
                <w:rFonts w:ascii="Times New Roman" w:eastAsia="Times New Roman" w:hAnsi="Times New Roman" w:cs="Times New Roman"/>
                <w:sz w:val="24"/>
                <w:szCs w:val="24"/>
                <w:lang w:eastAsia="lv-LV"/>
              </w:rPr>
              <w:lastRenderedPageBreak/>
              <w:t>pieteikums tiek iesniegts ārvalstī</w:t>
            </w:r>
            <w:r w:rsidR="00DD13E3">
              <w:rPr>
                <w:rFonts w:ascii="Times New Roman" w:eastAsia="Times New Roman" w:hAnsi="Times New Roman" w:cs="Times New Roman"/>
                <w:sz w:val="24"/>
                <w:szCs w:val="24"/>
                <w:lang w:eastAsia="lv-LV"/>
              </w:rPr>
              <w:t>, lūdz rast iespēju izskatīt vīzas pieteikumu paātrināti saistībā ar dažādiem personīgiem un profesionāliem iemesliem. Šādos gad</w:t>
            </w:r>
            <w:r w:rsidR="0085792F">
              <w:rPr>
                <w:rFonts w:ascii="Times New Roman" w:eastAsia="Times New Roman" w:hAnsi="Times New Roman" w:cs="Times New Roman"/>
                <w:sz w:val="24"/>
                <w:szCs w:val="24"/>
                <w:lang w:eastAsia="lv-LV"/>
              </w:rPr>
              <w:t xml:space="preserve">ījumos iespēju robežās vīzas pieteikums tiek izskatīts paātrināti, iekasējot pamata likmi, lai gan administratīvo resursu izmaksas šādā gadījumā ir augstākas. </w:t>
            </w:r>
            <w:r w:rsidR="002531C5">
              <w:rPr>
                <w:rFonts w:ascii="Times New Roman" w:eastAsia="Times New Roman" w:hAnsi="Times New Roman" w:cs="Times New Roman"/>
                <w:sz w:val="24"/>
                <w:szCs w:val="24"/>
                <w:lang w:eastAsia="lv-LV"/>
              </w:rPr>
              <w:t>Jāatzīmē, ka ne vienmēr iespējams vīzas pieteikuma izskatīšanu nodrošināt tik īsā termiņā, jo administratīvie resursi gan Pilsonības un migrācijas lietu pārvaldei, gan Latvijas Republikas diplomātiskaj</w:t>
            </w:r>
            <w:r w:rsidR="00595E2C">
              <w:rPr>
                <w:rFonts w:ascii="Times New Roman" w:eastAsia="Times New Roman" w:hAnsi="Times New Roman" w:cs="Times New Roman"/>
                <w:sz w:val="24"/>
                <w:szCs w:val="24"/>
                <w:lang w:eastAsia="lv-LV"/>
              </w:rPr>
              <w:t>ām</w:t>
            </w:r>
            <w:r w:rsidR="002531C5">
              <w:rPr>
                <w:rFonts w:ascii="Times New Roman" w:eastAsia="Times New Roman" w:hAnsi="Times New Roman" w:cs="Times New Roman"/>
                <w:sz w:val="24"/>
                <w:szCs w:val="24"/>
                <w:lang w:eastAsia="lv-LV"/>
              </w:rPr>
              <w:t xml:space="preserve"> un konsulāraj</w:t>
            </w:r>
            <w:r w:rsidR="00595E2C">
              <w:rPr>
                <w:rFonts w:ascii="Times New Roman" w:eastAsia="Times New Roman" w:hAnsi="Times New Roman" w:cs="Times New Roman"/>
                <w:sz w:val="24"/>
                <w:szCs w:val="24"/>
                <w:lang w:eastAsia="lv-LV"/>
              </w:rPr>
              <w:t>ām</w:t>
            </w:r>
            <w:r w:rsidR="002531C5">
              <w:rPr>
                <w:rFonts w:ascii="Times New Roman" w:eastAsia="Times New Roman" w:hAnsi="Times New Roman" w:cs="Times New Roman"/>
                <w:sz w:val="24"/>
                <w:szCs w:val="24"/>
                <w:lang w:eastAsia="lv-LV"/>
              </w:rPr>
              <w:t xml:space="preserve"> pārstāvniecībā</w:t>
            </w:r>
            <w:r w:rsidR="00595E2C">
              <w:rPr>
                <w:rFonts w:ascii="Times New Roman" w:eastAsia="Times New Roman" w:hAnsi="Times New Roman" w:cs="Times New Roman"/>
                <w:sz w:val="24"/>
                <w:szCs w:val="24"/>
                <w:lang w:eastAsia="lv-LV"/>
              </w:rPr>
              <w:t>m</w:t>
            </w:r>
            <w:r w:rsidR="002531C5">
              <w:rPr>
                <w:rFonts w:ascii="Times New Roman" w:eastAsia="Times New Roman" w:hAnsi="Times New Roman" w:cs="Times New Roman"/>
                <w:sz w:val="24"/>
                <w:szCs w:val="24"/>
                <w:lang w:eastAsia="lv-LV"/>
              </w:rPr>
              <w:t xml:space="preserve"> ārvalstīs, ir ierobežoti, it īpaši laikā, kad notiek intensīva ārvalstu studentu uzņemšana izglītības iestādēs, tiek saņemts vairāk pieteikumu saistībā ar nodarbinātību vai vairāku darbinieku prombūtnes gadījumos (darba nespēja, atvaļinājumi). </w:t>
            </w:r>
          </w:p>
          <w:p w:rsidR="00795142" w:rsidRPr="00494147" w:rsidRDefault="0085792F" w:rsidP="00494147">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795142" w:rsidRPr="00494147">
              <w:rPr>
                <w:rFonts w:ascii="Times New Roman" w:eastAsia="Times New Roman" w:hAnsi="Times New Roman" w:cs="Times New Roman"/>
                <w:sz w:val="24"/>
                <w:szCs w:val="24"/>
                <w:lang w:eastAsia="lv-LV"/>
              </w:rPr>
              <w:t>rojektā paredzēts:</w:t>
            </w:r>
          </w:p>
          <w:p w:rsidR="00795142" w:rsidRPr="00494147" w:rsidRDefault="00795142" w:rsidP="00494147">
            <w:pPr>
              <w:pStyle w:val="ListParagraph"/>
              <w:numPr>
                <w:ilvl w:val="0"/>
                <w:numId w:val="4"/>
              </w:numPr>
              <w:spacing w:after="120" w:line="240" w:lineRule="auto"/>
              <w:ind w:left="0" w:firstLine="360"/>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noteikt valsts nodevu par ilgtermiņa vīzas pieteikuma izskatīšanu analogu tai, kāda noteikta par īstermiņa vīzas pieteikuma izskatīšanu</w:t>
            </w:r>
            <w:r w:rsidR="002531C5">
              <w:rPr>
                <w:rFonts w:ascii="Times New Roman" w:eastAsia="Times New Roman" w:hAnsi="Times New Roman" w:cs="Times New Roman"/>
                <w:sz w:val="24"/>
                <w:szCs w:val="24"/>
                <w:lang w:eastAsia="lv-LV"/>
              </w:rPr>
              <w:t xml:space="preserve"> (80 </w:t>
            </w:r>
            <w:proofErr w:type="spellStart"/>
            <w:r w:rsidR="002531C5">
              <w:rPr>
                <w:rFonts w:ascii="Times New Roman" w:eastAsia="Times New Roman" w:hAnsi="Times New Roman" w:cs="Times New Roman"/>
                <w:i/>
                <w:sz w:val="24"/>
                <w:szCs w:val="24"/>
                <w:lang w:eastAsia="lv-LV"/>
              </w:rPr>
              <w:t>euro</w:t>
            </w:r>
            <w:proofErr w:type="spellEnd"/>
            <w:r w:rsidR="002531C5">
              <w:rPr>
                <w:rFonts w:ascii="Times New Roman" w:eastAsia="Times New Roman" w:hAnsi="Times New Roman" w:cs="Times New Roman"/>
                <w:sz w:val="24"/>
                <w:szCs w:val="24"/>
                <w:lang w:eastAsia="lv-LV"/>
              </w:rPr>
              <w:t xml:space="preserve"> apmērā)</w:t>
            </w:r>
            <w:r w:rsidRPr="00494147">
              <w:rPr>
                <w:rFonts w:ascii="Times New Roman" w:eastAsia="Times New Roman" w:hAnsi="Times New Roman" w:cs="Times New Roman"/>
                <w:sz w:val="24"/>
                <w:szCs w:val="24"/>
                <w:lang w:eastAsia="lv-LV"/>
              </w:rPr>
              <w:t xml:space="preserve">, kā arī </w:t>
            </w:r>
            <w:r w:rsidR="002531C5">
              <w:rPr>
                <w:rFonts w:ascii="Times New Roman" w:eastAsia="Times New Roman" w:hAnsi="Times New Roman" w:cs="Times New Roman"/>
                <w:sz w:val="24"/>
                <w:szCs w:val="24"/>
                <w:lang w:eastAsia="lv-LV"/>
              </w:rPr>
              <w:t xml:space="preserve">atbilstoši paaugstināt </w:t>
            </w:r>
            <w:r w:rsidRPr="00494147">
              <w:rPr>
                <w:rFonts w:ascii="Times New Roman" w:eastAsia="Times New Roman" w:hAnsi="Times New Roman" w:cs="Times New Roman"/>
                <w:sz w:val="24"/>
                <w:szCs w:val="24"/>
                <w:lang w:eastAsia="lv-LV"/>
              </w:rPr>
              <w:t>valsts nodevu par paātrinātu ilgtermi</w:t>
            </w:r>
            <w:r w:rsidR="00595E2C">
              <w:rPr>
                <w:rFonts w:ascii="Times New Roman" w:eastAsia="Times New Roman" w:hAnsi="Times New Roman" w:cs="Times New Roman"/>
                <w:sz w:val="24"/>
                <w:szCs w:val="24"/>
                <w:lang w:eastAsia="lv-LV"/>
              </w:rPr>
              <w:t>ņa vīzas pieteikuma izskatīšanu, ja tas iesniegts mazāk kā trīs darbdienas pirms ārzemnieka likumīgās uzturēšanās termiņa beigām (1</w:t>
            </w:r>
            <w:r w:rsidR="002531C5">
              <w:rPr>
                <w:rFonts w:ascii="Times New Roman" w:eastAsia="Times New Roman" w:hAnsi="Times New Roman" w:cs="Times New Roman"/>
                <w:sz w:val="24"/>
                <w:szCs w:val="24"/>
                <w:lang w:eastAsia="lv-LV"/>
              </w:rPr>
              <w:t xml:space="preserve">60 </w:t>
            </w:r>
            <w:proofErr w:type="spellStart"/>
            <w:r w:rsidR="002531C5">
              <w:rPr>
                <w:rFonts w:ascii="Times New Roman" w:eastAsia="Times New Roman" w:hAnsi="Times New Roman" w:cs="Times New Roman"/>
                <w:i/>
                <w:sz w:val="24"/>
                <w:szCs w:val="24"/>
                <w:lang w:eastAsia="lv-LV"/>
              </w:rPr>
              <w:t>euro</w:t>
            </w:r>
            <w:proofErr w:type="spellEnd"/>
            <w:r w:rsidR="002531C5">
              <w:rPr>
                <w:rFonts w:ascii="Times New Roman" w:eastAsia="Times New Roman" w:hAnsi="Times New Roman" w:cs="Times New Roman"/>
                <w:i/>
                <w:sz w:val="24"/>
                <w:szCs w:val="24"/>
                <w:lang w:eastAsia="lv-LV"/>
              </w:rPr>
              <w:t xml:space="preserve"> </w:t>
            </w:r>
            <w:r w:rsidR="002531C5">
              <w:rPr>
                <w:rFonts w:ascii="Times New Roman" w:eastAsia="Times New Roman" w:hAnsi="Times New Roman" w:cs="Times New Roman"/>
                <w:sz w:val="24"/>
                <w:szCs w:val="24"/>
                <w:lang w:eastAsia="lv-LV"/>
              </w:rPr>
              <w:t>apmērā)</w:t>
            </w:r>
            <w:r w:rsidR="0079099E" w:rsidRPr="00494147">
              <w:rPr>
                <w:rFonts w:ascii="Times New Roman" w:eastAsia="Times New Roman" w:hAnsi="Times New Roman" w:cs="Times New Roman"/>
                <w:sz w:val="24"/>
                <w:szCs w:val="24"/>
                <w:lang w:eastAsia="lv-LV"/>
              </w:rPr>
              <w:t>;</w:t>
            </w:r>
          </w:p>
          <w:p w:rsidR="00795142" w:rsidRDefault="002531C5" w:rsidP="00494147">
            <w:pPr>
              <w:pStyle w:val="ListParagraph"/>
              <w:numPr>
                <w:ilvl w:val="0"/>
                <w:numId w:val="4"/>
              </w:numPr>
              <w:spacing w:after="120" w:line="240" w:lineRule="auto"/>
              <w:ind w:left="0"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noteikt paaugstinātu valsts nodevu par vīzas pieteikuma izskatīšanu</w:t>
            </w:r>
            <w:r w:rsidR="00595E2C">
              <w:rPr>
                <w:rFonts w:ascii="Times New Roman" w:eastAsia="Times New Roman" w:hAnsi="Times New Roman" w:cs="Times New Roman"/>
                <w:sz w:val="24"/>
                <w:szCs w:val="24"/>
                <w:lang w:eastAsia="lv-LV"/>
              </w:rPr>
              <w:t xml:space="preserve"> (160 </w:t>
            </w:r>
            <w:proofErr w:type="spellStart"/>
            <w:r w:rsidR="00595E2C">
              <w:rPr>
                <w:rFonts w:ascii="Times New Roman" w:eastAsia="Times New Roman" w:hAnsi="Times New Roman" w:cs="Times New Roman"/>
                <w:i/>
                <w:sz w:val="24"/>
                <w:szCs w:val="24"/>
                <w:lang w:eastAsia="lv-LV"/>
              </w:rPr>
              <w:t>euro</w:t>
            </w:r>
            <w:proofErr w:type="spellEnd"/>
            <w:r w:rsidR="00595E2C">
              <w:rPr>
                <w:rFonts w:ascii="Times New Roman" w:eastAsia="Times New Roman" w:hAnsi="Times New Roman" w:cs="Times New Roman"/>
                <w:i/>
                <w:sz w:val="24"/>
                <w:szCs w:val="24"/>
                <w:lang w:eastAsia="lv-LV"/>
              </w:rPr>
              <w:t xml:space="preserve"> </w:t>
            </w:r>
            <w:r w:rsidR="00595E2C">
              <w:rPr>
                <w:rFonts w:ascii="Times New Roman" w:eastAsia="Times New Roman" w:hAnsi="Times New Roman" w:cs="Times New Roman"/>
                <w:sz w:val="24"/>
                <w:szCs w:val="24"/>
                <w:lang w:eastAsia="lv-LV"/>
              </w:rPr>
              <w:t>apmērā), ja institūcijai, kas pieteikumu pieņem, ir tehniskas iespējas izskatīšanu tik</w:t>
            </w:r>
            <w:r w:rsidR="00486A19">
              <w:rPr>
                <w:rFonts w:ascii="Times New Roman" w:eastAsia="Times New Roman" w:hAnsi="Times New Roman" w:cs="Times New Roman"/>
                <w:sz w:val="24"/>
                <w:szCs w:val="24"/>
                <w:lang w:eastAsia="lv-LV"/>
              </w:rPr>
              <w:t xml:space="preserve"> īsā termiņā nodrošināt.</w:t>
            </w:r>
          </w:p>
          <w:p w:rsidR="00FD6AB1" w:rsidRPr="00FB5366" w:rsidRDefault="00FD6AB1" w:rsidP="00FB5366">
            <w:pPr>
              <w:spacing w:after="120" w:line="240" w:lineRule="auto"/>
              <w:jc w:val="both"/>
              <w:rPr>
                <w:rFonts w:ascii="Times New Roman" w:eastAsia="Times New Roman" w:hAnsi="Times New Roman" w:cs="Times New Roman"/>
                <w:sz w:val="24"/>
                <w:szCs w:val="24"/>
                <w:lang w:eastAsia="lv-LV"/>
              </w:rPr>
            </w:pPr>
            <w:r w:rsidRPr="00FB5366">
              <w:rPr>
                <w:rFonts w:ascii="Times New Roman" w:eastAsia="Times New Roman" w:hAnsi="Times New Roman" w:cs="Times New Roman"/>
                <w:sz w:val="24"/>
                <w:szCs w:val="24"/>
                <w:lang w:eastAsia="lv-LV"/>
              </w:rPr>
              <w:t>Lai nodrošinātu tiesiskās noteiktības principa ievērošanu, savlaicīgu informētību par valsts nodevu apmēriem, iestāžu spēju savlaicīgi sagatavoties noteikto valsts nodevu administrēšanai, un saskaņotību ar valsts budžetu kārtējam  gadam, projektam not</w:t>
            </w:r>
            <w:r w:rsidR="00DD13E3" w:rsidRPr="00FB5366">
              <w:rPr>
                <w:rFonts w:ascii="Times New Roman" w:eastAsia="Times New Roman" w:hAnsi="Times New Roman" w:cs="Times New Roman"/>
                <w:sz w:val="24"/>
                <w:szCs w:val="24"/>
                <w:lang w:eastAsia="lv-LV"/>
              </w:rPr>
              <w:t>eikts spēkā stāšanās laiks – 2020</w:t>
            </w:r>
            <w:r w:rsidRPr="00FB5366">
              <w:rPr>
                <w:rFonts w:ascii="Times New Roman" w:eastAsia="Times New Roman" w:hAnsi="Times New Roman" w:cs="Times New Roman"/>
                <w:sz w:val="24"/>
                <w:szCs w:val="24"/>
                <w:lang w:eastAsia="lv-LV"/>
              </w:rPr>
              <w:t>.gada 1.janvāris.</w:t>
            </w:r>
          </w:p>
        </w:tc>
      </w:tr>
      <w:tr w:rsidR="00894C55" w:rsidRPr="0049414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494147" w:rsidRDefault="00EB1739"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Iekšlietu ministrija, Pilsonības un migrācijas lietu pārvalde</w:t>
            </w:r>
            <w:r w:rsidR="0085792F">
              <w:rPr>
                <w:rFonts w:ascii="Times New Roman" w:eastAsia="Times New Roman" w:hAnsi="Times New Roman" w:cs="Times New Roman"/>
                <w:sz w:val="24"/>
                <w:szCs w:val="24"/>
                <w:lang w:eastAsia="lv-LV"/>
              </w:rPr>
              <w:t>, Ārlietu ministrija</w:t>
            </w:r>
          </w:p>
        </w:tc>
      </w:tr>
      <w:tr w:rsidR="00894C55" w:rsidRPr="00494147" w:rsidTr="00894C55">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494147" w:rsidRDefault="006D6C04"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Nav</w:t>
            </w:r>
          </w:p>
        </w:tc>
      </w:tr>
    </w:tbl>
    <w:p w:rsidR="00894C55" w:rsidRPr="00494147" w:rsidRDefault="00894C55" w:rsidP="00494147">
      <w:pPr>
        <w:shd w:val="clear" w:color="auto" w:fill="FFFFFF"/>
        <w:spacing w:after="120" w:line="240" w:lineRule="auto"/>
        <w:ind w:firstLine="301"/>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2807"/>
        <w:gridCol w:w="5795"/>
      </w:tblGrid>
      <w:tr w:rsidR="00894C55" w:rsidRPr="00494147" w:rsidTr="00894C55">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494147" w:rsidRDefault="00894C55"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II.</w:t>
            </w:r>
            <w:r w:rsidR="0050178F" w:rsidRPr="00494147">
              <w:rPr>
                <w:rFonts w:ascii="Times New Roman" w:eastAsia="Times New Roman" w:hAnsi="Times New Roman" w:cs="Times New Roman"/>
                <w:b/>
                <w:bCs/>
                <w:sz w:val="24"/>
                <w:szCs w:val="24"/>
                <w:lang w:eastAsia="lv-LV"/>
              </w:rPr>
              <w:t> </w:t>
            </w:r>
            <w:r w:rsidRPr="00494147">
              <w:rPr>
                <w:rFonts w:ascii="Times New Roman" w:eastAsia="Times New Roman" w:hAnsi="Times New Roman" w:cs="Times New Roman"/>
                <w:b/>
                <w:bCs/>
                <w:sz w:val="24"/>
                <w:szCs w:val="24"/>
                <w:lang w:eastAsia="lv-LV"/>
              </w:rPr>
              <w:t>Tiesību akta projekta ietekme uz sabiedrību, tautsaimniecības attīstību un administratīvo slogu</w:t>
            </w:r>
          </w:p>
        </w:tc>
      </w:tr>
      <w:tr w:rsidR="00894C55" w:rsidRPr="00494147" w:rsidTr="00894C55">
        <w:trPr>
          <w:trHeight w:val="372"/>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 xml:space="preserve">Sabiedrības </w:t>
            </w:r>
            <w:proofErr w:type="spellStart"/>
            <w:r w:rsidRPr="00494147">
              <w:rPr>
                <w:rFonts w:ascii="Times New Roman" w:eastAsia="Times New Roman" w:hAnsi="Times New Roman" w:cs="Times New Roman"/>
                <w:sz w:val="24"/>
                <w:szCs w:val="24"/>
                <w:lang w:eastAsia="lv-LV"/>
              </w:rPr>
              <w:t>mērķgrupas</w:t>
            </w:r>
            <w:proofErr w:type="spellEnd"/>
            <w:r w:rsidRPr="00494147">
              <w:rPr>
                <w:rFonts w:ascii="Times New Roman" w:eastAsia="Times New Roman" w:hAnsi="Times New Roman" w:cs="Times New Roman"/>
                <w:sz w:val="24"/>
                <w:szCs w:val="24"/>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494147" w:rsidRDefault="00EB1739" w:rsidP="008D0B80">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 xml:space="preserve">Ārzemnieki, kas pieprasa </w:t>
            </w:r>
            <w:r w:rsidR="00595E2C">
              <w:rPr>
                <w:rFonts w:ascii="Times New Roman" w:eastAsia="Times New Roman" w:hAnsi="Times New Roman" w:cs="Times New Roman"/>
                <w:sz w:val="24"/>
                <w:szCs w:val="24"/>
                <w:lang w:eastAsia="lv-LV"/>
              </w:rPr>
              <w:t xml:space="preserve">ilgtermiņa </w:t>
            </w:r>
            <w:r w:rsidR="00795142" w:rsidRPr="00494147">
              <w:rPr>
                <w:rFonts w:ascii="Times New Roman" w:eastAsia="Times New Roman" w:hAnsi="Times New Roman" w:cs="Times New Roman"/>
                <w:sz w:val="24"/>
                <w:szCs w:val="24"/>
                <w:lang w:eastAsia="lv-LV"/>
              </w:rPr>
              <w:t xml:space="preserve">vīzas </w:t>
            </w:r>
            <w:r w:rsidR="00595E2C">
              <w:rPr>
                <w:rFonts w:ascii="Times New Roman" w:eastAsia="Times New Roman" w:hAnsi="Times New Roman" w:cs="Times New Roman"/>
                <w:sz w:val="24"/>
                <w:szCs w:val="24"/>
                <w:lang w:eastAsia="lv-LV"/>
              </w:rPr>
              <w:t xml:space="preserve">Latvijas </w:t>
            </w:r>
            <w:r w:rsidR="00595E2C" w:rsidRPr="00B11606">
              <w:rPr>
                <w:rFonts w:ascii="Times New Roman" w:eastAsia="Times New Roman" w:hAnsi="Times New Roman" w:cs="Times New Roman"/>
                <w:sz w:val="24"/>
                <w:szCs w:val="24"/>
                <w:lang w:eastAsia="lv-LV"/>
              </w:rPr>
              <w:t>Republikā</w:t>
            </w:r>
            <w:r w:rsidR="00795142" w:rsidRPr="00B11606">
              <w:rPr>
                <w:rFonts w:ascii="Times New Roman" w:eastAsia="Times New Roman" w:hAnsi="Times New Roman" w:cs="Times New Roman"/>
                <w:sz w:val="24"/>
                <w:szCs w:val="24"/>
                <w:lang w:eastAsia="lv-LV"/>
              </w:rPr>
              <w:t>.</w:t>
            </w:r>
            <w:r w:rsidRPr="00B11606">
              <w:rPr>
                <w:rFonts w:ascii="Times New Roman" w:eastAsia="Times New Roman" w:hAnsi="Times New Roman" w:cs="Times New Roman"/>
                <w:sz w:val="24"/>
                <w:szCs w:val="24"/>
                <w:lang w:eastAsia="lv-LV"/>
              </w:rPr>
              <w:t xml:space="preserve"> </w:t>
            </w:r>
            <w:r w:rsidR="00795142" w:rsidRPr="00B11606">
              <w:rPr>
                <w:rFonts w:ascii="Times New Roman" w:eastAsia="Times New Roman" w:hAnsi="Times New Roman" w:cs="Times New Roman"/>
                <w:sz w:val="24"/>
                <w:szCs w:val="24"/>
                <w:lang w:eastAsia="lv-LV"/>
              </w:rPr>
              <w:t>201</w:t>
            </w:r>
            <w:r w:rsidR="00595E2C" w:rsidRPr="00B11606">
              <w:rPr>
                <w:rFonts w:ascii="Times New Roman" w:eastAsia="Times New Roman" w:hAnsi="Times New Roman" w:cs="Times New Roman"/>
                <w:sz w:val="24"/>
                <w:szCs w:val="24"/>
                <w:lang w:eastAsia="lv-LV"/>
              </w:rPr>
              <w:t>8</w:t>
            </w:r>
            <w:r w:rsidR="00795142" w:rsidRPr="00B11606">
              <w:rPr>
                <w:rFonts w:ascii="Times New Roman" w:eastAsia="Times New Roman" w:hAnsi="Times New Roman" w:cs="Times New Roman"/>
                <w:sz w:val="24"/>
                <w:szCs w:val="24"/>
                <w:lang w:eastAsia="lv-LV"/>
              </w:rPr>
              <w:t xml:space="preserve">.gadā </w:t>
            </w:r>
            <w:r w:rsidR="008D0B80">
              <w:rPr>
                <w:rFonts w:ascii="Times New Roman" w:eastAsia="Times New Roman" w:hAnsi="Times New Roman" w:cs="Times New Roman"/>
                <w:sz w:val="24"/>
                <w:szCs w:val="24"/>
                <w:lang w:eastAsia="lv-LV"/>
              </w:rPr>
              <w:t>saņemti</w:t>
            </w:r>
            <w:r w:rsidR="00795142" w:rsidRPr="00B11606">
              <w:rPr>
                <w:rFonts w:ascii="Times New Roman" w:eastAsia="Times New Roman" w:hAnsi="Times New Roman" w:cs="Times New Roman"/>
                <w:sz w:val="24"/>
                <w:szCs w:val="24"/>
                <w:lang w:eastAsia="lv-LV"/>
              </w:rPr>
              <w:t xml:space="preserve"> </w:t>
            </w:r>
            <w:r w:rsidR="00B11606" w:rsidRPr="00B11606">
              <w:rPr>
                <w:rFonts w:ascii="Times New Roman" w:eastAsia="Times New Roman" w:hAnsi="Times New Roman" w:cs="Times New Roman"/>
                <w:sz w:val="24"/>
                <w:szCs w:val="24"/>
                <w:lang w:eastAsia="lv-LV"/>
              </w:rPr>
              <w:t>6946</w:t>
            </w:r>
            <w:r w:rsidR="00777FB9" w:rsidRPr="00B11606">
              <w:rPr>
                <w:rFonts w:ascii="Times New Roman" w:eastAsia="Times New Roman" w:hAnsi="Times New Roman" w:cs="Times New Roman"/>
                <w:sz w:val="24"/>
                <w:szCs w:val="24"/>
                <w:lang w:eastAsia="lv-LV"/>
              </w:rPr>
              <w:t xml:space="preserve"> </w:t>
            </w:r>
            <w:r w:rsidR="00595E2C" w:rsidRPr="00B11606">
              <w:rPr>
                <w:rFonts w:ascii="Times New Roman" w:eastAsia="Times New Roman" w:hAnsi="Times New Roman" w:cs="Times New Roman"/>
                <w:sz w:val="24"/>
                <w:szCs w:val="24"/>
                <w:lang w:eastAsia="lv-LV"/>
              </w:rPr>
              <w:t>ilgtermiņa vīz</w:t>
            </w:r>
            <w:r w:rsidR="008D0B80">
              <w:rPr>
                <w:rFonts w:ascii="Times New Roman" w:eastAsia="Times New Roman" w:hAnsi="Times New Roman" w:cs="Times New Roman"/>
                <w:sz w:val="24"/>
                <w:szCs w:val="24"/>
                <w:lang w:eastAsia="lv-LV"/>
              </w:rPr>
              <w:t>u pieteikumi</w:t>
            </w:r>
            <w:r w:rsidR="00B11606" w:rsidRPr="00B11606">
              <w:rPr>
                <w:rFonts w:ascii="Times New Roman" w:eastAsia="Times New Roman" w:hAnsi="Times New Roman" w:cs="Times New Roman"/>
                <w:sz w:val="24"/>
                <w:szCs w:val="24"/>
                <w:lang w:eastAsia="lv-LV"/>
              </w:rPr>
              <w:t>, tajā skaitā, 6040 Latvijas Republikas diplomātiskajās</w:t>
            </w:r>
            <w:r w:rsidR="00B11606">
              <w:rPr>
                <w:rFonts w:ascii="Times New Roman" w:eastAsia="Times New Roman" w:hAnsi="Times New Roman" w:cs="Times New Roman"/>
                <w:sz w:val="24"/>
                <w:szCs w:val="24"/>
                <w:lang w:eastAsia="lv-LV"/>
              </w:rPr>
              <w:t xml:space="preserve"> un konsulārajās pārstāvniecībās ārvalstīs, 624 - Pilsonības un migrācijas lietu pārvaldē, bet 282 - Ārlietu ministrijas Konsulārajā departamentā.</w:t>
            </w:r>
            <w:r w:rsidR="008D0B80">
              <w:rPr>
                <w:rFonts w:ascii="Times New Roman" w:eastAsia="Times New Roman" w:hAnsi="Times New Roman" w:cs="Times New Roman"/>
                <w:sz w:val="24"/>
                <w:szCs w:val="24"/>
                <w:lang w:eastAsia="lv-LV"/>
              </w:rPr>
              <w:t xml:space="preserve"> 2019.gada </w:t>
            </w:r>
            <w:r w:rsidR="008D0B80">
              <w:rPr>
                <w:rFonts w:ascii="Times New Roman" w:eastAsia="Times New Roman" w:hAnsi="Times New Roman" w:cs="Times New Roman"/>
                <w:sz w:val="24"/>
                <w:szCs w:val="24"/>
                <w:lang w:eastAsia="lv-LV"/>
              </w:rPr>
              <w:lastRenderedPageBreak/>
              <w:t>janvārī-jūlijā saņemti 4140 ilgtermiņa vīzu pieteikumi, par 23% pārsniedzot 2018.gada analogā periodā saņemto ilgtermiņa vīzu pieteikumu skaitu.</w:t>
            </w:r>
          </w:p>
        </w:tc>
      </w:tr>
      <w:tr w:rsidR="00D80842" w:rsidRPr="0049414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rsidR="00D80842" w:rsidRPr="00494147" w:rsidRDefault="00D80842" w:rsidP="00494147">
            <w:pPr>
              <w:keepNext/>
              <w:keepLines/>
              <w:spacing w:after="120" w:line="240" w:lineRule="auto"/>
              <w:outlineLvl w:val="1"/>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lastRenderedPageBreak/>
              <w:t>2.</w:t>
            </w:r>
          </w:p>
        </w:tc>
        <w:tc>
          <w:tcPr>
            <w:tcW w:w="1550" w:type="pct"/>
            <w:tcBorders>
              <w:top w:val="outset" w:sz="6" w:space="0" w:color="414142"/>
              <w:left w:val="outset" w:sz="6" w:space="0" w:color="414142"/>
              <w:bottom w:val="outset" w:sz="6" w:space="0" w:color="414142"/>
              <w:right w:val="outset" w:sz="6" w:space="0" w:color="414142"/>
            </w:tcBorders>
            <w:hideMark/>
          </w:tcPr>
          <w:p w:rsidR="00D80842" w:rsidRPr="00494147" w:rsidRDefault="00D80842" w:rsidP="00494147">
            <w:pPr>
              <w:keepNext/>
              <w:keepLines/>
              <w:spacing w:after="120" w:line="240" w:lineRule="auto"/>
              <w:outlineLvl w:val="1"/>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rsidR="00D80842" w:rsidRPr="00494147" w:rsidRDefault="00D80842"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rPr>
              <w:t>Projekts šo jomu neskar, jo paredzētie grozījumi nemaina šobrīd esošo administratīvo procedūru saistībā ar valsts nodevu iekasēšanu.</w:t>
            </w:r>
          </w:p>
        </w:tc>
      </w:tr>
      <w:tr w:rsidR="00D80842" w:rsidRPr="00494147" w:rsidTr="00894C55">
        <w:trPr>
          <w:trHeight w:val="408"/>
        </w:trPr>
        <w:tc>
          <w:tcPr>
            <w:tcW w:w="250" w:type="pct"/>
            <w:tcBorders>
              <w:top w:val="outset" w:sz="6" w:space="0" w:color="414142"/>
              <w:left w:val="outset" w:sz="6" w:space="0" w:color="414142"/>
              <w:bottom w:val="outset" w:sz="6" w:space="0" w:color="414142"/>
              <w:right w:val="outset" w:sz="6" w:space="0" w:color="414142"/>
            </w:tcBorders>
            <w:hideMark/>
          </w:tcPr>
          <w:p w:rsidR="00D80842" w:rsidRPr="00494147" w:rsidRDefault="00D80842"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rsidR="00D80842" w:rsidRPr="00494147" w:rsidRDefault="00D80842"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rsidR="00D80842" w:rsidRPr="00494147" w:rsidRDefault="0031214D"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rPr>
              <w:t>P</w:t>
            </w:r>
            <w:r w:rsidR="00D80842" w:rsidRPr="00494147">
              <w:rPr>
                <w:rFonts w:ascii="Times New Roman" w:eastAsia="Times New Roman" w:hAnsi="Times New Roman" w:cs="Times New Roman"/>
                <w:sz w:val="24"/>
                <w:szCs w:val="24"/>
              </w:rPr>
              <w:t>rojekts šo jomu neskar, jo paredzētie grozījumi nemaina šobrīd esošo administratīvo procedūru saistībā ar valsts nodevu iekasēšanu.</w:t>
            </w:r>
          </w:p>
        </w:tc>
      </w:tr>
      <w:tr w:rsidR="00894C55" w:rsidRPr="00494147" w:rsidTr="00894C55">
        <w:trPr>
          <w:trHeight w:val="276"/>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894C55" w:rsidRPr="00494147" w:rsidRDefault="006D6C04"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Nav</w:t>
            </w:r>
          </w:p>
        </w:tc>
      </w:tr>
    </w:tbl>
    <w:p w:rsidR="00894C55" w:rsidRPr="00494147" w:rsidRDefault="00894C55" w:rsidP="00494147">
      <w:pPr>
        <w:shd w:val="clear" w:color="auto" w:fill="FFFFFF"/>
        <w:spacing w:after="120" w:line="240" w:lineRule="auto"/>
        <w:ind w:firstLine="301"/>
        <w:rPr>
          <w:rFonts w:ascii="Times New Roman" w:eastAsia="Times New Roman" w:hAnsi="Times New Roman" w:cs="Times New Roman"/>
          <w:sz w:val="24"/>
          <w:szCs w:val="24"/>
          <w:lang w:eastAsia="lv-LV"/>
        </w:rPr>
      </w:pPr>
    </w:p>
    <w:p w:rsidR="00AF5339" w:rsidRPr="00494147" w:rsidRDefault="00AF5339" w:rsidP="00494147">
      <w:pPr>
        <w:shd w:val="clear" w:color="auto" w:fill="FFFFFF"/>
        <w:spacing w:after="12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41"/>
        <w:gridCol w:w="2003"/>
        <w:gridCol w:w="1748"/>
        <w:gridCol w:w="1251"/>
        <w:gridCol w:w="1181"/>
        <w:gridCol w:w="1331"/>
      </w:tblGrid>
      <w:tr w:rsidR="009D02DA" w:rsidRPr="00494147" w:rsidTr="00462B0C">
        <w:trPr>
          <w:trHeight w:val="288"/>
          <w:jc w:val="center"/>
        </w:trPr>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III. Tiesību akta projekta ietekme uz valsts budžetu un pašvaldību budžetiem</w:t>
            </w:r>
          </w:p>
        </w:tc>
      </w:tr>
      <w:tr w:rsidR="009D02DA" w:rsidRPr="00494147" w:rsidTr="00F05C2D">
        <w:trPr>
          <w:jc w:val="center"/>
        </w:trPr>
        <w:tc>
          <w:tcPr>
            <w:tcW w:w="851" w:type="pct"/>
            <w:vMerge w:val="restar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Rādītāji</w:t>
            </w:r>
          </w:p>
        </w:tc>
        <w:tc>
          <w:tcPr>
            <w:tcW w:w="207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605ACA">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201</w:t>
            </w:r>
            <w:r w:rsidR="00605ACA">
              <w:rPr>
                <w:rFonts w:ascii="Times New Roman" w:eastAsia="Times New Roman" w:hAnsi="Times New Roman" w:cs="Times New Roman"/>
                <w:b/>
                <w:bCs/>
                <w:sz w:val="24"/>
                <w:szCs w:val="24"/>
                <w:lang w:eastAsia="lv-LV"/>
              </w:rPr>
              <w:t>9</w:t>
            </w:r>
            <w:r w:rsidRPr="00494147">
              <w:rPr>
                <w:rFonts w:ascii="Times New Roman" w:eastAsia="Times New Roman" w:hAnsi="Times New Roman" w:cs="Times New Roman"/>
                <w:b/>
                <w:bCs/>
                <w:sz w:val="24"/>
                <w:szCs w:val="24"/>
                <w:lang w:eastAsia="lv-LV"/>
              </w:rPr>
              <w:t>. gads</w:t>
            </w:r>
          </w:p>
        </w:tc>
        <w:tc>
          <w:tcPr>
            <w:tcW w:w="2078" w:type="pct"/>
            <w:gridSpan w:val="3"/>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 xml:space="preserve">Turpmākie trīs gadi (tūkst. </w:t>
            </w:r>
            <w:proofErr w:type="spellStart"/>
            <w:r w:rsidRPr="00494147">
              <w:rPr>
                <w:rFonts w:ascii="Times New Roman" w:eastAsia="Times New Roman" w:hAnsi="Times New Roman" w:cs="Times New Roman"/>
                <w:i/>
                <w:iCs/>
                <w:sz w:val="24"/>
                <w:szCs w:val="24"/>
                <w:lang w:eastAsia="lv-LV"/>
              </w:rPr>
              <w:t>euro</w:t>
            </w:r>
            <w:proofErr w:type="spellEnd"/>
            <w:r w:rsidRPr="00494147">
              <w:rPr>
                <w:rFonts w:ascii="Times New Roman" w:eastAsia="Times New Roman" w:hAnsi="Times New Roman" w:cs="Times New Roman"/>
                <w:sz w:val="24"/>
                <w:szCs w:val="24"/>
                <w:lang w:eastAsia="lv-LV"/>
              </w:rPr>
              <w:t>)</w:t>
            </w:r>
          </w:p>
        </w:tc>
      </w:tr>
      <w:tr w:rsidR="009D02DA" w:rsidRPr="00494147" w:rsidTr="00D8242B">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b/>
                <w:bCs/>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b/>
                <w:bCs/>
                <w:sz w:val="24"/>
                <w:szCs w:val="24"/>
                <w:lang w:eastAsia="lv-LV"/>
              </w:rPr>
            </w:pPr>
          </w:p>
        </w:tc>
        <w:tc>
          <w:tcPr>
            <w:tcW w:w="691"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605ACA">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20</w:t>
            </w:r>
            <w:r w:rsidR="00605ACA">
              <w:rPr>
                <w:rFonts w:ascii="Times New Roman" w:eastAsia="Times New Roman" w:hAnsi="Times New Roman" w:cs="Times New Roman"/>
                <w:b/>
                <w:bCs/>
                <w:sz w:val="24"/>
                <w:szCs w:val="24"/>
                <w:lang w:eastAsia="lv-LV"/>
              </w:rPr>
              <w:t>20</w:t>
            </w:r>
          </w:p>
        </w:tc>
        <w:tc>
          <w:tcPr>
            <w:tcW w:w="652"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605ACA">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20</w:t>
            </w:r>
            <w:r w:rsidR="00605ACA">
              <w:rPr>
                <w:rFonts w:ascii="Times New Roman" w:eastAsia="Times New Roman" w:hAnsi="Times New Roman" w:cs="Times New Roman"/>
                <w:b/>
                <w:bCs/>
                <w:sz w:val="24"/>
                <w:szCs w:val="24"/>
                <w:lang w:eastAsia="lv-LV"/>
              </w:rPr>
              <w:t>21</w:t>
            </w:r>
          </w:p>
        </w:tc>
        <w:tc>
          <w:tcPr>
            <w:tcW w:w="735"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605ACA">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202</w:t>
            </w:r>
            <w:r w:rsidR="00605ACA">
              <w:rPr>
                <w:rFonts w:ascii="Times New Roman" w:eastAsia="Times New Roman" w:hAnsi="Times New Roman" w:cs="Times New Roman"/>
                <w:b/>
                <w:bCs/>
                <w:sz w:val="24"/>
                <w:szCs w:val="24"/>
                <w:lang w:eastAsia="lv-LV"/>
              </w:rPr>
              <w:t>2</w:t>
            </w:r>
          </w:p>
        </w:tc>
      </w:tr>
      <w:tr w:rsidR="007723B9" w:rsidRPr="00494147" w:rsidTr="00D8242B">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b/>
                <w:bCs/>
                <w:sz w:val="24"/>
                <w:szCs w:val="24"/>
                <w:lang w:eastAsia="lv-LV"/>
              </w:rPr>
            </w:pPr>
          </w:p>
        </w:tc>
        <w:tc>
          <w:tcPr>
            <w:tcW w:w="1106"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saskaņā ar valsts budžetu kārtējam gadam</w:t>
            </w:r>
          </w:p>
        </w:tc>
        <w:tc>
          <w:tcPr>
            <w:tcW w:w="965"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izmaiņas kārtējā gadā, salīdzinot ar valsts budžetu kārtējam gadam</w:t>
            </w:r>
          </w:p>
        </w:tc>
        <w:tc>
          <w:tcPr>
            <w:tcW w:w="691"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izmaiņas, salīdzinot ar kārtējo (n) gadu</w:t>
            </w:r>
          </w:p>
        </w:tc>
        <w:tc>
          <w:tcPr>
            <w:tcW w:w="652"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izmaiņas, salīdzinot ar kārtējo (n) gadu</w:t>
            </w:r>
          </w:p>
        </w:tc>
        <w:tc>
          <w:tcPr>
            <w:tcW w:w="735"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izmaiņas, salīdzinot ar kārtējo (n) gadu</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w:t>
            </w:r>
          </w:p>
        </w:tc>
        <w:tc>
          <w:tcPr>
            <w:tcW w:w="1106"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w:t>
            </w:r>
          </w:p>
        </w:tc>
        <w:tc>
          <w:tcPr>
            <w:tcW w:w="965"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w:t>
            </w:r>
          </w:p>
        </w:tc>
        <w:tc>
          <w:tcPr>
            <w:tcW w:w="691"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4</w:t>
            </w:r>
          </w:p>
        </w:tc>
        <w:tc>
          <w:tcPr>
            <w:tcW w:w="652"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5</w:t>
            </w:r>
          </w:p>
        </w:tc>
        <w:tc>
          <w:tcPr>
            <w:tcW w:w="735" w:type="pct"/>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6</w:t>
            </w:r>
          </w:p>
        </w:tc>
      </w:tr>
      <w:tr w:rsidR="00F05C2D"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 Budžeta ieņēmumi:</w:t>
            </w:r>
          </w:p>
        </w:tc>
        <w:tc>
          <w:tcPr>
            <w:tcW w:w="1106"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4 105 706</w:t>
            </w:r>
          </w:p>
        </w:tc>
        <w:tc>
          <w:tcPr>
            <w:tcW w:w="965"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spacing w:after="120" w:line="240" w:lineRule="auto"/>
              <w:jc w:val="center"/>
              <w:rPr>
                <w:rFonts w:ascii="Times New Roman" w:hAnsi="Times New Roman" w:cs="Times New Roman"/>
                <w:sz w:val="24"/>
                <w:szCs w:val="24"/>
              </w:rPr>
            </w:pPr>
            <w:r w:rsidRPr="00494147">
              <w:rPr>
                <w:rFonts w:ascii="Times New Roman" w:hAnsi="Times New Roman" w:cs="Times New Roman"/>
                <w:sz w:val="24"/>
                <w:szCs w:val="24"/>
              </w:rPr>
              <w:t>0</w:t>
            </w:r>
          </w:p>
        </w:tc>
        <w:tc>
          <w:tcPr>
            <w:tcW w:w="691"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1 227 156</w:t>
            </w:r>
          </w:p>
        </w:tc>
        <w:tc>
          <w:tcPr>
            <w:tcW w:w="652"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1 227 156</w:t>
            </w:r>
          </w:p>
        </w:tc>
        <w:tc>
          <w:tcPr>
            <w:tcW w:w="735"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1 227 156</w:t>
            </w:r>
          </w:p>
        </w:tc>
      </w:tr>
      <w:tr w:rsidR="00F05C2D"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1.1. valsts pamatbudžets, tai skaitā ieņēmumi no maksas pakalpojumiem un citi pašu ieņēmumi</w:t>
            </w:r>
          </w:p>
        </w:tc>
        <w:tc>
          <w:tcPr>
            <w:tcW w:w="1106"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spacing w:after="120" w:line="240" w:lineRule="auto"/>
              <w:jc w:val="center"/>
              <w:rPr>
                <w:rFonts w:ascii="Times New Roman" w:eastAsia="Times New Roman" w:hAnsi="Times New Roman" w:cs="Times New Roman"/>
                <w:sz w:val="24"/>
                <w:szCs w:val="24"/>
                <w:lang w:eastAsia="lv-LV"/>
              </w:rPr>
            </w:pPr>
            <w:r>
              <w:rPr>
                <w:rFonts w:ascii="Times New Roman" w:hAnsi="Times New Roman" w:cs="Times New Roman"/>
                <w:sz w:val="24"/>
                <w:szCs w:val="24"/>
              </w:rPr>
              <w:t>4 105 706</w:t>
            </w:r>
          </w:p>
        </w:tc>
        <w:tc>
          <w:tcPr>
            <w:tcW w:w="965"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pStyle w:val="ListParagraph"/>
              <w:keepNext/>
              <w:keepLines/>
              <w:autoSpaceDE w:val="0"/>
              <w:autoSpaceDN w:val="0"/>
              <w:adjustRightInd w:val="0"/>
              <w:spacing w:after="120" w:line="240" w:lineRule="auto"/>
              <w:ind w:left="0"/>
              <w:jc w:val="center"/>
              <w:outlineLvl w:val="2"/>
              <w:rPr>
                <w:rFonts w:ascii="Times New Roman" w:eastAsia="Times New Roman" w:hAnsi="Times New Roman" w:cs="Times New Roman"/>
                <w:sz w:val="24"/>
                <w:szCs w:val="24"/>
                <w:lang w:eastAsia="lv-LV"/>
              </w:rPr>
            </w:pPr>
            <w:r w:rsidRPr="00494147">
              <w:rPr>
                <w:rFonts w:ascii="Times New Roman" w:hAnsi="Times New Roman" w:cs="Times New Roman"/>
                <w:sz w:val="24"/>
                <w:szCs w:val="24"/>
              </w:rPr>
              <w:t>0</w:t>
            </w:r>
          </w:p>
        </w:tc>
        <w:tc>
          <w:tcPr>
            <w:tcW w:w="691"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1 227 156</w:t>
            </w:r>
          </w:p>
        </w:tc>
        <w:tc>
          <w:tcPr>
            <w:tcW w:w="652"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1 227 156</w:t>
            </w:r>
          </w:p>
        </w:tc>
        <w:tc>
          <w:tcPr>
            <w:tcW w:w="735" w:type="pct"/>
            <w:tcBorders>
              <w:top w:val="outset" w:sz="6" w:space="0" w:color="414142"/>
              <w:left w:val="outset" w:sz="6" w:space="0" w:color="414142"/>
              <w:bottom w:val="outset" w:sz="6" w:space="0" w:color="414142"/>
              <w:right w:val="outset" w:sz="6" w:space="0" w:color="414142"/>
            </w:tcBorders>
            <w:hideMark/>
          </w:tcPr>
          <w:p w:rsidR="00F05C2D" w:rsidRPr="00494147" w:rsidRDefault="00F05C2D" w:rsidP="00F05C2D">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1 227 156</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1.2. valsts speciālais budžets</w:t>
            </w:r>
          </w:p>
        </w:tc>
        <w:tc>
          <w:tcPr>
            <w:tcW w:w="1106"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0C69EA" w:rsidP="00494147">
            <w:pPr>
              <w:spacing w:after="120" w:line="24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31214D"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1.3. pašvaldību budžets</w:t>
            </w:r>
          </w:p>
        </w:tc>
        <w:tc>
          <w:tcPr>
            <w:tcW w:w="1106"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r>
      <w:tr w:rsidR="00E67474"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 Budžeta izdevumi:</w:t>
            </w:r>
          </w:p>
        </w:tc>
        <w:tc>
          <w:tcPr>
            <w:tcW w:w="1106"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628 056</w:t>
            </w:r>
          </w:p>
        </w:tc>
        <w:tc>
          <w:tcPr>
            <w:tcW w:w="652" w:type="pct"/>
            <w:tcBorders>
              <w:top w:val="outset" w:sz="6" w:space="0" w:color="414142"/>
              <w:left w:val="outset" w:sz="6" w:space="0" w:color="414142"/>
              <w:bottom w:val="outset" w:sz="6" w:space="0" w:color="414142"/>
              <w:right w:val="outset" w:sz="6" w:space="0" w:color="414142"/>
            </w:tcBorders>
            <w:hideMark/>
          </w:tcPr>
          <w:p w:rsidR="00E67474" w:rsidRDefault="00E67474" w:rsidP="00E67474">
            <w:pPr>
              <w:jc w:val="center"/>
            </w:pPr>
            <w:r w:rsidRPr="009A09E6">
              <w:rPr>
                <w:rFonts w:ascii="Times New Roman" w:eastAsia="Times New Roman" w:hAnsi="Times New Roman" w:cs="Times New Roman"/>
                <w:sz w:val="24"/>
                <w:szCs w:val="24"/>
                <w:lang w:eastAsia="lv-LV"/>
              </w:rPr>
              <w:t>628 056</w:t>
            </w:r>
          </w:p>
        </w:tc>
        <w:tc>
          <w:tcPr>
            <w:tcW w:w="735" w:type="pct"/>
            <w:tcBorders>
              <w:top w:val="outset" w:sz="6" w:space="0" w:color="414142"/>
              <w:left w:val="outset" w:sz="6" w:space="0" w:color="414142"/>
              <w:bottom w:val="outset" w:sz="6" w:space="0" w:color="414142"/>
              <w:right w:val="outset" w:sz="6" w:space="0" w:color="414142"/>
            </w:tcBorders>
            <w:hideMark/>
          </w:tcPr>
          <w:p w:rsidR="00E67474" w:rsidRDefault="00E67474" w:rsidP="00E67474">
            <w:pPr>
              <w:jc w:val="center"/>
            </w:pPr>
            <w:r w:rsidRPr="009A09E6">
              <w:rPr>
                <w:rFonts w:ascii="Times New Roman" w:eastAsia="Times New Roman" w:hAnsi="Times New Roman" w:cs="Times New Roman"/>
                <w:sz w:val="24"/>
                <w:szCs w:val="24"/>
                <w:lang w:eastAsia="lv-LV"/>
              </w:rPr>
              <w:t>628 056</w:t>
            </w:r>
          </w:p>
        </w:tc>
      </w:tr>
      <w:tr w:rsidR="00E67474"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lastRenderedPageBreak/>
              <w:t>2.1. valsts pamatbudžets</w:t>
            </w:r>
          </w:p>
        </w:tc>
        <w:tc>
          <w:tcPr>
            <w:tcW w:w="1106"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E67474" w:rsidRPr="00494147" w:rsidRDefault="00E67474" w:rsidP="00E67474">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E67474" w:rsidRDefault="00E67474" w:rsidP="00E67474">
            <w:pPr>
              <w:jc w:val="center"/>
            </w:pPr>
            <w:r w:rsidRPr="00CF4CFC">
              <w:rPr>
                <w:rFonts w:ascii="Times New Roman" w:eastAsia="Times New Roman" w:hAnsi="Times New Roman" w:cs="Times New Roman"/>
                <w:sz w:val="24"/>
                <w:szCs w:val="24"/>
                <w:lang w:eastAsia="lv-LV"/>
              </w:rPr>
              <w:t>628 056</w:t>
            </w:r>
          </w:p>
        </w:tc>
        <w:tc>
          <w:tcPr>
            <w:tcW w:w="652" w:type="pct"/>
            <w:tcBorders>
              <w:top w:val="outset" w:sz="6" w:space="0" w:color="414142"/>
              <w:left w:val="outset" w:sz="6" w:space="0" w:color="414142"/>
              <w:bottom w:val="outset" w:sz="6" w:space="0" w:color="414142"/>
              <w:right w:val="outset" w:sz="6" w:space="0" w:color="414142"/>
            </w:tcBorders>
            <w:hideMark/>
          </w:tcPr>
          <w:p w:rsidR="00E67474" w:rsidRDefault="00E67474" w:rsidP="00E67474">
            <w:pPr>
              <w:jc w:val="center"/>
            </w:pPr>
            <w:r w:rsidRPr="00CF4CFC">
              <w:rPr>
                <w:rFonts w:ascii="Times New Roman" w:eastAsia="Times New Roman" w:hAnsi="Times New Roman" w:cs="Times New Roman"/>
                <w:sz w:val="24"/>
                <w:szCs w:val="24"/>
                <w:lang w:eastAsia="lv-LV"/>
              </w:rPr>
              <w:t>628 056</w:t>
            </w:r>
          </w:p>
        </w:tc>
        <w:tc>
          <w:tcPr>
            <w:tcW w:w="735" w:type="pct"/>
            <w:tcBorders>
              <w:top w:val="outset" w:sz="6" w:space="0" w:color="414142"/>
              <w:left w:val="outset" w:sz="6" w:space="0" w:color="414142"/>
              <w:bottom w:val="outset" w:sz="6" w:space="0" w:color="414142"/>
              <w:right w:val="outset" w:sz="6" w:space="0" w:color="414142"/>
            </w:tcBorders>
            <w:hideMark/>
          </w:tcPr>
          <w:p w:rsidR="00E67474" w:rsidRDefault="00E67474" w:rsidP="00E67474">
            <w:pPr>
              <w:jc w:val="center"/>
            </w:pPr>
            <w:r w:rsidRPr="00CF4CFC">
              <w:rPr>
                <w:rFonts w:ascii="Times New Roman" w:eastAsia="Times New Roman" w:hAnsi="Times New Roman" w:cs="Times New Roman"/>
                <w:sz w:val="24"/>
                <w:szCs w:val="24"/>
                <w:lang w:eastAsia="lv-LV"/>
              </w:rPr>
              <w:t>628 056</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2.2. valsts speciālais budžets</w:t>
            </w:r>
          </w:p>
        </w:tc>
        <w:tc>
          <w:tcPr>
            <w:tcW w:w="1106"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2.3. pašvaldību budžets</w:t>
            </w:r>
          </w:p>
        </w:tc>
        <w:tc>
          <w:tcPr>
            <w:tcW w:w="1106"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r>
      <w:tr w:rsidR="00D8242B"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 Finansiālā ietekme:</w:t>
            </w:r>
          </w:p>
        </w:tc>
        <w:tc>
          <w:tcPr>
            <w:tcW w:w="1106" w:type="pct"/>
            <w:tcBorders>
              <w:top w:val="outset" w:sz="6" w:space="0" w:color="414142"/>
              <w:left w:val="outset" w:sz="6" w:space="0" w:color="414142"/>
              <w:bottom w:val="outset" w:sz="6" w:space="0" w:color="414142"/>
              <w:right w:val="outset" w:sz="6" w:space="0" w:color="414142"/>
            </w:tcBorders>
            <w:vAlign w:val="center"/>
            <w:hideMark/>
          </w:tcPr>
          <w:p w:rsidR="00D8242B" w:rsidRPr="00494147" w:rsidRDefault="00D8242B" w:rsidP="00D8242B">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pStyle w:val="ListParagraph"/>
              <w:autoSpaceDE w:val="0"/>
              <w:autoSpaceDN w:val="0"/>
              <w:adjustRightInd w:val="0"/>
              <w:spacing w:after="120" w:line="240" w:lineRule="auto"/>
              <w:ind w:left="9"/>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D8242B" w:rsidRDefault="00D8242B" w:rsidP="00D8242B">
            <w:pPr>
              <w:jc w:val="center"/>
            </w:pPr>
            <w:r>
              <w:rPr>
                <w:rFonts w:ascii="Times New Roman" w:eastAsia="Times New Roman" w:hAnsi="Times New Roman" w:cs="Times New Roman"/>
                <w:sz w:val="24"/>
                <w:szCs w:val="24"/>
                <w:lang w:eastAsia="lv-LV"/>
              </w:rPr>
              <w:t>599 100</w:t>
            </w:r>
          </w:p>
        </w:tc>
        <w:tc>
          <w:tcPr>
            <w:tcW w:w="652" w:type="pct"/>
            <w:tcBorders>
              <w:top w:val="outset" w:sz="6" w:space="0" w:color="414142"/>
              <w:left w:val="outset" w:sz="6" w:space="0" w:color="414142"/>
              <w:bottom w:val="outset" w:sz="6" w:space="0" w:color="414142"/>
              <w:right w:val="outset" w:sz="6" w:space="0" w:color="414142"/>
            </w:tcBorders>
            <w:hideMark/>
          </w:tcPr>
          <w:p w:rsidR="00D8242B" w:rsidRDefault="00D8242B" w:rsidP="00D8242B">
            <w:pPr>
              <w:jc w:val="center"/>
            </w:pPr>
            <w:r>
              <w:rPr>
                <w:rFonts w:ascii="Times New Roman" w:eastAsia="Times New Roman" w:hAnsi="Times New Roman" w:cs="Times New Roman"/>
                <w:sz w:val="24"/>
                <w:szCs w:val="24"/>
                <w:lang w:eastAsia="lv-LV"/>
              </w:rPr>
              <w:t>599 100</w:t>
            </w:r>
          </w:p>
        </w:tc>
        <w:tc>
          <w:tcPr>
            <w:tcW w:w="735" w:type="pct"/>
            <w:tcBorders>
              <w:top w:val="outset" w:sz="6" w:space="0" w:color="414142"/>
              <w:left w:val="outset" w:sz="6" w:space="0" w:color="414142"/>
              <w:bottom w:val="outset" w:sz="6" w:space="0" w:color="414142"/>
              <w:right w:val="outset" w:sz="6" w:space="0" w:color="414142"/>
            </w:tcBorders>
            <w:hideMark/>
          </w:tcPr>
          <w:p w:rsidR="00D8242B" w:rsidRDefault="00D8242B" w:rsidP="00D8242B">
            <w:pPr>
              <w:jc w:val="center"/>
            </w:pPr>
            <w:r>
              <w:rPr>
                <w:rFonts w:ascii="Times New Roman" w:eastAsia="Times New Roman" w:hAnsi="Times New Roman" w:cs="Times New Roman"/>
                <w:sz w:val="24"/>
                <w:szCs w:val="24"/>
                <w:lang w:eastAsia="lv-LV"/>
              </w:rPr>
              <w:t>599 100</w:t>
            </w:r>
          </w:p>
        </w:tc>
      </w:tr>
      <w:tr w:rsidR="00D8242B"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3.1. valsts pamatbudžets</w:t>
            </w:r>
          </w:p>
        </w:tc>
        <w:tc>
          <w:tcPr>
            <w:tcW w:w="1106"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pStyle w:val="ListParagraph"/>
              <w:autoSpaceDE w:val="0"/>
              <w:autoSpaceDN w:val="0"/>
              <w:adjustRightInd w:val="0"/>
              <w:spacing w:after="120" w:line="240" w:lineRule="auto"/>
              <w:ind w:left="9"/>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D8242B" w:rsidRDefault="00D8242B" w:rsidP="00D8242B">
            <w:pPr>
              <w:jc w:val="center"/>
            </w:pPr>
            <w:r>
              <w:rPr>
                <w:rFonts w:ascii="Times New Roman" w:eastAsia="Times New Roman" w:hAnsi="Times New Roman" w:cs="Times New Roman"/>
                <w:sz w:val="24"/>
                <w:szCs w:val="24"/>
                <w:lang w:eastAsia="lv-LV"/>
              </w:rPr>
              <w:t>599 100</w:t>
            </w:r>
          </w:p>
        </w:tc>
        <w:tc>
          <w:tcPr>
            <w:tcW w:w="652" w:type="pct"/>
            <w:tcBorders>
              <w:top w:val="outset" w:sz="6" w:space="0" w:color="414142"/>
              <w:left w:val="outset" w:sz="6" w:space="0" w:color="414142"/>
              <w:bottom w:val="outset" w:sz="6" w:space="0" w:color="414142"/>
              <w:right w:val="outset" w:sz="6" w:space="0" w:color="414142"/>
            </w:tcBorders>
            <w:hideMark/>
          </w:tcPr>
          <w:p w:rsidR="00D8242B" w:rsidRDefault="00D8242B" w:rsidP="00D8242B">
            <w:pPr>
              <w:jc w:val="center"/>
            </w:pPr>
            <w:r>
              <w:rPr>
                <w:rFonts w:ascii="Times New Roman" w:eastAsia="Times New Roman" w:hAnsi="Times New Roman" w:cs="Times New Roman"/>
                <w:sz w:val="24"/>
                <w:szCs w:val="24"/>
                <w:lang w:eastAsia="lv-LV"/>
              </w:rPr>
              <w:t>599 100</w:t>
            </w:r>
          </w:p>
        </w:tc>
        <w:tc>
          <w:tcPr>
            <w:tcW w:w="735" w:type="pct"/>
            <w:tcBorders>
              <w:top w:val="outset" w:sz="6" w:space="0" w:color="414142"/>
              <w:left w:val="outset" w:sz="6" w:space="0" w:color="414142"/>
              <w:bottom w:val="outset" w:sz="6" w:space="0" w:color="414142"/>
              <w:right w:val="outset" w:sz="6" w:space="0" w:color="414142"/>
            </w:tcBorders>
            <w:hideMark/>
          </w:tcPr>
          <w:p w:rsidR="00D8242B" w:rsidRDefault="00D8242B" w:rsidP="00D8242B">
            <w:pPr>
              <w:jc w:val="center"/>
            </w:pPr>
            <w:r>
              <w:rPr>
                <w:rFonts w:ascii="Times New Roman" w:eastAsia="Times New Roman" w:hAnsi="Times New Roman" w:cs="Times New Roman"/>
                <w:sz w:val="24"/>
                <w:szCs w:val="24"/>
                <w:lang w:eastAsia="lv-LV"/>
              </w:rPr>
              <w:t>599 100</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3.2. speciālais budžets</w:t>
            </w:r>
          </w:p>
        </w:tc>
        <w:tc>
          <w:tcPr>
            <w:tcW w:w="1106"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r>
      <w:tr w:rsidR="007723B9"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3.3. pašvaldību budžets</w:t>
            </w:r>
          </w:p>
        </w:tc>
        <w:tc>
          <w:tcPr>
            <w:tcW w:w="1106"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r>
      <w:tr w:rsidR="007723B9" w:rsidRPr="00494147" w:rsidTr="00D8242B">
        <w:trPr>
          <w:jc w:val="center"/>
        </w:trPr>
        <w:tc>
          <w:tcPr>
            <w:tcW w:w="851" w:type="pct"/>
            <w:vMerge w:val="restar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1106" w:type="pct"/>
            <w:vMerge w:val="restar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X</w:t>
            </w: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r>
      <w:tr w:rsidR="009D02DA" w:rsidRPr="00494147" w:rsidTr="00D8242B">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hAnsi="Times New Roman" w:cs="Times New Roman"/>
                <w:sz w:val="24"/>
                <w:szCs w:val="24"/>
                <w:lang w:eastAsia="lv-LV"/>
              </w:rPr>
            </w:pPr>
          </w:p>
        </w:tc>
      </w:tr>
      <w:tr w:rsidR="009D02DA" w:rsidRPr="00494147" w:rsidTr="00D8242B">
        <w:trPr>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5246C" w:rsidP="00494147">
            <w:pPr>
              <w:spacing w:after="120" w:line="240" w:lineRule="auto"/>
              <w:ind w:left="9"/>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5246C"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5246C"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5246C" w:rsidP="00494147">
            <w:pPr>
              <w:spacing w:after="120" w:line="240" w:lineRule="auto"/>
              <w:ind w:left="-25"/>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r>
      <w:tr w:rsidR="00D8242B"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5. Precizēta finansiālā ietekme:</w:t>
            </w:r>
          </w:p>
        </w:tc>
        <w:tc>
          <w:tcPr>
            <w:tcW w:w="1106" w:type="pct"/>
            <w:vMerge w:val="restar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X</w:t>
            </w:r>
          </w:p>
        </w:tc>
        <w:tc>
          <w:tcPr>
            <w:tcW w:w="965" w:type="pct"/>
            <w:tcBorders>
              <w:top w:val="outset" w:sz="6" w:space="0" w:color="414142"/>
              <w:left w:val="outset" w:sz="6" w:space="0" w:color="414142"/>
              <w:bottom w:val="outset" w:sz="6" w:space="0" w:color="414142"/>
              <w:right w:val="outset" w:sz="6" w:space="0" w:color="414142"/>
            </w:tcBorders>
          </w:tcPr>
          <w:p w:rsidR="00D8242B" w:rsidRPr="00494147" w:rsidRDefault="00D8242B" w:rsidP="00D8242B">
            <w:pPr>
              <w:spacing w:after="120" w:line="240" w:lineRule="auto"/>
              <w:ind w:left="9"/>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tcPr>
          <w:p w:rsidR="00D8242B" w:rsidRDefault="00D8242B" w:rsidP="00D8242B">
            <w:pPr>
              <w:jc w:val="center"/>
            </w:pPr>
            <w:r>
              <w:rPr>
                <w:rFonts w:ascii="Times New Roman" w:eastAsia="Times New Roman" w:hAnsi="Times New Roman" w:cs="Times New Roman"/>
                <w:sz w:val="24"/>
                <w:szCs w:val="24"/>
                <w:lang w:eastAsia="lv-LV"/>
              </w:rPr>
              <w:t>599 100</w:t>
            </w:r>
          </w:p>
        </w:tc>
        <w:tc>
          <w:tcPr>
            <w:tcW w:w="652" w:type="pct"/>
            <w:tcBorders>
              <w:top w:val="outset" w:sz="6" w:space="0" w:color="414142"/>
              <w:left w:val="outset" w:sz="6" w:space="0" w:color="414142"/>
              <w:bottom w:val="outset" w:sz="6" w:space="0" w:color="414142"/>
              <w:right w:val="outset" w:sz="6" w:space="0" w:color="414142"/>
            </w:tcBorders>
          </w:tcPr>
          <w:p w:rsidR="00D8242B" w:rsidRDefault="00D8242B" w:rsidP="00D8242B">
            <w:pPr>
              <w:jc w:val="center"/>
            </w:pPr>
            <w:r>
              <w:rPr>
                <w:rFonts w:ascii="Times New Roman" w:eastAsia="Times New Roman" w:hAnsi="Times New Roman" w:cs="Times New Roman"/>
                <w:sz w:val="24"/>
                <w:szCs w:val="24"/>
                <w:lang w:eastAsia="lv-LV"/>
              </w:rPr>
              <w:t>599 100</w:t>
            </w:r>
          </w:p>
        </w:tc>
        <w:tc>
          <w:tcPr>
            <w:tcW w:w="735" w:type="pct"/>
            <w:tcBorders>
              <w:top w:val="outset" w:sz="6" w:space="0" w:color="414142"/>
              <w:left w:val="outset" w:sz="6" w:space="0" w:color="414142"/>
              <w:bottom w:val="outset" w:sz="6" w:space="0" w:color="414142"/>
              <w:right w:val="outset" w:sz="6" w:space="0" w:color="414142"/>
            </w:tcBorders>
          </w:tcPr>
          <w:p w:rsidR="00D8242B" w:rsidRDefault="00D8242B" w:rsidP="00D8242B">
            <w:pPr>
              <w:jc w:val="center"/>
            </w:pPr>
            <w:r>
              <w:rPr>
                <w:rFonts w:ascii="Times New Roman" w:eastAsia="Times New Roman" w:hAnsi="Times New Roman" w:cs="Times New Roman"/>
                <w:sz w:val="24"/>
                <w:szCs w:val="24"/>
                <w:lang w:eastAsia="lv-LV"/>
              </w:rPr>
              <w:t>599 100</w:t>
            </w:r>
          </w:p>
        </w:tc>
      </w:tr>
      <w:tr w:rsidR="00D8242B"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D8242B" w:rsidRPr="00494147" w:rsidRDefault="00D8242B" w:rsidP="00D8242B">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D8242B" w:rsidRPr="00494147" w:rsidRDefault="00D8242B" w:rsidP="00D8242B">
            <w:pPr>
              <w:spacing w:after="120" w:line="240" w:lineRule="auto"/>
              <w:rPr>
                <w:rFonts w:ascii="Times New Roman" w:eastAsia="Times New Roman" w:hAnsi="Times New Roman" w:cs="Times New Roman"/>
                <w:sz w:val="24"/>
                <w:szCs w:val="24"/>
                <w:lang w:eastAsia="lv-LV"/>
              </w:rPr>
            </w:pPr>
          </w:p>
        </w:tc>
        <w:tc>
          <w:tcPr>
            <w:tcW w:w="965" w:type="pct"/>
            <w:tcBorders>
              <w:top w:val="outset" w:sz="6" w:space="0" w:color="414142"/>
              <w:left w:val="outset" w:sz="6" w:space="0" w:color="414142"/>
              <w:bottom w:val="outset" w:sz="6" w:space="0" w:color="414142"/>
              <w:right w:val="outset" w:sz="6" w:space="0" w:color="414142"/>
            </w:tcBorders>
          </w:tcPr>
          <w:p w:rsidR="00D8242B" w:rsidRPr="00494147" w:rsidRDefault="00D8242B" w:rsidP="00D8242B">
            <w:pPr>
              <w:spacing w:after="120" w:line="240" w:lineRule="auto"/>
              <w:ind w:left="9"/>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tcPr>
          <w:p w:rsidR="00D8242B" w:rsidRDefault="00D8242B" w:rsidP="00D8242B">
            <w:pPr>
              <w:jc w:val="center"/>
            </w:pPr>
            <w:r>
              <w:rPr>
                <w:rFonts w:ascii="Times New Roman" w:eastAsia="Times New Roman" w:hAnsi="Times New Roman" w:cs="Times New Roman"/>
                <w:sz w:val="24"/>
                <w:szCs w:val="24"/>
                <w:lang w:eastAsia="lv-LV"/>
              </w:rPr>
              <w:t>599 100</w:t>
            </w:r>
          </w:p>
        </w:tc>
        <w:tc>
          <w:tcPr>
            <w:tcW w:w="652" w:type="pct"/>
            <w:tcBorders>
              <w:top w:val="outset" w:sz="6" w:space="0" w:color="414142"/>
              <w:left w:val="outset" w:sz="6" w:space="0" w:color="414142"/>
              <w:bottom w:val="outset" w:sz="6" w:space="0" w:color="414142"/>
              <w:right w:val="outset" w:sz="6" w:space="0" w:color="414142"/>
            </w:tcBorders>
          </w:tcPr>
          <w:p w:rsidR="00D8242B" w:rsidRDefault="00D8242B" w:rsidP="00D8242B">
            <w:pPr>
              <w:jc w:val="center"/>
            </w:pPr>
            <w:r>
              <w:rPr>
                <w:rFonts w:ascii="Times New Roman" w:eastAsia="Times New Roman" w:hAnsi="Times New Roman" w:cs="Times New Roman"/>
                <w:sz w:val="24"/>
                <w:szCs w:val="24"/>
                <w:lang w:eastAsia="lv-LV"/>
              </w:rPr>
              <w:t>599 100</w:t>
            </w:r>
          </w:p>
        </w:tc>
        <w:tc>
          <w:tcPr>
            <w:tcW w:w="735" w:type="pct"/>
            <w:tcBorders>
              <w:top w:val="outset" w:sz="6" w:space="0" w:color="414142"/>
              <w:left w:val="outset" w:sz="6" w:space="0" w:color="414142"/>
              <w:bottom w:val="outset" w:sz="6" w:space="0" w:color="414142"/>
              <w:right w:val="outset" w:sz="6" w:space="0" w:color="414142"/>
            </w:tcBorders>
          </w:tcPr>
          <w:p w:rsidR="00D8242B" w:rsidRDefault="00D8242B" w:rsidP="00D8242B">
            <w:pPr>
              <w:jc w:val="center"/>
            </w:pPr>
            <w:r>
              <w:rPr>
                <w:rFonts w:ascii="Times New Roman" w:eastAsia="Times New Roman" w:hAnsi="Times New Roman" w:cs="Times New Roman"/>
                <w:sz w:val="24"/>
                <w:szCs w:val="24"/>
                <w:lang w:eastAsia="lv-LV"/>
              </w:rPr>
              <w:t>599 100</w:t>
            </w:r>
          </w:p>
        </w:tc>
      </w:tr>
      <w:tr w:rsidR="009D02DA"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5.2. speciālais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r>
      <w:tr w:rsidR="009D02DA" w:rsidRPr="00494147" w:rsidTr="00D8242B">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p>
        </w:tc>
        <w:tc>
          <w:tcPr>
            <w:tcW w:w="96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c>
          <w:tcPr>
            <w:tcW w:w="691"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652"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hAnsi="Times New Roman" w:cs="Times New Roman"/>
                <w:sz w:val="24"/>
                <w:szCs w:val="24"/>
                <w:lang w:eastAsia="lv-LV"/>
              </w:rPr>
            </w:pPr>
            <w:r w:rsidRPr="00494147">
              <w:rPr>
                <w:rFonts w:ascii="Times New Roman" w:hAnsi="Times New Roman" w:cs="Times New Roman"/>
                <w:sz w:val="24"/>
                <w:szCs w:val="24"/>
                <w:lang w:eastAsia="lv-LV"/>
              </w:rPr>
              <w:t>0</w:t>
            </w:r>
          </w:p>
        </w:tc>
        <w:tc>
          <w:tcPr>
            <w:tcW w:w="735" w:type="pct"/>
            <w:tcBorders>
              <w:top w:val="outset" w:sz="6" w:space="0" w:color="414142"/>
              <w:left w:val="outset" w:sz="6" w:space="0" w:color="414142"/>
              <w:bottom w:val="outset" w:sz="6" w:space="0" w:color="414142"/>
              <w:right w:val="outset" w:sz="6" w:space="0" w:color="414142"/>
            </w:tcBorders>
            <w:hideMark/>
          </w:tcPr>
          <w:p w:rsidR="009D02DA" w:rsidRPr="00494147" w:rsidRDefault="0031214D"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0</w:t>
            </w:r>
          </w:p>
        </w:tc>
      </w:tr>
      <w:tr w:rsidR="009D02DA" w:rsidRPr="00494147" w:rsidTr="00F05C2D">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 xml:space="preserve">6. Detalizēts ieņēmumu un izdevumu aprēķins (ja nepieciešams, detalizētu </w:t>
            </w:r>
            <w:r w:rsidRPr="00494147">
              <w:rPr>
                <w:rFonts w:ascii="Times New Roman" w:eastAsia="Times New Roman" w:hAnsi="Times New Roman" w:cs="Times New Roman"/>
                <w:sz w:val="24"/>
                <w:szCs w:val="24"/>
                <w:lang w:eastAsia="lv-LV"/>
              </w:rPr>
              <w:lastRenderedPageBreak/>
              <w:t>ieņēmumu un izdevumu aprēķinu var pievienot anotācijas pielikumā):</w:t>
            </w:r>
          </w:p>
        </w:tc>
        <w:tc>
          <w:tcPr>
            <w:tcW w:w="4149"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rsidR="004725C3" w:rsidRPr="00494147" w:rsidRDefault="004725C3" w:rsidP="00494147">
            <w:pPr>
              <w:spacing w:after="120" w:line="240" w:lineRule="auto"/>
              <w:ind w:left="80" w:right="209"/>
              <w:jc w:val="both"/>
              <w:rPr>
                <w:rFonts w:ascii="Times New Roman" w:hAnsi="Times New Roman" w:cs="Times New Roman"/>
                <w:b/>
                <w:sz w:val="24"/>
                <w:szCs w:val="24"/>
              </w:rPr>
            </w:pPr>
            <w:r w:rsidRPr="00494147">
              <w:rPr>
                <w:rFonts w:ascii="Times New Roman" w:hAnsi="Times New Roman" w:cs="Times New Roman"/>
                <w:b/>
                <w:sz w:val="24"/>
                <w:szCs w:val="24"/>
              </w:rPr>
              <w:lastRenderedPageBreak/>
              <w:t>I Detalizēts ieņēmumu un izdevumu aprēķins.</w:t>
            </w:r>
          </w:p>
          <w:p w:rsidR="00E67474" w:rsidRDefault="001E7D06" w:rsidP="00E67474">
            <w:pPr>
              <w:spacing w:after="120" w:line="240" w:lineRule="auto"/>
              <w:ind w:left="80" w:right="209"/>
              <w:jc w:val="both"/>
              <w:rPr>
                <w:rFonts w:ascii="Times New Roman" w:hAnsi="Times New Roman" w:cs="Times New Roman"/>
                <w:i/>
                <w:sz w:val="24"/>
                <w:szCs w:val="24"/>
              </w:rPr>
            </w:pPr>
            <w:r w:rsidRPr="00494147">
              <w:rPr>
                <w:rFonts w:ascii="Times New Roman" w:hAnsi="Times New Roman" w:cs="Times New Roman"/>
                <w:i/>
                <w:sz w:val="24"/>
                <w:szCs w:val="24"/>
              </w:rPr>
              <w:t>Detalizēts ieņēmumu aprēķins</w:t>
            </w:r>
            <w:r w:rsidR="00D404A3">
              <w:rPr>
                <w:rFonts w:ascii="Times New Roman" w:hAnsi="Times New Roman" w:cs="Times New Roman"/>
                <w:i/>
                <w:sz w:val="24"/>
                <w:szCs w:val="24"/>
              </w:rPr>
              <w:t>:</w:t>
            </w:r>
          </w:p>
          <w:p w:rsidR="00E67474" w:rsidRDefault="00E67474" w:rsidP="00E67474">
            <w:pPr>
              <w:spacing w:after="120" w:line="240" w:lineRule="auto"/>
              <w:ind w:left="80" w:right="209"/>
              <w:jc w:val="both"/>
              <w:rPr>
                <w:rFonts w:ascii="Times New Roman" w:hAnsi="Times New Roman" w:cs="Times New Roman"/>
                <w:i/>
                <w:sz w:val="24"/>
                <w:szCs w:val="24"/>
              </w:rPr>
            </w:pPr>
            <w:r>
              <w:rPr>
                <w:rFonts w:ascii="Times New Roman" w:hAnsi="Times New Roman" w:cs="Times New Roman"/>
                <w:sz w:val="24"/>
                <w:szCs w:val="24"/>
              </w:rPr>
              <w:t xml:space="preserve">2019.gada jūnijā, precizējot valsts pamatbudžeta ieņēmumu prognozi no valsts nodevas par vīzas, uzturēšanās atļaujas vai Eiropas Kopienas pastāvīgā iedzīvotāja statusa Latvijas Republikā pieprasīšanai </w:t>
            </w:r>
            <w:r>
              <w:rPr>
                <w:rFonts w:ascii="Times New Roman" w:hAnsi="Times New Roman" w:cs="Times New Roman"/>
                <w:sz w:val="24"/>
                <w:szCs w:val="24"/>
              </w:rPr>
              <w:lastRenderedPageBreak/>
              <w:t xml:space="preserve">nepieciešamo dokumentu izskatīšanu un ar to saistītajiem pakalpojumiem, Iekšlietu ministrija to paaugstināja no 4 105 706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uz 4 644 806 </w:t>
            </w:r>
            <w:proofErr w:type="spellStart"/>
            <w:r>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p>
          <w:p w:rsidR="00D8242B" w:rsidRDefault="00D8242B" w:rsidP="00D8242B">
            <w:pPr>
              <w:pStyle w:val="ListParagraph"/>
              <w:ind w:left="0"/>
              <w:jc w:val="both"/>
            </w:pPr>
            <w:r>
              <w:rPr>
                <w:rFonts w:ascii="Times New Roman" w:hAnsi="Times New Roman" w:cs="Times New Roman"/>
                <w:color w:val="000000" w:themeColor="text1"/>
                <w:sz w:val="24"/>
                <w:szCs w:val="24"/>
              </w:rPr>
              <w:t xml:space="preserve"> Apkopojot un, analizējot informāciju par valsts nodevas iekasēšanu,  secināts, ka attiecīgie valsts nodevas ieņēmumi ir palielinājušies, kā arī šī tendence saglabājas.</w:t>
            </w:r>
          </w:p>
          <w:tbl>
            <w:tblPr>
              <w:tblW w:w="7355" w:type="dxa"/>
              <w:tblLook w:val="04A0" w:firstRow="1" w:lastRow="0" w:firstColumn="1" w:lastColumn="0" w:noHBand="0" w:noVBand="1"/>
            </w:tblPr>
            <w:tblGrid>
              <w:gridCol w:w="1514"/>
              <w:gridCol w:w="1286"/>
              <w:gridCol w:w="1294"/>
              <w:gridCol w:w="1560"/>
              <w:gridCol w:w="1701"/>
            </w:tblGrid>
            <w:tr w:rsidR="00D8242B" w:rsidTr="00D8242B">
              <w:trPr>
                <w:trHeight w:val="874"/>
              </w:trPr>
              <w:tc>
                <w:tcPr>
                  <w:tcW w:w="1514" w:type="dxa"/>
                  <w:tcBorders>
                    <w:top w:val="single" w:sz="4" w:space="0" w:color="auto"/>
                    <w:left w:val="single" w:sz="4" w:space="0" w:color="auto"/>
                    <w:bottom w:val="single" w:sz="4" w:space="0" w:color="auto"/>
                    <w:right w:val="single" w:sz="4" w:space="0" w:color="auto"/>
                  </w:tcBorders>
                  <w:noWrap/>
                  <w:vAlign w:val="center"/>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Gads</w:t>
                  </w:r>
                </w:p>
              </w:tc>
              <w:tc>
                <w:tcPr>
                  <w:tcW w:w="1286" w:type="dxa"/>
                  <w:tcBorders>
                    <w:top w:val="single" w:sz="4" w:space="0" w:color="auto"/>
                    <w:left w:val="nil"/>
                    <w:bottom w:val="single" w:sz="4" w:space="0" w:color="auto"/>
                    <w:right w:val="single" w:sz="4" w:space="0" w:color="auto"/>
                  </w:tcBorders>
                  <w:vAlign w:val="center"/>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Plānots</w:t>
                  </w:r>
                </w:p>
              </w:tc>
              <w:tc>
                <w:tcPr>
                  <w:tcW w:w="1294" w:type="dxa"/>
                  <w:tcBorders>
                    <w:top w:val="single" w:sz="4" w:space="0" w:color="auto"/>
                    <w:left w:val="nil"/>
                    <w:bottom w:val="single" w:sz="4" w:space="0" w:color="auto"/>
                    <w:right w:val="single" w:sz="4" w:space="0" w:color="auto"/>
                  </w:tcBorders>
                  <w:vAlign w:val="center"/>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Izpilde</w:t>
                  </w:r>
                </w:p>
              </w:tc>
              <w:tc>
                <w:tcPr>
                  <w:tcW w:w="1560" w:type="dxa"/>
                  <w:tcBorders>
                    <w:top w:val="single" w:sz="4" w:space="0" w:color="auto"/>
                    <w:left w:val="nil"/>
                    <w:bottom w:val="single" w:sz="4" w:space="0" w:color="auto"/>
                    <w:right w:val="single" w:sz="4" w:space="0" w:color="auto"/>
                  </w:tcBorders>
                  <w:vAlign w:val="center"/>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Starpība (pieaugums)</w:t>
                  </w:r>
                </w:p>
              </w:tc>
              <w:tc>
                <w:tcPr>
                  <w:tcW w:w="1701" w:type="dxa"/>
                  <w:tcBorders>
                    <w:top w:val="single" w:sz="4" w:space="0" w:color="auto"/>
                    <w:left w:val="nil"/>
                    <w:bottom w:val="single" w:sz="4" w:space="0" w:color="auto"/>
                    <w:right w:val="single" w:sz="4" w:space="0" w:color="auto"/>
                  </w:tcBorders>
                  <w:vAlign w:val="center"/>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Pārskata perioda ieņēmumu izpilde pret gada plānu, %</w:t>
                  </w:r>
                </w:p>
              </w:tc>
            </w:tr>
            <w:tr w:rsidR="00D8242B" w:rsidTr="00D8242B">
              <w:trPr>
                <w:trHeight w:val="375"/>
              </w:trPr>
              <w:tc>
                <w:tcPr>
                  <w:tcW w:w="1514" w:type="dxa"/>
                  <w:tcBorders>
                    <w:top w:val="nil"/>
                    <w:left w:val="single" w:sz="4" w:space="0" w:color="auto"/>
                    <w:bottom w:val="single" w:sz="4" w:space="0" w:color="auto"/>
                    <w:right w:val="single" w:sz="4" w:space="0" w:color="auto"/>
                  </w:tcBorders>
                  <w:vAlign w:val="center"/>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2018.</w:t>
                  </w:r>
                </w:p>
              </w:tc>
              <w:tc>
                <w:tcPr>
                  <w:tcW w:w="1286" w:type="dxa"/>
                  <w:tcBorders>
                    <w:top w:val="nil"/>
                    <w:left w:val="nil"/>
                    <w:bottom w:val="single" w:sz="4" w:space="0" w:color="auto"/>
                    <w:right w:val="single" w:sz="4" w:space="0" w:color="auto"/>
                  </w:tcBorders>
                  <w:vAlign w:val="bottom"/>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4 094 306</w:t>
                  </w:r>
                </w:p>
              </w:tc>
              <w:tc>
                <w:tcPr>
                  <w:tcW w:w="1294" w:type="dxa"/>
                  <w:tcBorders>
                    <w:top w:val="nil"/>
                    <w:left w:val="nil"/>
                    <w:bottom w:val="single" w:sz="4" w:space="0" w:color="auto"/>
                    <w:right w:val="single" w:sz="4" w:space="0" w:color="auto"/>
                  </w:tcBorders>
                  <w:noWrap/>
                  <w:vAlign w:val="bottom"/>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5 292 552</w:t>
                  </w:r>
                </w:p>
              </w:tc>
              <w:tc>
                <w:tcPr>
                  <w:tcW w:w="1560" w:type="dxa"/>
                  <w:tcBorders>
                    <w:top w:val="nil"/>
                    <w:left w:val="nil"/>
                    <w:bottom w:val="single" w:sz="4" w:space="0" w:color="auto"/>
                    <w:right w:val="single" w:sz="4" w:space="0" w:color="auto"/>
                  </w:tcBorders>
                  <w:noWrap/>
                  <w:vAlign w:val="bottom"/>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+ 1 198 246</w:t>
                  </w:r>
                </w:p>
              </w:tc>
              <w:tc>
                <w:tcPr>
                  <w:tcW w:w="1701" w:type="dxa"/>
                  <w:tcBorders>
                    <w:top w:val="nil"/>
                    <w:left w:val="nil"/>
                    <w:bottom w:val="single" w:sz="4" w:space="0" w:color="auto"/>
                    <w:right w:val="single" w:sz="4" w:space="0" w:color="auto"/>
                  </w:tcBorders>
                  <w:noWrap/>
                  <w:vAlign w:val="center"/>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129</w:t>
                  </w:r>
                </w:p>
              </w:tc>
            </w:tr>
            <w:tr w:rsidR="00D8242B" w:rsidTr="00D8242B">
              <w:trPr>
                <w:trHeight w:val="375"/>
              </w:trPr>
              <w:tc>
                <w:tcPr>
                  <w:tcW w:w="1514" w:type="dxa"/>
                  <w:tcBorders>
                    <w:top w:val="nil"/>
                    <w:left w:val="single" w:sz="4" w:space="0" w:color="auto"/>
                    <w:bottom w:val="single" w:sz="4" w:space="0" w:color="auto"/>
                    <w:right w:val="single" w:sz="4" w:space="0" w:color="auto"/>
                  </w:tcBorders>
                  <w:noWrap/>
                  <w:vAlign w:val="bottom"/>
                  <w:hideMark/>
                </w:tcPr>
                <w:p w:rsidR="00D8242B" w:rsidRDefault="00D8242B" w:rsidP="00D8242B">
                  <w:pPr>
                    <w:spacing w:after="120" w:line="240" w:lineRule="auto"/>
                    <w:jc w:val="center"/>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2019. (janvāris – jūlijs)</w:t>
                  </w:r>
                </w:p>
              </w:tc>
              <w:tc>
                <w:tcPr>
                  <w:tcW w:w="1286" w:type="dxa"/>
                  <w:tcBorders>
                    <w:top w:val="nil"/>
                    <w:left w:val="nil"/>
                    <w:bottom w:val="single" w:sz="4" w:space="0" w:color="auto"/>
                    <w:right w:val="single" w:sz="4" w:space="0" w:color="auto"/>
                  </w:tcBorders>
                  <w:vAlign w:val="bottom"/>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2 388 345</w:t>
                  </w:r>
                </w:p>
              </w:tc>
              <w:tc>
                <w:tcPr>
                  <w:tcW w:w="1294" w:type="dxa"/>
                  <w:tcBorders>
                    <w:top w:val="nil"/>
                    <w:left w:val="nil"/>
                    <w:bottom w:val="single" w:sz="4" w:space="0" w:color="auto"/>
                    <w:right w:val="single" w:sz="4" w:space="0" w:color="auto"/>
                  </w:tcBorders>
                  <w:noWrap/>
                  <w:vAlign w:val="bottom"/>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3 420 085</w:t>
                  </w:r>
                </w:p>
              </w:tc>
              <w:tc>
                <w:tcPr>
                  <w:tcW w:w="1560" w:type="dxa"/>
                  <w:tcBorders>
                    <w:top w:val="nil"/>
                    <w:left w:val="nil"/>
                    <w:bottom w:val="single" w:sz="4" w:space="0" w:color="auto"/>
                    <w:right w:val="single" w:sz="4" w:space="0" w:color="auto"/>
                  </w:tcBorders>
                  <w:noWrap/>
                  <w:vAlign w:val="bottom"/>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+ 1 031 740</w:t>
                  </w:r>
                </w:p>
              </w:tc>
              <w:tc>
                <w:tcPr>
                  <w:tcW w:w="1701" w:type="dxa"/>
                  <w:tcBorders>
                    <w:top w:val="nil"/>
                    <w:left w:val="nil"/>
                    <w:bottom w:val="single" w:sz="4" w:space="0" w:color="auto"/>
                    <w:right w:val="single" w:sz="4" w:space="0" w:color="auto"/>
                  </w:tcBorders>
                  <w:noWrap/>
                  <w:vAlign w:val="center"/>
                  <w:hideMark/>
                </w:tcPr>
                <w:p w:rsidR="00D8242B" w:rsidRDefault="00D8242B" w:rsidP="00D8242B">
                  <w:pPr>
                    <w:spacing w:after="12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143</w:t>
                  </w:r>
                </w:p>
              </w:tc>
            </w:tr>
          </w:tbl>
          <w:p w:rsidR="00D8242B" w:rsidRDefault="00D8242B" w:rsidP="00E67474">
            <w:pPr>
              <w:spacing w:after="120" w:line="240" w:lineRule="auto"/>
              <w:ind w:left="80" w:right="209"/>
              <w:jc w:val="both"/>
              <w:rPr>
                <w:rFonts w:ascii="Times New Roman" w:hAnsi="Times New Roman" w:cs="Times New Roman"/>
                <w:sz w:val="24"/>
                <w:szCs w:val="24"/>
              </w:rPr>
            </w:pPr>
          </w:p>
          <w:p w:rsidR="00E67474" w:rsidRDefault="00E67474" w:rsidP="00E67474">
            <w:pPr>
              <w:spacing w:after="120" w:line="240" w:lineRule="auto"/>
              <w:ind w:left="80" w:right="209"/>
              <w:jc w:val="both"/>
              <w:rPr>
                <w:rFonts w:ascii="Times New Roman" w:hAnsi="Times New Roman" w:cs="Times New Roman"/>
                <w:sz w:val="24"/>
                <w:szCs w:val="24"/>
              </w:rPr>
            </w:pPr>
            <w:r>
              <w:rPr>
                <w:rFonts w:ascii="Times New Roman" w:hAnsi="Times New Roman" w:cs="Times New Roman"/>
                <w:sz w:val="24"/>
                <w:szCs w:val="24"/>
              </w:rPr>
              <w:t>Izstrādājot šo normatīvā akta projektu un analizējot ar vīzu un uzturēšanās atļauju un ielūgumu un izsaukumu apstiprināšanu saistītās tendences, konstatē</w:t>
            </w:r>
            <w:r w:rsidR="00D8242B">
              <w:rPr>
                <w:rFonts w:ascii="Times New Roman" w:hAnsi="Times New Roman" w:cs="Times New Roman"/>
                <w:sz w:val="24"/>
                <w:szCs w:val="24"/>
              </w:rPr>
              <w:t>ts, ka 2019.gadā palielinājies</w:t>
            </w:r>
            <w:r>
              <w:rPr>
                <w:rFonts w:ascii="Times New Roman" w:hAnsi="Times New Roman" w:cs="Times New Roman"/>
                <w:sz w:val="24"/>
                <w:szCs w:val="24"/>
              </w:rPr>
              <w:t xml:space="preserve"> vidējā</w:t>
            </w:r>
            <w:r w:rsidR="00D8242B">
              <w:rPr>
                <w:rFonts w:ascii="Times New Roman" w:hAnsi="Times New Roman" w:cs="Times New Roman"/>
                <w:sz w:val="24"/>
                <w:szCs w:val="24"/>
              </w:rPr>
              <w:t>s</w:t>
            </w:r>
            <w:r>
              <w:rPr>
                <w:rFonts w:ascii="Times New Roman" w:hAnsi="Times New Roman" w:cs="Times New Roman"/>
                <w:sz w:val="24"/>
                <w:szCs w:val="24"/>
              </w:rPr>
              <w:t xml:space="preserve"> iekasētā</w:t>
            </w:r>
            <w:r w:rsidR="00D8242B">
              <w:rPr>
                <w:rFonts w:ascii="Times New Roman" w:hAnsi="Times New Roman" w:cs="Times New Roman"/>
                <w:sz w:val="24"/>
                <w:szCs w:val="24"/>
              </w:rPr>
              <w:t>s</w:t>
            </w:r>
            <w:r>
              <w:rPr>
                <w:rFonts w:ascii="Times New Roman" w:hAnsi="Times New Roman" w:cs="Times New Roman"/>
                <w:sz w:val="24"/>
                <w:szCs w:val="24"/>
              </w:rPr>
              <w:t xml:space="preserve"> valsts nodevas </w:t>
            </w:r>
            <w:r w:rsidR="00D8242B">
              <w:rPr>
                <w:rFonts w:ascii="Times New Roman" w:hAnsi="Times New Roman" w:cs="Times New Roman"/>
                <w:sz w:val="24"/>
                <w:szCs w:val="24"/>
              </w:rPr>
              <w:t xml:space="preserve">apmērs </w:t>
            </w:r>
            <w:r>
              <w:rPr>
                <w:rFonts w:ascii="Times New Roman" w:hAnsi="Times New Roman" w:cs="Times New Roman"/>
                <w:sz w:val="24"/>
                <w:szCs w:val="24"/>
              </w:rPr>
              <w:t xml:space="preserve">par sniegtajiem pakalpojumiem. Tas skaidrojams ar vietējā darbaspēka trūkumu un nepieciešamību operatīvi reaģēt uz vakanču aizpildīšanu uzņēmumos, tādējādi biežāk izvēloties pakalpojumu saņemt paātrinātā kārtībā un maksājot paaugstinātu valsts nodevu, kā arī – būtiski palielinājies nodarbinātības nolūkā uzaicināto </w:t>
            </w:r>
            <w:r w:rsidR="00542C42">
              <w:rPr>
                <w:rFonts w:ascii="Times New Roman" w:hAnsi="Times New Roman" w:cs="Times New Roman"/>
                <w:sz w:val="24"/>
                <w:szCs w:val="24"/>
              </w:rPr>
              <w:t xml:space="preserve">ārzemnieku īpatsvars, paaugstinot vidējo valsts nodevas apmēru par apstiprinātajiem ielūgumiem un izsaukumiem (apstiprinot ielūgumu vai izsaukumu uzaicinātajiem viesstrādniekiem, tiek piemērota papildu valsts nodeva 55 </w:t>
            </w:r>
            <w:proofErr w:type="spellStart"/>
            <w:r w:rsidR="00542C42">
              <w:rPr>
                <w:rFonts w:ascii="Times New Roman" w:hAnsi="Times New Roman" w:cs="Times New Roman"/>
                <w:i/>
                <w:sz w:val="24"/>
                <w:szCs w:val="24"/>
              </w:rPr>
              <w:t>euro</w:t>
            </w:r>
            <w:proofErr w:type="spellEnd"/>
            <w:r w:rsidR="00542C42">
              <w:rPr>
                <w:rFonts w:ascii="Times New Roman" w:hAnsi="Times New Roman" w:cs="Times New Roman"/>
                <w:sz w:val="24"/>
                <w:szCs w:val="24"/>
              </w:rPr>
              <w:t xml:space="preserve"> apmērā). No 2019.gada 1.jūlija stājušies spēkā </w:t>
            </w:r>
            <w:r w:rsidR="001F7E31">
              <w:rPr>
                <w:rFonts w:ascii="Times New Roman" w:hAnsi="Times New Roman" w:cs="Times New Roman"/>
                <w:sz w:val="24"/>
                <w:szCs w:val="24"/>
              </w:rPr>
              <w:t xml:space="preserve">arī </w:t>
            </w:r>
            <w:r w:rsidR="00542C42">
              <w:rPr>
                <w:rFonts w:ascii="Times New Roman" w:hAnsi="Times New Roman" w:cs="Times New Roman"/>
                <w:sz w:val="24"/>
                <w:szCs w:val="24"/>
              </w:rPr>
              <w:t xml:space="preserve">grozījumi Imigrācijas likumā, kas atvieglo viesstrādnieku uzņemšanas kārtību, proti, pieļauj viesstrādnieku nodarbināšanu uz ilgtermiņa vīzas pamata, līdz ar to ir pamats prognozēt, ka palielināsies arī ilgtermiņa vīzu pieteikumu skaits. </w:t>
            </w:r>
          </w:p>
          <w:p w:rsidR="00542C42" w:rsidRDefault="00542C42" w:rsidP="00E67474">
            <w:pPr>
              <w:spacing w:after="120" w:line="240" w:lineRule="auto"/>
              <w:ind w:left="80" w:right="209"/>
              <w:jc w:val="both"/>
              <w:rPr>
                <w:rFonts w:ascii="Times New Roman" w:hAnsi="Times New Roman" w:cs="Times New Roman"/>
                <w:sz w:val="24"/>
                <w:szCs w:val="24"/>
              </w:rPr>
            </w:pPr>
            <w:r>
              <w:rPr>
                <w:rFonts w:ascii="Times New Roman" w:hAnsi="Times New Roman" w:cs="Times New Roman"/>
                <w:sz w:val="24"/>
                <w:szCs w:val="24"/>
              </w:rPr>
              <w:t>Ievērojot iepriekš minēto, Iekšlietu ministrija prognozē šādus ieņēmumus valsts budžetā 2020.-2022.gadā</w:t>
            </w:r>
            <w:r w:rsidR="001F7E31">
              <w:rPr>
                <w:rFonts w:ascii="Times New Roman" w:hAnsi="Times New Roman" w:cs="Times New Roman"/>
                <w:sz w:val="24"/>
                <w:szCs w:val="24"/>
              </w:rPr>
              <w:t xml:space="preserve"> </w:t>
            </w:r>
            <w:r w:rsidR="00F64063">
              <w:rPr>
                <w:rFonts w:ascii="Times New Roman" w:hAnsi="Times New Roman" w:cs="Times New Roman"/>
                <w:sz w:val="24"/>
                <w:szCs w:val="24"/>
              </w:rPr>
              <w:t xml:space="preserve">un turpmāk </w:t>
            </w:r>
            <w:r w:rsidR="001F7E31">
              <w:rPr>
                <w:rFonts w:ascii="Times New Roman" w:hAnsi="Times New Roman" w:cs="Times New Roman"/>
                <w:sz w:val="24"/>
                <w:szCs w:val="24"/>
              </w:rPr>
              <w:t>ik gadu</w:t>
            </w:r>
            <w:r>
              <w:rPr>
                <w:rFonts w:ascii="Times New Roman" w:hAnsi="Times New Roman" w:cs="Times New Roman"/>
                <w:sz w:val="24"/>
                <w:szCs w:val="24"/>
              </w:rPr>
              <w:t>:</w:t>
            </w:r>
          </w:p>
          <w:tbl>
            <w:tblPr>
              <w:tblStyle w:val="TableGrid"/>
              <w:tblW w:w="0" w:type="auto"/>
              <w:tblInd w:w="0" w:type="dxa"/>
              <w:tblLook w:val="04A0" w:firstRow="1" w:lastRow="0" w:firstColumn="1" w:lastColumn="0" w:noHBand="0" w:noVBand="1"/>
            </w:tblPr>
            <w:tblGrid>
              <w:gridCol w:w="2074"/>
              <w:gridCol w:w="1323"/>
              <w:gridCol w:w="1276"/>
              <w:gridCol w:w="2538"/>
            </w:tblGrid>
            <w:tr w:rsidR="00542C42" w:rsidRPr="00105BA8" w:rsidTr="001F7E31">
              <w:tc>
                <w:tcPr>
                  <w:tcW w:w="2074" w:type="dxa"/>
                </w:tcPr>
                <w:p w:rsidR="00542C42" w:rsidRPr="00105BA8" w:rsidRDefault="00542C42" w:rsidP="00542C42">
                  <w:pPr>
                    <w:jc w:val="center"/>
                    <w:rPr>
                      <w:b/>
                    </w:rPr>
                  </w:pPr>
                  <w:r>
                    <w:rPr>
                      <w:rFonts w:ascii="Times New Roman" w:hAnsi="Times New Roman"/>
                      <w:sz w:val="24"/>
                      <w:szCs w:val="24"/>
                    </w:rPr>
                    <w:t xml:space="preserve">     </w:t>
                  </w:r>
                </w:p>
              </w:tc>
              <w:tc>
                <w:tcPr>
                  <w:tcW w:w="1323" w:type="dxa"/>
                </w:tcPr>
                <w:p w:rsidR="00542C42" w:rsidRPr="00105BA8" w:rsidRDefault="00542C42" w:rsidP="00542C42">
                  <w:pPr>
                    <w:jc w:val="center"/>
                    <w:rPr>
                      <w:b/>
                    </w:rPr>
                  </w:pPr>
                  <w:r w:rsidRPr="00105BA8">
                    <w:rPr>
                      <w:b/>
                    </w:rPr>
                    <w:t>Pieteikumu skaits</w:t>
                  </w:r>
                </w:p>
              </w:tc>
              <w:tc>
                <w:tcPr>
                  <w:tcW w:w="1276" w:type="dxa"/>
                </w:tcPr>
                <w:p w:rsidR="00542C42" w:rsidRPr="00105BA8" w:rsidRDefault="00542C42" w:rsidP="00542C42">
                  <w:pPr>
                    <w:jc w:val="center"/>
                    <w:rPr>
                      <w:b/>
                    </w:rPr>
                  </w:pPr>
                  <w:r w:rsidRPr="00105BA8">
                    <w:rPr>
                      <w:b/>
                    </w:rPr>
                    <w:t>Vidējais valsts nodevas apmērs* (</w:t>
                  </w:r>
                  <w:proofErr w:type="spellStart"/>
                  <w:r w:rsidRPr="00105BA8">
                    <w:rPr>
                      <w:b/>
                      <w:i/>
                    </w:rPr>
                    <w:t>euro</w:t>
                  </w:r>
                  <w:proofErr w:type="spellEnd"/>
                  <w:r w:rsidRPr="00105BA8">
                    <w:rPr>
                      <w:b/>
                    </w:rPr>
                    <w:t>)</w:t>
                  </w:r>
                </w:p>
              </w:tc>
              <w:tc>
                <w:tcPr>
                  <w:tcW w:w="2538" w:type="dxa"/>
                </w:tcPr>
                <w:p w:rsidR="00542C42" w:rsidRPr="00105BA8" w:rsidRDefault="00542C42" w:rsidP="00542C42">
                  <w:pPr>
                    <w:jc w:val="center"/>
                    <w:rPr>
                      <w:b/>
                    </w:rPr>
                  </w:pPr>
                  <w:r w:rsidRPr="00105BA8">
                    <w:rPr>
                      <w:b/>
                    </w:rPr>
                    <w:t>Prognozētie ieņēmumi valsts pamatbudžetā 2020.-2022.gadā (</w:t>
                  </w:r>
                  <w:proofErr w:type="spellStart"/>
                  <w:r w:rsidRPr="00105BA8">
                    <w:rPr>
                      <w:b/>
                      <w:i/>
                    </w:rPr>
                    <w:t>euro</w:t>
                  </w:r>
                  <w:proofErr w:type="spellEnd"/>
                  <w:r w:rsidRPr="00105BA8">
                    <w:rPr>
                      <w:b/>
                    </w:rPr>
                    <w:t>)</w:t>
                  </w:r>
                </w:p>
              </w:tc>
            </w:tr>
            <w:tr w:rsidR="00542C42" w:rsidTr="001F7E31">
              <w:tc>
                <w:tcPr>
                  <w:tcW w:w="2074" w:type="dxa"/>
                </w:tcPr>
                <w:p w:rsidR="00542C42" w:rsidRDefault="00542C42" w:rsidP="00542C42">
                  <w:r>
                    <w:t>Uzturēšanās atļaujas</w:t>
                  </w:r>
                </w:p>
              </w:tc>
              <w:tc>
                <w:tcPr>
                  <w:tcW w:w="1323" w:type="dxa"/>
                </w:tcPr>
                <w:p w:rsidR="00542C42" w:rsidRDefault="00542C42" w:rsidP="00542C42">
                  <w:pPr>
                    <w:jc w:val="right"/>
                  </w:pPr>
                  <w:r>
                    <w:t>45 674</w:t>
                  </w:r>
                </w:p>
              </w:tc>
              <w:tc>
                <w:tcPr>
                  <w:tcW w:w="1276" w:type="dxa"/>
                </w:tcPr>
                <w:p w:rsidR="00542C42" w:rsidRDefault="00542C42" w:rsidP="00542C42">
                  <w:pPr>
                    <w:jc w:val="right"/>
                  </w:pPr>
                  <w:r>
                    <w:t>93</w:t>
                  </w:r>
                </w:p>
              </w:tc>
              <w:tc>
                <w:tcPr>
                  <w:tcW w:w="2538" w:type="dxa"/>
                </w:tcPr>
                <w:p w:rsidR="00542C42" w:rsidRDefault="00542C42" w:rsidP="00542C42">
                  <w:pPr>
                    <w:jc w:val="right"/>
                  </w:pPr>
                  <w:r>
                    <w:t>4 247 682</w:t>
                  </w:r>
                </w:p>
              </w:tc>
            </w:tr>
            <w:tr w:rsidR="00542C42" w:rsidTr="001F7E31">
              <w:tc>
                <w:tcPr>
                  <w:tcW w:w="2074" w:type="dxa"/>
                </w:tcPr>
                <w:p w:rsidR="00542C42" w:rsidRDefault="00542C42" w:rsidP="00542C42">
                  <w:r>
                    <w:t>Ielūgumi, izsaukumi</w:t>
                  </w:r>
                </w:p>
              </w:tc>
              <w:tc>
                <w:tcPr>
                  <w:tcW w:w="1323" w:type="dxa"/>
                </w:tcPr>
                <w:p w:rsidR="00542C42" w:rsidRDefault="00542C42" w:rsidP="00542C42">
                  <w:pPr>
                    <w:jc w:val="right"/>
                  </w:pPr>
                  <w:r>
                    <w:t>50 900</w:t>
                  </w:r>
                </w:p>
              </w:tc>
              <w:tc>
                <w:tcPr>
                  <w:tcW w:w="1276" w:type="dxa"/>
                </w:tcPr>
                <w:p w:rsidR="00542C42" w:rsidRDefault="00542C42" w:rsidP="00542C42">
                  <w:pPr>
                    <w:jc w:val="right"/>
                  </w:pPr>
                  <w:r>
                    <w:t>21</w:t>
                  </w:r>
                </w:p>
              </w:tc>
              <w:tc>
                <w:tcPr>
                  <w:tcW w:w="2538" w:type="dxa"/>
                </w:tcPr>
                <w:p w:rsidR="00542C42" w:rsidRDefault="00542C42" w:rsidP="00542C42">
                  <w:pPr>
                    <w:jc w:val="right"/>
                  </w:pPr>
                  <w:r>
                    <w:t>1 068 900</w:t>
                  </w:r>
                </w:p>
              </w:tc>
            </w:tr>
            <w:tr w:rsidR="00542C42" w:rsidTr="001F7E31">
              <w:tc>
                <w:tcPr>
                  <w:tcW w:w="2074" w:type="dxa"/>
                </w:tcPr>
                <w:p w:rsidR="00542C42" w:rsidRDefault="00542C42" w:rsidP="00542C42">
                  <w:r>
                    <w:t>Vīzas</w:t>
                  </w:r>
                </w:p>
              </w:tc>
              <w:tc>
                <w:tcPr>
                  <w:tcW w:w="1323" w:type="dxa"/>
                </w:tcPr>
                <w:p w:rsidR="00542C42" w:rsidRDefault="00542C42" w:rsidP="00542C42">
                  <w:pPr>
                    <w:jc w:val="right"/>
                  </w:pPr>
                  <w:r>
                    <w:t>814</w:t>
                  </w:r>
                </w:p>
              </w:tc>
              <w:tc>
                <w:tcPr>
                  <w:tcW w:w="1276" w:type="dxa"/>
                </w:tcPr>
                <w:p w:rsidR="00542C42" w:rsidRDefault="00542C42" w:rsidP="00542C42">
                  <w:pPr>
                    <w:jc w:val="right"/>
                  </w:pPr>
                  <w:r>
                    <w:t>20</w:t>
                  </w:r>
                </w:p>
              </w:tc>
              <w:tc>
                <w:tcPr>
                  <w:tcW w:w="2538" w:type="dxa"/>
                </w:tcPr>
                <w:p w:rsidR="00542C42" w:rsidRDefault="00542C42" w:rsidP="00542C42">
                  <w:pPr>
                    <w:jc w:val="right"/>
                  </w:pPr>
                  <w:r>
                    <w:t>16 280</w:t>
                  </w:r>
                </w:p>
              </w:tc>
            </w:tr>
            <w:tr w:rsidR="00542C42" w:rsidRPr="00105BA8" w:rsidTr="001F7E31">
              <w:tc>
                <w:tcPr>
                  <w:tcW w:w="2074" w:type="dxa"/>
                </w:tcPr>
                <w:p w:rsidR="00542C42" w:rsidRPr="00105BA8" w:rsidRDefault="00542C42" w:rsidP="00542C42">
                  <w:pPr>
                    <w:rPr>
                      <w:b/>
                    </w:rPr>
                  </w:pPr>
                  <w:r w:rsidRPr="00105BA8">
                    <w:rPr>
                      <w:b/>
                    </w:rPr>
                    <w:t>KOPĀ</w:t>
                  </w:r>
                </w:p>
              </w:tc>
              <w:tc>
                <w:tcPr>
                  <w:tcW w:w="1323" w:type="dxa"/>
                </w:tcPr>
                <w:p w:rsidR="00542C42" w:rsidRPr="00105BA8" w:rsidRDefault="00542C42" w:rsidP="00542C42">
                  <w:pPr>
                    <w:jc w:val="right"/>
                    <w:rPr>
                      <w:b/>
                    </w:rPr>
                  </w:pPr>
                  <w:r w:rsidRPr="00105BA8">
                    <w:rPr>
                      <w:b/>
                    </w:rPr>
                    <w:t>x</w:t>
                  </w:r>
                </w:p>
              </w:tc>
              <w:tc>
                <w:tcPr>
                  <w:tcW w:w="1276" w:type="dxa"/>
                </w:tcPr>
                <w:p w:rsidR="00542C42" w:rsidRPr="00105BA8" w:rsidRDefault="00542C42" w:rsidP="00542C42">
                  <w:pPr>
                    <w:jc w:val="right"/>
                    <w:rPr>
                      <w:b/>
                    </w:rPr>
                  </w:pPr>
                  <w:r w:rsidRPr="00105BA8">
                    <w:rPr>
                      <w:b/>
                    </w:rPr>
                    <w:t>x</w:t>
                  </w:r>
                </w:p>
              </w:tc>
              <w:tc>
                <w:tcPr>
                  <w:tcW w:w="2538" w:type="dxa"/>
                </w:tcPr>
                <w:p w:rsidR="00542C42" w:rsidRPr="00105BA8" w:rsidRDefault="00542C42" w:rsidP="00542C42">
                  <w:pPr>
                    <w:pStyle w:val="ListParagraph"/>
                    <w:numPr>
                      <w:ilvl w:val="0"/>
                      <w:numId w:val="16"/>
                    </w:numPr>
                    <w:jc w:val="right"/>
                    <w:rPr>
                      <w:b/>
                    </w:rPr>
                  </w:pPr>
                  <w:r w:rsidRPr="00105BA8">
                    <w:rPr>
                      <w:b/>
                    </w:rPr>
                    <w:t>332 862</w:t>
                  </w:r>
                </w:p>
              </w:tc>
            </w:tr>
          </w:tbl>
          <w:p w:rsidR="00542C42" w:rsidRDefault="00542C42" w:rsidP="00542C42"/>
          <w:p w:rsidR="00542C42" w:rsidRDefault="00542C42" w:rsidP="00542C42">
            <w:pPr>
              <w:pStyle w:val="ListParagraph"/>
              <w:ind w:left="0"/>
            </w:pPr>
            <w:r>
              <w:t xml:space="preserve">* ieskaitot pieteikumus, par kuru izskatīšanu tiek piemērots atbrīvojums </w:t>
            </w:r>
          </w:p>
          <w:p w:rsidR="00542C42" w:rsidRDefault="00542C42" w:rsidP="00542C42">
            <w:pPr>
              <w:pStyle w:val="ListParagraph"/>
              <w:ind w:left="0"/>
            </w:pPr>
            <w:r>
              <w:lastRenderedPageBreak/>
              <w:t>no valsts nodevas samaksas</w:t>
            </w:r>
          </w:p>
          <w:p w:rsidR="00462B0C" w:rsidRPr="00E67474" w:rsidRDefault="00462B0C" w:rsidP="00E67474">
            <w:pPr>
              <w:spacing w:after="120" w:line="240" w:lineRule="auto"/>
              <w:ind w:left="80" w:right="209"/>
              <w:jc w:val="both"/>
              <w:rPr>
                <w:rFonts w:ascii="Times New Roman" w:hAnsi="Times New Roman" w:cs="Times New Roman"/>
                <w:i/>
                <w:sz w:val="24"/>
                <w:szCs w:val="24"/>
              </w:rPr>
            </w:pPr>
            <w:r w:rsidRPr="00494147">
              <w:rPr>
                <w:rFonts w:ascii="Times New Roman" w:eastAsia="Times New Roman" w:hAnsi="Times New Roman" w:cs="Times New Roman"/>
                <w:i/>
                <w:color w:val="000000" w:themeColor="text1"/>
                <w:sz w:val="24"/>
                <w:szCs w:val="24"/>
                <w:lang w:eastAsia="lv-LV"/>
              </w:rPr>
              <w:t>Detalizēts izdevumu aprēķins:</w:t>
            </w:r>
          </w:p>
          <w:p w:rsidR="007F6998" w:rsidRPr="00494147" w:rsidRDefault="007F6998" w:rsidP="00FB6749">
            <w:pPr>
              <w:spacing w:after="120" w:line="240" w:lineRule="auto"/>
              <w:ind w:left="80"/>
              <w:jc w:val="both"/>
              <w:rPr>
                <w:rFonts w:ascii="Times New Roman" w:eastAsia="Times New Roman" w:hAnsi="Times New Roman" w:cs="Times New Roman"/>
                <w:bCs/>
                <w:sz w:val="24"/>
                <w:szCs w:val="24"/>
                <w:lang w:eastAsia="lv-LV"/>
              </w:rPr>
            </w:pPr>
            <w:r w:rsidRPr="00494147">
              <w:rPr>
                <w:rFonts w:ascii="Times New Roman" w:eastAsia="Times New Roman" w:hAnsi="Times New Roman" w:cs="Times New Roman"/>
                <w:iCs/>
                <w:color w:val="000000" w:themeColor="text1"/>
                <w:sz w:val="24"/>
                <w:szCs w:val="24"/>
                <w:lang w:eastAsia="lv-LV"/>
              </w:rPr>
              <w:t>Izvērtējot iepriekšējo gadu ieņēmumu pieaugumu, tiek plānots valsts pamatbudžeta ieņēmumu</w:t>
            </w:r>
            <w:r w:rsidR="00FF6A51" w:rsidRPr="00494147">
              <w:rPr>
                <w:rFonts w:ascii="Times New Roman" w:eastAsia="Times New Roman" w:hAnsi="Times New Roman" w:cs="Times New Roman"/>
                <w:iCs/>
                <w:color w:val="000000" w:themeColor="text1"/>
                <w:sz w:val="24"/>
                <w:szCs w:val="24"/>
                <w:lang w:eastAsia="lv-LV"/>
              </w:rPr>
              <w:t>s</w:t>
            </w:r>
            <w:r w:rsidRPr="00494147">
              <w:rPr>
                <w:rFonts w:ascii="Times New Roman" w:eastAsia="Times New Roman" w:hAnsi="Times New Roman" w:cs="Times New Roman"/>
                <w:iCs/>
                <w:color w:val="000000" w:themeColor="text1"/>
                <w:sz w:val="24"/>
                <w:szCs w:val="24"/>
                <w:lang w:eastAsia="lv-LV"/>
              </w:rPr>
              <w:t xml:space="preserve"> no valsts nodevas par vīzas, uzturēšanās atļaujas vai Eiropas Kopienas pastāvīgā iedzīvotāja statusa Latvijas Republikā pieprasīšanai nepieciešamo dokumentu izskatīšanu un ar to saistītajiem </w:t>
            </w:r>
            <w:r w:rsidRPr="00F91DAF">
              <w:rPr>
                <w:rFonts w:ascii="Times New Roman" w:eastAsia="Times New Roman" w:hAnsi="Times New Roman" w:cs="Times New Roman"/>
                <w:iCs/>
                <w:color w:val="000000" w:themeColor="text1"/>
                <w:sz w:val="24"/>
                <w:szCs w:val="24"/>
                <w:lang w:eastAsia="lv-LV"/>
              </w:rPr>
              <w:t xml:space="preserve">pakalpojumiem </w:t>
            </w:r>
            <w:r w:rsidR="00FF6A51" w:rsidRPr="00F91DAF">
              <w:rPr>
                <w:rFonts w:ascii="Times New Roman" w:eastAsia="Times New Roman" w:hAnsi="Times New Roman" w:cs="Times New Roman"/>
                <w:iCs/>
                <w:color w:val="000000" w:themeColor="text1"/>
                <w:sz w:val="24"/>
                <w:szCs w:val="24"/>
                <w:lang w:eastAsia="lv-LV"/>
              </w:rPr>
              <w:t>palielināt</w:t>
            </w:r>
            <w:r w:rsidR="00F91DAF" w:rsidRPr="00F91DAF">
              <w:rPr>
                <w:rFonts w:ascii="Times New Roman" w:eastAsia="Times New Roman" w:hAnsi="Times New Roman" w:cs="Times New Roman"/>
                <w:iCs/>
                <w:color w:val="000000" w:themeColor="text1"/>
                <w:sz w:val="24"/>
                <w:szCs w:val="24"/>
                <w:lang w:eastAsia="lv-LV"/>
              </w:rPr>
              <w:t>, katru gadu no 2020.gada iekasējot</w:t>
            </w:r>
            <w:r w:rsidR="00FF6A51" w:rsidRPr="00F91DAF">
              <w:rPr>
                <w:rFonts w:ascii="Times New Roman" w:eastAsia="Times New Roman" w:hAnsi="Times New Roman" w:cs="Times New Roman"/>
                <w:iCs/>
                <w:color w:val="000000" w:themeColor="text1"/>
                <w:sz w:val="24"/>
                <w:szCs w:val="24"/>
                <w:lang w:eastAsia="lv-LV"/>
              </w:rPr>
              <w:t xml:space="preserve"> </w:t>
            </w:r>
            <w:r w:rsidR="00F91DAF" w:rsidRPr="00F91DAF">
              <w:rPr>
                <w:rFonts w:ascii="Times New Roman" w:eastAsia="Times New Roman" w:hAnsi="Times New Roman" w:cs="Times New Roman"/>
                <w:iCs/>
                <w:color w:val="000000" w:themeColor="text1"/>
                <w:sz w:val="24"/>
                <w:szCs w:val="24"/>
                <w:lang w:eastAsia="lv-LV"/>
              </w:rPr>
              <w:t>5</w:t>
            </w:r>
            <w:r w:rsidR="00FF6A51" w:rsidRPr="00F91DAF">
              <w:rPr>
                <w:rFonts w:ascii="Times New Roman" w:eastAsia="Times New Roman" w:hAnsi="Times New Roman" w:cs="Times New Roman"/>
                <w:iCs/>
                <w:color w:val="000000" w:themeColor="text1"/>
                <w:sz w:val="24"/>
                <w:szCs w:val="24"/>
                <w:lang w:eastAsia="lv-LV"/>
              </w:rPr>
              <w:t xml:space="preserve"> </w:t>
            </w:r>
            <w:r w:rsidR="00F91DAF" w:rsidRPr="00F91DAF">
              <w:rPr>
                <w:rFonts w:ascii="Times New Roman" w:eastAsia="Times New Roman" w:hAnsi="Times New Roman" w:cs="Times New Roman"/>
                <w:iCs/>
                <w:color w:val="000000" w:themeColor="text1"/>
                <w:sz w:val="24"/>
                <w:szCs w:val="24"/>
                <w:lang w:eastAsia="lv-LV"/>
              </w:rPr>
              <w:t>332</w:t>
            </w:r>
            <w:r w:rsidR="00FF6A51" w:rsidRPr="00F91DAF">
              <w:rPr>
                <w:rFonts w:ascii="Times New Roman" w:eastAsia="Times New Roman" w:hAnsi="Times New Roman" w:cs="Times New Roman"/>
                <w:iCs/>
                <w:color w:val="000000" w:themeColor="text1"/>
                <w:sz w:val="24"/>
                <w:szCs w:val="24"/>
                <w:lang w:eastAsia="lv-LV"/>
              </w:rPr>
              <w:t xml:space="preserve"> </w:t>
            </w:r>
            <w:r w:rsidR="00F91DAF" w:rsidRPr="00F91DAF">
              <w:rPr>
                <w:rFonts w:ascii="Times New Roman" w:eastAsia="Times New Roman" w:hAnsi="Times New Roman" w:cs="Times New Roman"/>
                <w:iCs/>
                <w:color w:val="000000" w:themeColor="text1"/>
                <w:sz w:val="24"/>
                <w:szCs w:val="24"/>
                <w:lang w:eastAsia="lv-LV"/>
              </w:rPr>
              <w:t>862</w:t>
            </w:r>
            <w:r w:rsidR="00FF6A51" w:rsidRPr="00F91DAF">
              <w:rPr>
                <w:rFonts w:ascii="Times New Roman" w:eastAsia="Times New Roman" w:hAnsi="Times New Roman" w:cs="Times New Roman"/>
                <w:iCs/>
                <w:color w:val="000000" w:themeColor="text1"/>
                <w:sz w:val="24"/>
                <w:szCs w:val="24"/>
                <w:lang w:eastAsia="lv-LV"/>
              </w:rPr>
              <w:t xml:space="preserve"> </w:t>
            </w:r>
            <w:proofErr w:type="spellStart"/>
            <w:r w:rsidRPr="00F91DAF">
              <w:rPr>
                <w:rFonts w:ascii="Times New Roman" w:eastAsia="Times New Roman" w:hAnsi="Times New Roman" w:cs="Times New Roman"/>
                <w:i/>
                <w:iCs/>
                <w:color w:val="000000" w:themeColor="text1"/>
                <w:sz w:val="24"/>
                <w:szCs w:val="24"/>
                <w:lang w:eastAsia="lv-LV"/>
              </w:rPr>
              <w:t>euro</w:t>
            </w:r>
            <w:proofErr w:type="spellEnd"/>
            <w:r w:rsidRPr="00F91DAF">
              <w:rPr>
                <w:rFonts w:ascii="Times New Roman" w:eastAsia="Times New Roman" w:hAnsi="Times New Roman" w:cs="Times New Roman"/>
                <w:bCs/>
                <w:sz w:val="24"/>
                <w:szCs w:val="24"/>
                <w:lang w:eastAsia="lv-LV"/>
              </w:rPr>
              <w:t>.</w:t>
            </w:r>
          </w:p>
          <w:p w:rsidR="00FB6749" w:rsidRDefault="004725C3" w:rsidP="00FB6749">
            <w:pPr>
              <w:pStyle w:val="tv213"/>
              <w:spacing w:before="0" w:beforeAutospacing="0" w:after="120" w:afterAutospacing="0"/>
              <w:ind w:left="128"/>
              <w:jc w:val="both"/>
            </w:pPr>
            <w:r w:rsidRPr="00494147">
              <w:rPr>
                <w:lang w:eastAsia="en-US"/>
              </w:rPr>
              <w:t>Sagatavojot likumprojektu “Par v</w:t>
            </w:r>
            <w:r w:rsidR="00F91DAF">
              <w:rPr>
                <w:lang w:eastAsia="en-US"/>
              </w:rPr>
              <w:t>alsts budžetu 2020</w:t>
            </w:r>
            <w:r w:rsidRPr="00494147">
              <w:rPr>
                <w:lang w:eastAsia="en-US"/>
              </w:rPr>
              <w:t>. gadam” un likumprojektu “Par vidēja termiņa budžeta ietvaru 20</w:t>
            </w:r>
            <w:r w:rsidR="00F91DAF">
              <w:rPr>
                <w:lang w:eastAsia="en-US"/>
              </w:rPr>
              <w:t>20</w:t>
            </w:r>
            <w:r w:rsidRPr="00494147">
              <w:rPr>
                <w:lang w:eastAsia="en-US"/>
              </w:rPr>
              <w:t>., 20</w:t>
            </w:r>
            <w:r w:rsidR="00F91DAF">
              <w:rPr>
                <w:lang w:eastAsia="en-US"/>
              </w:rPr>
              <w:t>21</w:t>
            </w:r>
            <w:r w:rsidRPr="00494147">
              <w:rPr>
                <w:lang w:eastAsia="en-US"/>
              </w:rPr>
              <w:t>. un 202</w:t>
            </w:r>
            <w:r w:rsidR="00F91DAF">
              <w:rPr>
                <w:lang w:eastAsia="en-US"/>
              </w:rPr>
              <w:t>2</w:t>
            </w:r>
            <w:r w:rsidRPr="00494147">
              <w:rPr>
                <w:lang w:eastAsia="en-US"/>
              </w:rPr>
              <w:t xml:space="preserve">. gadam”, ieņēmumi no valsts pamatbudžetā iemaksājamās valsts </w:t>
            </w:r>
            <w:r w:rsidR="00FB6749">
              <w:rPr>
                <w:lang w:eastAsia="en-US"/>
              </w:rPr>
              <w:t xml:space="preserve">nodevas </w:t>
            </w:r>
            <w:r w:rsidR="00FB6749" w:rsidRPr="00494147">
              <w:rPr>
                <w:iCs/>
                <w:color w:val="000000" w:themeColor="text1"/>
              </w:rPr>
              <w:t xml:space="preserve">par vīzas, uzturēšanās atļaujas vai Eiropas Kopienas pastāvīgā iedzīvotāja statusa Latvijas Republikā pieprasīšanai nepieciešamo dokumentu izskatīšanu un ar to saistītajiem </w:t>
            </w:r>
            <w:r w:rsidR="00FB6749" w:rsidRPr="00F91DAF">
              <w:rPr>
                <w:iCs/>
                <w:color w:val="000000" w:themeColor="text1"/>
              </w:rPr>
              <w:t>pakalpojumiem</w:t>
            </w:r>
            <w:r w:rsidRPr="00494147">
              <w:rPr>
                <w:lang w:eastAsia="en-US"/>
              </w:rPr>
              <w:t xml:space="preserve"> plānojami </w:t>
            </w:r>
            <w:r w:rsidR="004B1613" w:rsidRPr="00F91DAF">
              <w:rPr>
                <w:iCs/>
                <w:color w:val="000000" w:themeColor="text1"/>
              </w:rPr>
              <w:t>5 332</w:t>
            </w:r>
            <w:r w:rsidR="004B1613">
              <w:rPr>
                <w:iCs/>
                <w:color w:val="000000" w:themeColor="text1"/>
              </w:rPr>
              <w:t> </w:t>
            </w:r>
            <w:r w:rsidR="004B1613" w:rsidRPr="00F91DAF">
              <w:rPr>
                <w:iCs/>
                <w:color w:val="000000" w:themeColor="text1"/>
              </w:rPr>
              <w:t xml:space="preserve">862 </w:t>
            </w:r>
            <w:proofErr w:type="spellStart"/>
            <w:r w:rsidRPr="00494147">
              <w:rPr>
                <w:i/>
                <w:lang w:eastAsia="en-US"/>
              </w:rPr>
              <w:t>euro</w:t>
            </w:r>
            <w:proofErr w:type="spellEnd"/>
            <w:r w:rsidRPr="00494147">
              <w:rPr>
                <w:lang w:eastAsia="en-US"/>
              </w:rPr>
              <w:t xml:space="preserve"> apmērā ik gadu </w:t>
            </w:r>
            <w:r w:rsidR="004B1613" w:rsidRPr="00494147">
              <w:t xml:space="preserve">(palielinājums </w:t>
            </w:r>
            <w:r w:rsidR="004B1613">
              <w:rPr>
                <w:rFonts w:eastAsia="Calibri"/>
              </w:rPr>
              <w:t xml:space="preserve">1 227 156 </w:t>
            </w:r>
            <w:proofErr w:type="spellStart"/>
            <w:r w:rsidR="004B1613">
              <w:rPr>
                <w:rFonts w:eastAsia="Calibri"/>
                <w:i/>
              </w:rPr>
              <w:t>euro</w:t>
            </w:r>
            <w:proofErr w:type="spellEnd"/>
            <w:r w:rsidR="00F64063">
              <w:rPr>
                <w:rFonts w:eastAsia="Calibri"/>
                <w:i/>
              </w:rPr>
              <w:t xml:space="preserve"> </w:t>
            </w:r>
            <w:r w:rsidR="004B1613">
              <w:rPr>
                <w:rFonts w:eastAsia="Calibri"/>
              </w:rPr>
              <w:t>gadā</w:t>
            </w:r>
            <w:r w:rsidR="004B1613" w:rsidRPr="00494147">
              <w:t>)</w:t>
            </w:r>
            <w:r w:rsidR="004B1613">
              <w:t xml:space="preserve"> </w:t>
            </w:r>
            <w:r w:rsidRPr="00494147">
              <w:rPr>
                <w:lang w:eastAsia="en-US"/>
              </w:rPr>
              <w:t>un dotācijas no vispārējiem ieņēmumiem un attiecīgu izdevumu palielinājums Iekšlietu ministrijai budžeta apakšprogrammā 11.01.00 “Pilsonības u</w:t>
            </w:r>
            <w:r w:rsidR="004B1613">
              <w:rPr>
                <w:lang w:eastAsia="en-US"/>
              </w:rPr>
              <w:t>n migrācijas lietu pārvalde” 2020</w:t>
            </w:r>
            <w:r w:rsidRPr="00494147">
              <w:rPr>
                <w:lang w:eastAsia="en-US"/>
              </w:rPr>
              <w:t xml:space="preserve">. gadā un turpmāk ik gadu palielināmas par </w:t>
            </w:r>
            <w:r w:rsidR="004B1613">
              <w:rPr>
                <w:lang w:eastAsia="en-US"/>
              </w:rPr>
              <w:t xml:space="preserve">628 056 </w:t>
            </w:r>
            <w:proofErr w:type="spellStart"/>
            <w:r w:rsidR="004B1613">
              <w:rPr>
                <w:i/>
                <w:lang w:eastAsia="en-US"/>
              </w:rPr>
              <w:t>euro</w:t>
            </w:r>
            <w:proofErr w:type="spellEnd"/>
            <w:r w:rsidR="004B1613">
              <w:t xml:space="preserve"> darba samaksas izlīdzināšanai.</w:t>
            </w:r>
          </w:p>
          <w:p w:rsidR="00FB6749" w:rsidRDefault="00644DA0" w:rsidP="00FB6749">
            <w:pPr>
              <w:pStyle w:val="tv213"/>
              <w:spacing w:before="0" w:beforeAutospacing="0" w:after="120" w:afterAutospacing="0"/>
              <w:ind w:left="128"/>
              <w:jc w:val="both"/>
            </w:pPr>
            <w:r>
              <w:t xml:space="preserve">Lai Pilsonības un migrācijas lietu pārvalde kvalitatīvi un profesionāli nodrošinātu migrācijas politikas īstenošanu valstī, ir nepieciešami augsti kvalificēti speciālisti ar atbilstošām zināšanām, kompetencēm un prasmēm. Ņemot vērā pašreizējo atalgojuma apmēru, PMLP ir grūtības piesaistīt atbilstošus speciālistus, kā arī noturēt darbā jau strādājošos atbilstošajā jomā pieredzi un zināšanas ieguvušos darbiniekus. Vairumā gadījumu gan uz speciālistu amatiem, gan vadošiem amatiem pretendē kandidāti bez atbilstošas izglītības un kvalifikācijas, bet, iegūstot pieredzi un zināšanas, pamet darbu valsts pārvaldē. </w:t>
            </w:r>
          </w:p>
          <w:p w:rsidR="00644DA0" w:rsidRPr="00360253" w:rsidRDefault="00644DA0" w:rsidP="00FB6749">
            <w:pPr>
              <w:pStyle w:val="tv213"/>
              <w:spacing w:before="0" w:beforeAutospacing="0" w:after="120" w:afterAutospacing="0"/>
              <w:ind w:left="128"/>
              <w:jc w:val="both"/>
            </w:pPr>
            <w:r w:rsidRPr="00C16ED3">
              <w:t xml:space="preserve">Ņemot vērā, ka </w:t>
            </w:r>
            <w:r>
              <w:t>privātajā sektorā strādājošiem vidējais darba samaksas apjoms</w:t>
            </w:r>
            <w:r w:rsidRPr="00E44BC3">
              <w:t xml:space="preserve"> </w:t>
            </w:r>
            <w:r>
              <w:t xml:space="preserve">katru gadu palielinās, arī PMLP nepieciešams palielināt nodarbināto mēnešalgas apmēru, </w:t>
            </w:r>
            <w:r w:rsidRPr="003935A9">
              <w:rPr>
                <w:bCs/>
                <w:color w:val="000000" w:themeColor="text1"/>
                <w:shd w:val="clear" w:color="auto" w:fill="FFFFFF"/>
              </w:rPr>
              <w:t>Valsts un pašvaldību institūciju amatpersonu un darbinieku atlīdzības likumā noteiktajās robežās</w:t>
            </w:r>
            <w:r>
              <w:t xml:space="preserve">, lai līdzīgos amatos strādājošajiem PMLP un privātajā sektorā, atalgojuma atšķirības kaut nedaudz samazinātos. </w:t>
            </w:r>
            <w:r w:rsidRPr="004B1613">
              <w:t>Darba samaksas</w:t>
            </w:r>
            <w:r w:rsidRPr="00494147">
              <w:t xml:space="preserve"> izlīdzināšanas nepieciešamību nosaka būtiskā atšķirība starp privātajā un publiskajā sektorā izmaksāto atalgojumu. Migrācijas jomā strādājošo Pilsonības un migrācijas lietu pārvaldes speciālistu atalgojums būtu jāpielīdzina jurista profesijā nodarbināto atalgojuma līmenim, jo darba pienākumi saistīti ar juridiski sarežģītu tekstu (starptautisko un nacionālo tiesību aktu) piemērošanu un sastādīšanu, darbā nepieciešamas svešvalodu zināšanas, kā arī darbam ir augsts intensitātes līmenis. </w:t>
            </w:r>
            <w:r w:rsidRPr="00360253">
              <w:t>Katrā no projekta pielikumā minētajām struktūrvienībām tiek izstrādāti normatīvo aktu un  attīstības</w:t>
            </w:r>
            <w:r>
              <w:t>-</w:t>
            </w:r>
            <w:r w:rsidRPr="00360253">
              <w:t xml:space="preserve">plānošanas dokumentu projekti, līdz ar to nodarbinātajiem jābūt īpašam kvalifikācijas līmenim, lai šos pienākumus veiktu atbilstoši prasībām un, ievērojot valsts intereses attiecīgajā politikas jomā. Minēto nodarbināto sagatavotie administratīvie akti ir saistīti ar personu </w:t>
            </w:r>
            <w:proofErr w:type="spellStart"/>
            <w:r w:rsidRPr="00360253">
              <w:t>pamattiesību</w:t>
            </w:r>
            <w:proofErr w:type="spellEnd"/>
            <w:r w:rsidRPr="00360253">
              <w:t xml:space="preserve"> nodrošināšanu, kas apliecina nepieciešamību tos sagatavot īpaši augstā kvalitātē un padziļināti izprotot un </w:t>
            </w:r>
            <w:r w:rsidRPr="00360253">
              <w:lastRenderedPageBreak/>
              <w:t>izsverot katra lēmuma būtību, samērīgumu, tā atbilstību cilvēktiesību ievērošanas pamatprincipiem un vienlaikus valsts interesēm.</w:t>
            </w:r>
          </w:p>
          <w:p w:rsidR="00644DA0" w:rsidRDefault="00644DA0" w:rsidP="00FB6749">
            <w:pPr>
              <w:spacing w:after="120" w:line="240" w:lineRule="auto"/>
              <w:ind w:left="128"/>
              <w:jc w:val="both"/>
              <w:rPr>
                <w:rFonts w:ascii="Times New Roman" w:hAnsi="Times New Roman" w:cs="Times New Roman"/>
                <w:sz w:val="24"/>
                <w:szCs w:val="24"/>
              </w:rPr>
            </w:pPr>
            <w:r w:rsidRPr="00360253">
              <w:rPr>
                <w:rFonts w:ascii="Times New Roman" w:eastAsia="Times New Roman" w:hAnsi="Times New Roman" w:cs="Times New Roman"/>
                <w:sz w:val="24"/>
                <w:szCs w:val="24"/>
              </w:rPr>
              <w:t>Valsts ieņēmumu dienesta publicētie statistikas dati par darba samaksu dažādās profesijās nodar</w:t>
            </w:r>
            <w:r>
              <w:rPr>
                <w:rFonts w:ascii="Times New Roman" w:eastAsia="Times New Roman" w:hAnsi="Times New Roman" w:cs="Times New Roman"/>
                <w:sz w:val="24"/>
                <w:szCs w:val="24"/>
              </w:rPr>
              <w:t>binātajiem liecina, ka 2019</w:t>
            </w:r>
            <w:r w:rsidRPr="00360253">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maijā</w:t>
            </w:r>
            <w:r w:rsidRPr="00360253">
              <w:rPr>
                <w:rFonts w:ascii="Times New Roman" w:eastAsia="Times New Roman" w:hAnsi="Times New Roman" w:cs="Times New Roman"/>
                <w:sz w:val="24"/>
                <w:szCs w:val="24"/>
              </w:rPr>
              <w:t xml:space="preserve"> jurista vidējā stundas likme bija 11,</w:t>
            </w:r>
            <w:r>
              <w:rPr>
                <w:rFonts w:ascii="Times New Roman" w:eastAsia="Times New Roman" w:hAnsi="Times New Roman" w:cs="Times New Roman"/>
                <w:sz w:val="24"/>
                <w:szCs w:val="24"/>
              </w:rPr>
              <w:t>79</w:t>
            </w:r>
            <w:r w:rsidRPr="00360253">
              <w:rPr>
                <w:rFonts w:ascii="Times New Roman" w:eastAsia="Times New Roman" w:hAnsi="Times New Roman" w:cs="Times New Roman"/>
                <w:sz w:val="24"/>
                <w:szCs w:val="24"/>
              </w:rPr>
              <w:t xml:space="preserve"> </w:t>
            </w:r>
            <w:proofErr w:type="spellStart"/>
            <w:r w:rsidRPr="00360253">
              <w:rPr>
                <w:rFonts w:ascii="Times New Roman" w:eastAsia="Times New Roman" w:hAnsi="Times New Roman" w:cs="Times New Roman"/>
                <w:i/>
                <w:sz w:val="24"/>
                <w:szCs w:val="24"/>
              </w:rPr>
              <w:t>euro</w:t>
            </w:r>
            <w:proofErr w:type="spellEnd"/>
            <w:r w:rsidRPr="00360253">
              <w:rPr>
                <w:rFonts w:ascii="Times New Roman" w:eastAsia="Times New Roman" w:hAnsi="Times New Roman" w:cs="Times New Roman"/>
                <w:sz w:val="24"/>
                <w:szCs w:val="24"/>
              </w:rPr>
              <w:t xml:space="preserve"> jeb </w:t>
            </w:r>
            <w:r>
              <w:rPr>
                <w:rFonts w:ascii="Times New Roman" w:eastAsia="Times New Roman" w:hAnsi="Times New Roman" w:cs="Times New Roman"/>
                <w:sz w:val="24"/>
                <w:szCs w:val="24"/>
              </w:rPr>
              <w:t xml:space="preserve">aptuveni </w:t>
            </w:r>
            <w:r w:rsidRPr="00360253">
              <w:rPr>
                <w:rFonts w:ascii="Times New Roman" w:eastAsia="Times New Roman" w:hAnsi="Times New Roman" w:cs="Times New Roman"/>
                <w:sz w:val="24"/>
                <w:szCs w:val="24"/>
              </w:rPr>
              <w:t>1</w:t>
            </w:r>
            <w:r>
              <w:rPr>
                <w:rFonts w:ascii="Times New Roman" w:eastAsia="Times New Roman" w:hAnsi="Times New Roman" w:cs="Times New Roman"/>
                <w:sz w:val="24"/>
                <w:szCs w:val="24"/>
              </w:rPr>
              <w:t>980</w:t>
            </w:r>
            <w:r w:rsidRPr="00360253">
              <w:rPr>
                <w:rFonts w:ascii="Times New Roman" w:eastAsia="Times New Roman" w:hAnsi="Times New Roman" w:cs="Times New Roman"/>
                <w:sz w:val="24"/>
                <w:szCs w:val="24"/>
              </w:rPr>
              <w:t xml:space="preserve"> </w:t>
            </w:r>
            <w:proofErr w:type="spellStart"/>
            <w:r w:rsidRPr="00360253">
              <w:rPr>
                <w:rFonts w:ascii="Times New Roman" w:eastAsia="Times New Roman" w:hAnsi="Times New Roman" w:cs="Times New Roman"/>
                <w:i/>
                <w:sz w:val="24"/>
                <w:szCs w:val="24"/>
              </w:rPr>
              <w:t>euro</w:t>
            </w:r>
            <w:proofErr w:type="spellEnd"/>
            <w:r w:rsidRPr="00360253">
              <w:rPr>
                <w:rFonts w:ascii="Times New Roman" w:eastAsia="Times New Roman" w:hAnsi="Times New Roman" w:cs="Times New Roman"/>
                <w:sz w:val="24"/>
                <w:szCs w:val="24"/>
              </w:rPr>
              <w:t xml:space="preserve"> </w:t>
            </w:r>
            <w:r w:rsidR="00FB6749">
              <w:rPr>
                <w:rFonts w:ascii="Times New Roman" w:eastAsia="Times New Roman" w:hAnsi="Times New Roman" w:cs="Times New Roman"/>
                <w:sz w:val="24"/>
                <w:szCs w:val="24"/>
              </w:rPr>
              <w:t>mēnesī.</w:t>
            </w:r>
            <w:r w:rsidRPr="00360253">
              <w:rPr>
                <w:rFonts w:ascii="Times New Roman" w:eastAsia="Times New Roman" w:hAnsi="Times New Roman" w:cs="Times New Roman"/>
                <w:sz w:val="24"/>
                <w:szCs w:val="24"/>
              </w:rPr>
              <w:t xml:space="preserve"> Pilsonības un migrācijas lietu pārvaldes vecākā referenta darba samaksa noteikta </w:t>
            </w:r>
            <w:r w:rsidRPr="004B1613">
              <w:rPr>
                <w:rFonts w:ascii="Times New Roman" w:eastAsia="Times New Roman" w:hAnsi="Times New Roman" w:cs="Times New Roman"/>
                <w:sz w:val="24"/>
                <w:szCs w:val="24"/>
              </w:rPr>
              <w:t xml:space="preserve">1015 </w:t>
            </w:r>
            <w:proofErr w:type="spellStart"/>
            <w:r w:rsidRPr="004B1613">
              <w:rPr>
                <w:rFonts w:ascii="Times New Roman" w:eastAsia="Times New Roman" w:hAnsi="Times New Roman" w:cs="Times New Roman"/>
                <w:i/>
                <w:sz w:val="24"/>
                <w:szCs w:val="24"/>
              </w:rPr>
              <w:t>euro</w:t>
            </w:r>
            <w:proofErr w:type="spellEnd"/>
            <w:r w:rsidRPr="004B1613">
              <w:rPr>
                <w:rFonts w:ascii="Times New Roman" w:eastAsia="Times New Roman" w:hAnsi="Times New Roman" w:cs="Times New Roman"/>
                <w:sz w:val="24"/>
                <w:szCs w:val="24"/>
              </w:rPr>
              <w:t xml:space="preserve"> apmērā mēnesī.</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Īpaši svarīgi tas ir, lai motivētu un noturētu darbā profesionālākos un kompetentākos PMLP darbiniekus, kuri sniedz ļoti lielu ieguldījumu migrācijas politikas īstenošanā un PMLP mērķu sasniegšanā, tādā veidā veidojot profesionālu valsts pārvaldi.  Piesaistot un noturot darbā profesionālus, augsti kvalificētus speciālistus ar atbilstošu darba pieredzi, PMLP nodrošinās iedzīvotājiem kvalitatīvu pakalpojumu sniegšanu, tērējot mazāk resursu nepārtrauktai jauno darbinieku piesaistei un apmācībai. </w:t>
            </w:r>
          </w:p>
          <w:p w:rsidR="00FB6749" w:rsidRPr="00360253" w:rsidRDefault="00FB6749" w:rsidP="00FB6749">
            <w:pPr>
              <w:spacing w:after="120" w:line="240" w:lineRule="auto"/>
              <w:ind w:left="128"/>
              <w:jc w:val="both"/>
              <w:rPr>
                <w:rFonts w:ascii="Times New Roman" w:hAnsi="Times New Roman" w:cs="Times New Roman"/>
                <w:sz w:val="24"/>
                <w:szCs w:val="24"/>
              </w:rPr>
            </w:pPr>
            <w:r w:rsidRPr="00360253">
              <w:rPr>
                <w:rFonts w:ascii="Times New Roman" w:eastAsia="Times New Roman" w:hAnsi="Times New Roman" w:cs="Times New Roman"/>
                <w:sz w:val="24"/>
                <w:szCs w:val="24"/>
              </w:rPr>
              <w:t xml:space="preserve">Zems atalgojums migrācijas jomā strādājošajiem </w:t>
            </w:r>
            <w:r>
              <w:rPr>
                <w:rFonts w:ascii="Times New Roman" w:eastAsia="Times New Roman" w:hAnsi="Times New Roman" w:cs="Times New Roman"/>
                <w:sz w:val="24"/>
                <w:szCs w:val="24"/>
              </w:rPr>
              <w:t xml:space="preserve">ne tikai </w:t>
            </w:r>
            <w:r w:rsidRPr="00360253">
              <w:rPr>
                <w:rFonts w:ascii="Times New Roman" w:eastAsia="Times New Roman" w:hAnsi="Times New Roman" w:cs="Times New Roman"/>
                <w:sz w:val="24"/>
                <w:szCs w:val="24"/>
              </w:rPr>
              <w:t xml:space="preserve">veicina </w:t>
            </w:r>
            <w:r>
              <w:rPr>
                <w:rFonts w:ascii="Times New Roman" w:eastAsia="Times New Roman" w:hAnsi="Times New Roman" w:cs="Times New Roman"/>
                <w:sz w:val="24"/>
                <w:szCs w:val="24"/>
              </w:rPr>
              <w:t xml:space="preserve">personāla mainību, bet </w:t>
            </w:r>
            <w:r w:rsidRPr="00360253">
              <w:rPr>
                <w:rFonts w:ascii="Times New Roman" w:eastAsia="Times New Roman" w:hAnsi="Times New Roman" w:cs="Times New Roman"/>
                <w:sz w:val="24"/>
                <w:szCs w:val="24"/>
              </w:rPr>
              <w:t xml:space="preserve">eventuāli var radīt </w:t>
            </w:r>
            <w:r>
              <w:rPr>
                <w:rFonts w:ascii="Times New Roman" w:eastAsia="Times New Roman" w:hAnsi="Times New Roman" w:cs="Times New Roman"/>
                <w:sz w:val="24"/>
                <w:szCs w:val="24"/>
              </w:rPr>
              <w:t xml:space="preserve">arī </w:t>
            </w:r>
            <w:r w:rsidRPr="00360253">
              <w:rPr>
                <w:rFonts w:ascii="Times New Roman" w:eastAsia="Times New Roman" w:hAnsi="Times New Roman" w:cs="Times New Roman"/>
                <w:sz w:val="24"/>
                <w:szCs w:val="24"/>
              </w:rPr>
              <w:t>valsts drošības apdraudējumu, jo, nespējot piesaistīt pietiekami kvalificētus nodarbinātos un nekvalitatīvi izskatot vīzu, uzturēšanās atļauju un patvēruma pieteikumus, palielinās iespēja valstī ieceļot nevēlamām personām, kā arī rodas paaugstināts korupcijas iespējamības risks. Tāpat paaugstinās iespējamība pieņemt nekvalitatīvus vai pat prettiesiskus lēmumus, kas var novest pie zaudējumu atlīdzināšanas nepieciešamības.</w:t>
            </w:r>
            <w:r>
              <w:rPr>
                <w:rFonts w:ascii="Times New Roman" w:eastAsia="Times New Roman" w:hAnsi="Times New Roman" w:cs="Times New Roman"/>
                <w:sz w:val="24"/>
                <w:szCs w:val="24"/>
              </w:rPr>
              <w:t xml:space="preserve"> It īpaši šī problēma kļuvusi aktuāla šobrīd visā tautsaimniecībā pastāvošā darbaspēka trūkuma apstākļos, kas ietekmē arī Pilsonības un migrācijas lietu pārvaldes iespējas nodrošināt personālu pietiekamā skaitā. </w:t>
            </w:r>
          </w:p>
          <w:p w:rsidR="00644DA0" w:rsidRDefault="00644DA0" w:rsidP="00FB6749">
            <w:pPr>
              <w:spacing w:after="120" w:line="240" w:lineRule="auto"/>
              <w:ind w:left="128"/>
              <w:jc w:val="both"/>
              <w:rPr>
                <w:rFonts w:ascii="Times New Roman" w:hAnsi="Times New Roman" w:cs="Times New Roman"/>
                <w:sz w:val="24"/>
                <w:szCs w:val="24"/>
              </w:rPr>
            </w:pPr>
            <w:r w:rsidRPr="00E40FBD">
              <w:rPr>
                <w:rFonts w:ascii="Times New Roman" w:hAnsi="Times New Roman" w:cs="Times New Roman"/>
                <w:sz w:val="24"/>
                <w:szCs w:val="24"/>
              </w:rPr>
              <w:t>Lai nodrošinātu</w:t>
            </w:r>
            <w:r>
              <w:rPr>
                <w:rFonts w:ascii="Times New Roman" w:hAnsi="Times New Roman" w:cs="Times New Roman"/>
                <w:sz w:val="24"/>
                <w:szCs w:val="24"/>
              </w:rPr>
              <w:t xml:space="preserve"> iepriekš minēto</w:t>
            </w:r>
            <w:r w:rsidRPr="00E40FBD">
              <w:rPr>
                <w:rFonts w:ascii="Times New Roman" w:hAnsi="Times New Roman" w:cs="Times New Roman"/>
                <w:sz w:val="24"/>
                <w:szCs w:val="24"/>
              </w:rPr>
              <w:t xml:space="preserve">, </w:t>
            </w:r>
            <w:r>
              <w:rPr>
                <w:rFonts w:ascii="Times New Roman" w:hAnsi="Times New Roman" w:cs="Times New Roman"/>
                <w:sz w:val="24"/>
                <w:szCs w:val="24"/>
              </w:rPr>
              <w:t xml:space="preserve">PMLP nepieciešams noteikt struktūrvienību vadītājiem un vadītāju vietniekiem, kuriem noteikta 3.kategorija, mēnešalgu 100% apmērā, bet pārējiem nodarbinātajiem, kuriem noteikta 3.kategorija, </w:t>
            </w:r>
            <w:r w:rsidRPr="009D752A">
              <w:rPr>
                <w:rFonts w:ascii="Times New Roman" w:hAnsi="Times New Roman" w:cs="Times New Roman"/>
                <w:sz w:val="24"/>
                <w:szCs w:val="24"/>
              </w:rPr>
              <w:t>90%</w:t>
            </w:r>
            <w:r>
              <w:rPr>
                <w:rFonts w:ascii="Times New Roman" w:hAnsi="Times New Roman" w:cs="Times New Roman"/>
                <w:sz w:val="24"/>
                <w:szCs w:val="24"/>
              </w:rPr>
              <w:t xml:space="preserve"> apmērā no </w:t>
            </w:r>
            <w:r w:rsidRPr="00E40FBD">
              <w:rPr>
                <w:rFonts w:ascii="Times New Roman" w:hAnsi="Times New Roman" w:cs="Times New Roman"/>
                <w:sz w:val="24"/>
                <w:szCs w:val="24"/>
              </w:rPr>
              <w:t>Ministru kabineta 2013.gada 29.janvāra noteikumu Nr.66 “</w:t>
            </w:r>
            <w:r w:rsidRPr="00E40FBD">
              <w:rPr>
                <w:rFonts w:ascii="Times New Roman" w:hAnsi="Times New Roman" w:cs="Times New Roman"/>
                <w:bCs/>
                <w:sz w:val="24"/>
                <w:szCs w:val="24"/>
                <w:shd w:val="clear" w:color="auto" w:fill="FFFFFF"/>
              </w:rPr>
              <w:t>Noteikumi par valsts un pašvaldību institūciju amatpersonu un darbinieku darba samaksu un tās noteikšanas kārtību”</w:t>
            </w:r>
            <w:r>
              <w:rPr>
                <w:rFonts w:ascii="Times New Roman" w:hAnsi="Times New Roman" w:cs="Times New Roman"/>
                <w:bCs/>
                <w:sz w:val="24"/>
                <w:szCs w:val="24"/>
                <w:shd w:val="clear" w:color="auto" w:fill="FFFFFF"/>
              </w:rPr>
              <w:t xml:space="preserve"> 2.pielikumā noteiktā</w:t>
            </w:r>
            <w:r w:rsidRPr="00E40FBD">
              <w:rPr>
                <w:rFonts w:ascii="Times New Roman" w:hAnsi="Times New Roman" w:cs="Times New Roman"/>
                <w:bCs/>
                <w:sz w:val="24"/>
                <w:szCs w:val="24"/>
                <w:shd w:val="clear" w:color="auto" w:fill="FFFFFF"/>
              </w:rPr>
              <w:t xml:space="preserve"> 3.ka</w:t>
            </w:r>
            <w:r>
              <w:rPr>
                <w:rFonts w:ascii="Times New Roman" w:hAnsi="Times New Roman" w:cs="Times New Roman"/>
                <w:bCs/>
                <w:sz w:val="24"/>
                <w:szCs w:val="24"/>
                <w:shd w:val="clear" w:color="auto" w:fill="FFFFFF"/>
              </w:rPr>
              <w:t>t</w:t>
            </w:r>
            <w:r w:rsidR="00FB6749">
              <w:rPr>
                <w:rFonts w:ascii="Times New Roman" w:hAnsi="Times New Roman" w:cs="Times New Roman"/>
                <w:bCs/>
                <w:sz w:val="24"/>
                <w:szCs w:val="24"/>
                <w:shd w:val="clear" w:color="auto" w:fill="FFFFFF"/>
              </w:rPr>
              <w:t>e</w:t>
            </w:r>
            <w:r>
              <w:rPr>
                <w:rFonts w:ascii="Times New Roman" w:hAnsi="Times New Roman" w:cs="Times New Roman"/>
                <w:bCs/>
                <w:sz w:val="24"/>
                <w:szCs w:val="24"/>
                <w:shd w:val="clear" w:color="auto" w:fill="FFFFFF"/>
              </w:rPr>
              <w:t>gorijas maksimālā mēnešalgas apmēra, atbilstoši katram amatam noteiktajai mēnešalgu grupai.</w:t>
            </w:r>
            <w:r w:rsidRPr="009D752A">
              <w:rPr>
                <w:rFonts w:ascii="Times New Roman" w:hAnsi="Times New Roman" w:cs="Times New Roman"/>
                <w:sz w:val="24"/>
                <w:szCs w:val="24"/>
              </w:rPr>
              <w:t xml:space="preserve"> </w:t>
            </w:r>
          </w:p>
          <w:p w:rsidR="003C43DD" w:rsidRPr="00494147" w:rsidRDefault="00FB6749" w:rsidP="00FB6749">
            <w:pPr>
              <w:spacing w:after="120" w:line="240" w:lineRule="auto"/>
              <w:ind w:left="128" w:hanging="128"/>
              <w:jc w:val="both"/>
              <w:rPr>
                <w:rFonts w:ascii="Times New Roman" w:hAnsi="Times New Roman" w:cs="Times New Roman"/>
                <w:sz w:val="24"/>
                <w:szCs w:val="24"/>
              </w:rPr>
            </w:pPr>
            <w:r>
              <w:rPr>
                <w:rFonts w:ascii="Times New Roman" w:hAnsi="Times New Roman" w:cs="Times New Roman"/>
                <w:sz w:val="24"/>
                <w:szCs w:val="24"/>
              </w:rPr>
              <w:t xml:space="preserve">  </w:t>
            </w:r>
            <w:r w:rsidR="00494147" w:rsidRPr="00494147">
              <w:rPr>
                <w:rFonts w:ascii="Times New Roman" w:hAnsi="Times New Roman" w:cs="Times New Roman"/>
                <w:color w:val="000000" w:themeColor="text1"/>
                <w:sz w:val="24"/>
                <w:szCs w:val="24"/>
              </w:rPr>
              <w:t>Ievērojot iepriekš minēto un</w:t>
            </w:r>
            <w:r w:rsidR="003C43DD" w:rsidRPr="00494147">
              <w:rPr>
                <w:rFonts w:ascii="Times New Roman" w:hAnsi="Times New Roman" w:cs="Times New Roman"/>
                <w:color w:val="000000" w:themeColor="text1"/>
                <w:sz w:val="24"/>
                <w:szCs w:val="24"/>
              </w:rPr>
              <w:t xml:space="preserve"> lai saglabātu profesionālus </w:t>
            </w:r>
            <w:r w:rsidR="003C43DD" w:rsidRPr="00C314E1">
              <w:rPr>
                <w:rFonts w:ascii="Times New Roman" w:hAnsi="Times New Roman" w:cs="Times New Roman"/>
                <w:color w:val="000000" w:themeColor="text1"/>
                <w:sz w:val="24"/>
                <w:szCs w:val="24"/>
              </w:rPr>
              <w:t>darbiniekus</w:t>
            </w:r>
            <w:r w:rsidR="00B61D4A" w:rsidRPr="00C314E1">
              <w:rPr>
                <w:rFonts w:ascii="Times New Roman" w:hAnsi="Times New Roman" w:cs="Times New Roman"/>
                <w:color w:val="000000" w:themeColor="text1"/>
                <w:sz w:val="24"/>
                <w:szCs w:val="24"/>
              </w:rPr>
              <w:t>, kas nodrošinātu Pārvaldes funkciju un uzdevumu sekmīgu īstenošanu,</w:t>
            </w:r>
            <w:r w:rsidR="00B61D4A">
              <w:rPr>
                <w:rFonts w:ascii="Times New Roman" w:hAnsi="Times New Roman" w:cs="Times New Roman"/>
                <w:color w:val="000000" w:themeColor="text1"/>
                <w:sz w:val="24"/>
                <w:szCs w:val="24"/>
              </w:rPr>
              <w:t xml:space="preserve"> </w:t>
            </w:r>
            <w:r w:rsidR="003C43DD" w:rsidRPr="00494147">
              <w:rPr>
                <w:rFonts w:ascii="Times New Roman" w:hAnsi="Times New Roman" w:cs="Times New Roman"/>
                <w:color w:val="000000" w:themeColor="text1"/>
                <w:sz w:val="24"/>
                <w:szCs w:val="24"/>
              </w:rPr>
              <w:t xml:space="preserve"> un noteiktu nodarbinātajiem, kuri iesaistīti </w:t>
            </w:r>
            <w:r w:rsidR="00F1042F" w:rsidRPr="00494147">
              <w:rPr>
                <w:rFonts w:ascii="Times New Roman" w:hAnsi="Times New Roman" w:cs="Times New Roman"/>
                <w:color w:val="000000" w:themeColor="text1"/>
                <w:sz w:val="24"/>
                <w:szCs w:val="24"/>
              </w:rPr>
              <w:t>valsts migrācijas un patvēruma politikas īstenošanā un</w:t>
            </w:r>
            <w:r w:rsidR="003C43DD" w:rsidRPr="00494147">
              <w:rPr>
                <w:rFonts w:ascii="Times New Roman" w:hAnsi="Times New Roman" w:cs="Times New Roman"/>
                <w:color w:val="000000" w:themeColor="text1"/>
                <w:sz w:val="24"/>
                <w:szCs w:val="24"/>
              </w:rPr>
              <w:t xml:space="preserve"> nodrošināšanā, mēnešalgu atbilstoši amata klasifikācijai noteiktai amatu saimei, līmenim un atbilstošās mēnešalgu grupas 2.kategorijai norādīto mēn</w:t>
            </w:r>
            <w:r w:rsidR="00D75E25">
              <w:rPr>
                <w:rFonts w:ascii="Times New Roman" w:hAnsi="Times New Roman" w:cs="Times New Roman"/>
                <w:color w:val="000000" w:themeColor="text1"/>
                <w:sz w:val="24"/>
                <w:szCs w:val="24"/>
              </w:rPr>
              <w:t>ešalgas maksimālo apmēru no 2020</w:t>
            </w:r>
            <w:r w:rsidR="003C43DD" w:rsidRPr="00494147">
              <w:rPr>
                <w:rFonts w:ascii="Times New Roman" w:hAnsi="Times New Roman" w:cs="Times New Roman"/>
                <w:color w:val="000000" w:themeColor="text1"/>
                <w:sz w:val="24"/>
                <w:szCs w:val="24"/>
              </w:rPr>
              <w:t xml:space="preserve">. gada nepieciešams finansējums atlīdzībai (1000 kods - Atlīdzība) </w:t>
            </w:r>
            <w:r w:rsidR="00D75E25">
              <w:rPr>
                <w:rFonts w:ascii="Times New Roman" w:hAnsi="Times New Roman" w:cs="Times New Roman"/>
                <w:sz w:val="24"/>
                <w:szCs w:val="24"/>
              </w:rPr>
              <w:t>628 056</w:t>
            </w:r>
            <w:r w:rsidR="003C43DD" w:rsidRPr="00494147">
              <w:rPr>
                <w:rFonts w:ascii="Times New Roman" w:hAnsi="Times New Roman" w:cs="Times New Roman"/>
                <w:sz w:val="24"/>
                <w:szCs w:val="24"/>
              </w:rPr>
              <w:t xml:space="preserve">  </w:t>
            </w:r>
            <w:proofErr w:type="spellStart"/>
            <w:r w:rsidR="003C43DD" w:rsidRPr="00494147">
              <w:rPr>
                <w:rFonts w:ascii="Times New Roman" w:hAnsi="Times New Roman" w:cs="Times New Roman"/>
                <w:i/>
                <w:sz w:val="24"/>
                <w:szCs w:val="24"/>
              </w:rPr>
              <w:t>euro</w:t>
            </w:r>
            <w:proofErr w:type="spellEnd"/>
            <w:r w:rsidR="003C43DD" w:rsidRPr="00494147">
              <w:rPr>
                <w:rFonts w:ascii="Times New Roman" w:hAnsi="Times New Roman" w:cs="Times New Roman"/>
                <w:sz w:val="24"/>
                <w:szCs w:val="24"/>
              </w:rPr>
              <w:t xml:space="preserve"> (Detalizēts aprēķins pielikumā).</w:t>
            </w:r>
          </w:p>
          <w:p w:rsidR="00627B72" w:rsidRPr="00F23036" w:rsidRDefault="00562123" w:rsidP="00FB6749">
            <w:pPr>
              <w:spacing w:after="120" w:line="240" w:lineRule="auto"/>
              <w:ind w:left="128"/>
              <w:jc w:val="both"/>
              <w:rPr>
                <w:rFonts w:ascii="Times New Roman" w:eastAsia="Times New Roman" w:hAnsi="Times New Roman" w:cs="Times New Roman"/>
                <w:sz w:val="24"/>
                <w:szCs w:val="24"/>
              </w:rPr>
            </w:pPr>
            <w:r w:rsidRPr="00494147">
              <w:rPr>
                <w:rFonts w:ascii="Times New Roman" w:hAnsi="Times New Roman" w:cs="Times New Roman"/>
                <w:color w:val="000000" w:themeColor="text1"/>
                <w:sz w:val="24"/>
                <w:szCs w:val="24"/>
              </w:rPr>
              <w:t xml:space="preserve">Izdevumus atlīdzībai paredzēts segt no valsts nodevu ieņēmumu palielinājuma kas tiks gūti, palielinoties </w:t>
            </w:r>
            <w:r w:rsidRPr="00494147">
              <w:rPr>
                <w:rFonts w:ascii="Times New Roman" w:eastAsia="Times New Roman" w:hAnsi="Times New Roman" w:cs="Times New Roman"/>
                <w:color w:val="000000" w:themeColor="text1"/>
                <w:sz w:val="24"/>
                <w:szCs w:val="24"/>
                <w:lang w:eastAsia="lv-LV"/>
              </w:rPr>
              <w:t xml:space="preserve">ieņēmumu prognozei no valsts nodevas par vīzas vai uzturēšanās atļaujas pieprasīšanai nepieciešamo dokumentu izskatīšanu un ar to saistītajiem pakalpojumiem. </w:t>
            </w:r>
          </w:p>
        </w:tc>
      </w:tr>
      <w:tr w:rsidR="009D02DA" w:rsidRPr="00494147" w:rsidTr="00F05C2D">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lastRenderedPageBreak/>
              <w:t>6.1. detalizēts ieņēmumu aprēķins</w:t>
            </w: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rPr>
            </w:pPr>
          </w:p>
        </w:tc>
      </w:tr>
      <w:tr w:rsidR="009D02DA" w:rsidRPr="00494147" w:rsidTr="00F05C2D">
        <w:trPr>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6.2. detalizēts izdevumu aprēķins</w:t>
            </w: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rsidR="009D02DA" w:rsidRPr="00494147" w:rsidRDefault="009D02DA" w:rsidP="00494147">
            <w:pPr>
              <w:spacing w:after="120" w:line="240" w:lineRule="auto"/>
              <w:rPr>
                <w:rFonts w:ascii="Times New Roman" w:eastAsia="Times New Roman" w:hAnsi="Times New Roman" w:cs="Times New Roman"/>
                <w:sz w:val="24"/>
                <w:szCs w:val="24"/>
              </w:rPr>
            </w:pPr>
          </w:p>
        </w:tc>
      </w:tr>
      <w:tr w:rsidR="009D02DA" w:rsidRPr="00494147" w:rsidTr="00F05C2D">
        <w:trPr>
          <w:trHeight w:val="444"/>
          <w:jc w:val="center"/>
        </w:trPr>
        <w:tc>
          <w:tcPr>
            <w:tcW w:w="851" w:type="pct"/>
            <w:tcBorders>
              <w:top w:val="outset" w:sz="6" w:space="0" w:color="414142"/>
              <w:left w:val="outset" w:sz="6" w:space="0" w:color="414142"/>
              <w:bottom w:val="outset" w:sz="6" w:space="0" w:color="414142"/>
              <w:right w:val="outset" w:sz="6" w:space="0" w:color="414142"/>
            </w:tcBorders>
            <w:hideMark/>
          </w:tcPr>
          <w:p w:rsidR="009D02DA" w:rsidRPr="00494147" w:rsidRDefault="009D02DA"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lastRenderedPageBreak/>
              <w:t>7. Cita informācija</w:t>
            </w:r>
          </w:p>
        </w:tc>
        <w:tc>
          <w:tcPr>
            <w:tcW w:w="4149" w:type="pct"/>
            <w:gridSpan w:val="5"/>
            <w:tcBorders>
              <w:top w:val="outset" w:sz="6" w:space="0" w:color="414142"/>
              <w:left w:val="outset" w:sz="6" w:space="0" w:color="414142"/>
              <w:bottom w:val="outset" w:sz="6" w:space="0" w:color="414142"/>
              <w:right w:val="outset" w:sz="6" w:space="0" w:color="414142"/>
            </w:tcBorders>
          </w:tcPr>
          <w:p w:rsidR="0079099E" w:rsidRPr="001F7E31" w:rsidRDefault="00FF6A51" w:rsidP="00F64063">
            <w:pPr>
              <w:spacing w:after="120" w:line="240" w:lineRule="auto"/>
              <w:ind w:left="128"/>
              <w:jc w:val="both"/>
              <w:rPr>
                <w:rFonts w:ascii="Times New Roman" w:hAnsi="Times New Roman" w:cs="Times New Roman"/>
                <w:sz w:val="24"/>
                <w:szCs w:val="24"/>
              </w:rPr>
            </w:pPr>
            <w:r w:rsidRPr="001F7E31">
              <w:rPr>
                <w:rFonts w:ascii="Times New Roman" w:hAnsi="Times New Roman" w:cs="Times New Roman"/>
                <w:sz w:val="24"/>
                <w:szCs w:val="24"/>
              </w:rPr>
              <w:t>Sagatavojot likumprojektu “Par valsts budžetu 20</w:t>
            </w:r>
            <w:r w:rsidR="00D20355" w:rsidRPr="001F7E31">
              <w:rPr>
                <w:rFonts w:ascii="Times New Roman" w:hAnsi="Times New Roman" w:cs="Times New Roman"/>
                <w:sz w:val="24"/>
                <w:szCs w:val="24"/>
              </w:rPr>
              <w:t>20</w:t>
            </w:r>
            <w:r w:rsidRPr="001F7E31">
              <w:rPr>
                <w:rFonts w:ascii="Times New Roman" w:hAnsi="Times New Roman" w:cs="Times New Roman"/>
                <w:sz w:val="24"/>
                <w:szCs w:val="24"/>
              </w:rPr>
              <w:t>. gadam” un likumprojektu “Par vi</w:t>
            </w:r>
            <w:r w:rsidR="00F91DAF" w:rsidRPr="001F7E31">
              <w:rPr>
                <w:rFonts w:ascii="Times New Roman" w:hAnsi="Times New Roman" w:cs="Times New Roman"/>
                <w:sz w:val="24"/>
                <w:szCs w:val="24"/>
              </w:rPr>
              <w:t>dēja termiņa budžeta ietvaru 2020</w:t>
            </w:r>
            <w:r w:rsidRPr="001F7E31">
              <w:rPr>
                <w:rFonts w:ascii="Times New Roman" w:hAnsi="Times New Roman" w:cs="Times New Roman"/>
                <w:sz w:val="24"/>
                <w:szCs w:val="24"/>
              </w:rPr>
              <w:t>., 20</w:t>
            </w:r>
            <w:r w:rsidR="00F91DAF" w:rsidRPr="001F7E31">
              <w:rPr>
                <w:rFonts w:ascii="Times New Roman" w:hAnsi="Times New Roman" w:cs="Times New Roman"/>
                <w:sz w:val="24"/>
                <w:szCs w:val="24"/>
              </w:rPr>
              <w:t>21</w:t>
            </w:r>
            <w:r w:rsidRPr="001F7E31">
              <w:rPr>
                <w:rFonts w:ascii="Times New Roman" w:hAnsi="Times New Roman" w:cs="Times New Roman"/>
                <w:sz w:val="24"/>
                <w:szCs w:val="24"/>
              </w:rPr>
              <w:t>. un 202</w:t>
            </w:r>
            <w:r w:rsidR="00F91DAF" w:rsidRPr="001F7E31">
              <w:rPr>
                <w:rFonts w:ascii="Times New Roman" w:hAnsi="Times New Roman" w:cs="Times New Roman"/>
                <w:sz w:val="24"/>
                <w:szCs w:val="24"/>
              </w:rPr>
              <w:t>2</w:t>
            </w:r>
            <w:r w:rsidRPr="001F7E31">
              <w:rPr>
                <w:rFonts w:ascii="Times New Roman" w:hAnsi="Times New Roman" w:cs="Times New Roman"/>
                <w:sz w:val="24"/>
                <w:szCs w:val="24"/>
              </w:rPr>
              <w:t xml:space="preserve">. gadam”, ieņēmumi no valsts pamatbudžetā iemaksājamās </w:t>
            </w:r>
            <w:r w:rsidR="001F7E31" w:rsidRPr="001F7E31">
              <w:rPr>
                <w:rFonts w:ascii="Times New Roman" w:hAnsi="Times New Roman" w:cs="Times New Roman"/>
                <w:sz w:val="24"/>
                <w:szCs w:val="24"/>
              </w:rPr>
              <w:t xml:space="preserve">valsts nodevas </w:t>
            </w:r>
            <w:r w:rsidR="001F7E31" w:rsidRPr="001F7E31">
              <w:rPr>
                <w:rFonts w:ascii="Times New Roman" w:eastAsia="Times New Roman" w:hAnsi="Times New Roman" w:cs="Times New Roman"/>
                <w:iCs/>
                <w:color w:val="000000" w:themeColor="text1"/>
                <w:sz w:val="24"/>
                <w:szCs w:val="24"/>
                <w:lang w:eastAsia="lv-LV"/>
              </w:rPr>
              <w:t>par vīzas, uzturēšanās atļaujas vai Eiropas Kopienas pastāvīgā iedzīvotāja statusa Latvijas Republikā pieprasīšanai nepieciešamo dokumentu izskatīšanu un ar to saistītajiem pakalpojumiem</w:t>
            </w:r>
            <w:r w:rsidRPr="001F7E31">
              <w:rPr>
                <w:rFonts w:ascii="Times New Roman" w:hAnsi="Times New Roman" w:cs="Times New Roman"/>
                <w:sz w:val="24"/>
                <w:szCs w:val="24"/>
              </w:rPr>
              <w:t xml:space="preserve"> plānojami </w:t>
            </w:r>
            <w:r w:rsidR="00F91DAF" w:rsidRPr="001F7E31">
              <w:rPr>
                <w:rFonts w:ascii="Times New Roman" w:hAnsi="Times New Roman" w:cs="Times New Roman"/>
                <w:sz w:val="24"/>
                <w:szCs w:val="24"/>
              </w:rPr>
              <w:t>5 332 862</w:t>
            </w:r>
            <w:r w:rsidRPr="001F7E31">
              <w:rPr>
                <w:rFonts w:ascii="Times New Roman" w:hAnsi="Times New Roman" w:cs="Times New Roman"/>
                <w:sz w:val="24"/>
                <w:szCs w:val="24"/>
              </w:rPr>
              <w:t xml:space="preserve"> </w:t>
            </w:r>
            <w:proofErr w:type="spellStart"/>
            <w:r w:rsidR="00562123" w:rsidRPr="001F7E31">
              <w:rPr>
                <w:rFonts w:ascii="Times New Roman" w:eastAsia="Calibri" w:hAnsi="Times New Roman" w:cs="Times New Roman"/>
                <w:i/>
                <w:sz w:val="24"/>
                <w:szCs w:val="24"/>
                <w:lang w:eastAsia="lv-LV"/>
              </w:rPr>
              <w:t>euro</w:t>
            </w:r>
            <w:proofErr w:type="spellEnd"/>
            <w:r w:rsidRPr="001F7E31">
              <w:rPr>
                <w:rFonts w:ascii="Times New Roman" w:hAnsi="Times New Roman" w:cs="Times New Roman"/>
                <w:i/>
                <w:sz w:val="24"/>
                <w:szCs w:val="24"/>
              </w:rPr>
              <w:t xml:space="preserve"> </w:t>
            </w:r>
            <w:r w:rsidRPr="001F7E31">
              <w:rPr>
                <w:rFonts w:ascii="Times New Roman" w:hAnsi="Times New Roman" w:cs="Times New Roman"/>
                <w:sz w:val="24"/>
                <w:szCs w:val="24"/>
              </w:rPr>
              <w:t xml:space="preserve">apmērā ik gadu (palielinājums </w:t>
            </w:r>
            <w:r w:rsidR="00F91DAF" w:rsidRPr="001F7E31">
              <w:rPr>
                <w:rFonts w:ascii="Times New Roman" w:eastAsia="Calibri" w:hAnsi="Times New Roman" w:cs="Times New Roman"/>
                <w:sz w:val="24"/>
                <w:szCs w:val="24"/>
                <w:lang w:eastAsia="lv-LV"/>
              </w:rPr>
              <w:t xml:space="preserve">1 227 156 </w:t>
            </w:r>
            <w:proofErr w:type="spellStart"/>
            <w:r w:rsidR="00F91DAF" w:rsidRPr="001F7E31">
              <w:rPr>
                <w:rFonts w:ascii="Times New Roman" w:eastAsia="Calibri" w:hAnsi="Times New Roman" w:cs="Times New Roman"/>
                <w:i/>
                <w:sz w:val="24"/>
                <w:szCs w:val="24"/>
                <w:lang w:eastAsia="lv-LV"/>
              </w:rPr>
              <w:t>euro</w:t>
            </w:r>
            <w:proofErr w:type="spellEnd"/>
            <w:r w:rsidR="00F91DAF" w:rsidRPr="001F7E31">
              <w:rPr>
                <w:rFonts w:ascii="Times New Roman" w:eastAsia="Calibri" w:hAnsi="Times New Roman" w:cs="Times New Roman"/>
                <w:i/>
                <w:sz w:val="24"/>
                <w:szCs w:val="24"/>
                <w:lang w:eastAsia="lv-LV"/>
              </w:rPr>
              <w:t xml:space="preserve"> </w:t>
            </w:r>
            <w:r w:rsidR="00F91DAF" w:rsidRPr="001F7E31">
              <w:rPr>
                <w:rFonts w:ascii="Times New Roman" w:eastAsia="Calibri" w:hAnsi="Times New Roman" w:cs="Times New Roman"/>
                <w:sz w:val="24"/>
                <w:szCs w:val="24"/>
                <w:lang w:eastAsia="lv-LV"/>
              </w:rPr>
              <w:t>gadā</w:t>
            </w:r>
            <w:r w:rsidRPr="001F7E31">
              <w:rPr>
                <w:rFonts w:ascii="Times New Roman" w:hAnsi="Times New Roman" w:cs="Times New Roman"/>
                <w:sz w:val="24"/>
                <w:szCs w:val="24"/>
              </w:rPr>
              <w:t>) un dotācijas no vispārējiem ieņēmumiem un attiecīgu izdevumu palielinājums Iekšlietu ministrijai (budžeta apakšprogramma 11.01.00 “Pilsonības un migrācijas lietu pārvalde”) 20</w:t>
            </w:r>
            <w:r w:rsidR="00F91DAF" w:rsidRPr="001F7E31">
              <w:rPr>
                <w:rFonts w:ascii="Times New Roman" w:hAnsi="Times New Roman" w:cs="Times New Roman"/>
                <w:sz w:val="24"/>
                <w:szCs w:val="24"/>
              </w:rPr>
              <w:t>20</w:t>
            </w:r>
            <w:r w:rsidRPr="001F7E31">
              <w:rPr>
                <w:rFonts w:ascii="Times New Roman" w:hAnsi="Times New Roman" w:cs="Times New Roman"/>
                <w:sz w:val="24"/>
                <w:szCs w:val="24"/>
              </w:rPr>
              <w:t xml:space="preserve">. gadā un turpmāk katru gadu par </w:t>
            </w:r>
            <w:r w:rsidR="00F91DAF" w:rsidRPr="001F7E31">
              <w:rPr>
                <w:rFonts w:ascii="Times New Roman" w:hAnsi="Times New Roman" w:cs="Times New Roman"/>
                <w:sz w:val="24"/>
                <w:szCs w:val="24"/>
              </w:rPr>
              <w:t>628 056</w:t>
            </w:r>
            <w:r w:rsidRPr="001F7E31">
              <w:rPr>
                <w:rFonts w:ascii="Times New Roman" w:hAnsi="Times New Roman" w:cs="Times New Roman"/>
                <w:sz w:val="24"/>
                <w:szCs w:val="24"/>
              </w:rPr>
              <w:t xml:space="preserve"> </w:t>
            </w:r>
            <w:proofErr w:type="spellStart"/>
            <w:r w:rsidR="00562123" w:rsidRPr="001F7E31">
              <w:rPr>
                <w:rFonts w:ascii="Times New Roman" w:eastAsia="Calibri" w:hAnsi="Times New Roman" w:cs="Times New Roman"/>
                <w:i/>
                <w:sz w:val="24"/>
                <w:szCs w:val="24"/>
                <w:lang w:eastAsia="lv-LV"/>
              </w:rPr>
              <w:t>euro</w:t>
            </w:r>
            <w:proofErr w:type="spellEnd"/>
            <w:r w:rsidR="00F91DAF" w:rsidRPr="001F7E31">
              <w:rPr>
                <w:rFonts w:ascii="Times New Roman" w:hAnsi="Times New Roman" w:cs="Times New Roman"/>
                <w:sz w:val="24"/>
                <w:szCs w:val="24"/>
              </w:rPr>
              <w:t xml:space="preserve"> </w:t>
            </w:r>
            <w:r w:rsidRPr="001F7E31">
              <w:rPr>
                <w:rFonts w:ascii="Times New Roman" w:hAnsi="Times New Roman" w:cs="Times New Roman"/>
                <w:sz w:val="24"/>
                <w:szCs w:val="24"/>
              </w:rPr>
              <w:t>darba samaksas izlīdzināšanai.</w:t>
            </w:r>
          </w:p>
        </w:tc>
      </w:tr>
    </w:tbl>
    <w:p w:rsidR="009D02DA" w:rsidRPr="00494147" w:rsidRDefault="009D02DA" w:rsidP="00494147">
      <w:pPr>
        <w:shd w:val="clear" w:color="auto" w:fill="FFFFFF"/>
        <w:spacing w:after="12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61845" w:rsidRPr="00494147" w:rsidTr="0031214D">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761845" w:rsidRPr="00494147" w:rsidRDefault="00761845"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IV. </w:t>
            </w:r>
            <w:r w:rsidRPr="00494147">
              <w:rPr>
                <w:rFonts w:ascii="Times New Roman" w:hAnsi="Times New Roman" w:cs="Times New Roman"/>
                <w:b/>
                <w:bCs/>
                <w:sz w:val="24"/>
                <w:szCs w:val="24"/>
              </w:rPr>
              <w:t>Tiesību akta projekta ietekme uz spēkā esošo tiesību normu sistēmu</w:t>
            </w:r>
          </w:p>
        </w:tc>
      </w:tr>
      <w:tr w:rsidR="00761845" w:rsidRPr="00494147" w:rsidTr="00761845">
        <w:trPr>
          <w:trHeight w:val="432"/>
          <w:jc w:val="center"/>
        </w:trPr>
        <w:tc>
          <w:tcPr>
            <w:tcW w:w="5000" w:type="pct"/>
            <w:tcBorders>
              <w:top w:val="outset" w:sz="6" w:space="0" w:color="414142"/>
              <w:left w:val="outset" w:sz="6" w:space="0" w:color="414142"/>
              <w:bottom w:val="outset" w:sz="6" w:space="0" w:color="414142"/>
              <w:right w:val="outset" w:sz="6" w:space="0" w:color="414142"/>
            </w:tcBorders>
            <w:hideMark/>
          </w:tcPr>
          <w:p w:rsidR="00761845" w:rsidRPr="00494147" w:rsidRDefault="00761845"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hAnsi="Times New Roman" w:cs="Times New Roman"/>
                <w:sz w:val="24"/>
                <w:szCs w:val="24"/>
              </w:rPr>
              <w:t>Projekts šo jomu neskar.</w:t>
            </w:r>
          </w:p>
        </w:tc>
      </w:tr>
    </w:tbl>
    <w:p w:rsidR="00761845" w:rsidRPr="00494147" w:rsidRDefault="00761845" w:rsidP="00494147">
      <w:pPr>
        <w:shd w:val="clear" w:color="auto" w:fill="FFFFFF"/>
        <w:spacing w:after="12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761845" w:rsidRPr="00494147" w:rsidTr="0031214D">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761845" w:rsidRPr="00494147" w:rsidRDefault="00761845"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hAnsi="Times New Roman" w:cs="Times New Roman"/>
                <w:b/>
                <w:sz w:val="24"/>
                <w:szCs w:val="24"/>
              </w:rPr>
              <w:t>V. Tiesību akta projekta atbilstība Latvijas Republikas starptautiskajām saistībām</w:t>
            </w:r>
          </w:p>
        </w:tc>
      </w:tr>
      <w:tr w:rsidR="00761845" w:rsidRPr="00494147" w:rsidTr="00761845">
        <w:trPr>
          <w:trHeight w:val="432"/>
          <w:jc w:val="center"/>
        </w:trPr>
        <w:tc>
          <w:tcPr>
            <w:tcW w:w="5000" w:type="pct"/>
            <w:tcBorders>
              <w:top w:val="outset" w:sz="6" w:space="0" w:color="414142"/>
              <w:left w:val="outset" w:sz="6" w:space="0" w:color="414142"/>
              <w:bottom w:val="outset" w:sz="6" w:space="0" w:color="414142"/>
              <w:right w:val="outset" w:sz="6" w:space="0" w:color="414142"/>
            </w:tcBorders>
            <w:hideMark/>
          </w:tcPr>
          <w:p w:rsidR="00761845" w:rsidRPr="00494147" w:rsidRDefault="00761845" w:rsidP="00494147">
            <w:pPr>
              <w:spacing w:after="120" w:line="240" w:lineRule="auto"/>
              <w:jc w:val="center"/>
              <w:rPr>
                <w:rFonts w:ascii="Times New Roman" w:eastAsia="Times New Roman" w:hAnsi="Times New Roman" w:cs="Times New Roman"/>
                <w:sz w:val="24"/>
                <w:szCs w:val="24"/>
                <w:lang w:eastAsia="lv-LV"/>
              </w:rPr>
            </w:pPr>
            <w:r w:rsidRPr="00494147">
              <w:rPr>
                <w:rFonts w:ascii="Times New Roman" w:hAnsi="Times New Roman" w:cs="Times New Roman"/>
                <w:sz w:val="24"/>
                <w:szCs w:val="24"/>
              </w:rPr>
              <w:t>Projekts šo jomu neskar.</w:t>
            </w:r>
          </w:p>
        </w:tc>
      </w:tr>
    </w:tbl>
    <w:p w:rsidR="00761845" w:rsidRPr="00494147" w:rsidRDefault="00761845" w:rsidP="00494147">
      <w:pPr>
        <w:shd w:val="clear" w:color="auto" w:fill="FFFFFF"/>
        <w:spacing w:after="120" w:line="240" w:lineRule="auto"/>
        <w:ind w:firstLine="301"/>
        <w:rPr>
          <w:rFonts w:ascii="Times New Roman" w:eastAsia="Times New Roman" w:hAnsi="Times New Roman" w:cs="Times New Roman"/>
          <w:sz w:val="24"/>
          <w:szCs w:val="24"/>
          <w:lang w:eastAsia="lv-LV"/>
        </w:rPr>
      </w:pPr>
    </w:p>
    <w:p w:rsidR="00761845" w:rsidRPr="00494147" w:rsidRDefault="00761845" w:rsidP="00494147">
      <w:pPr>
        <w:shd w:val="clear" w:color="auto" w:fill="FFFFFF"/>
        <w:spacing w:after="12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717"/>
        <w:gridCol w:w="5886"/>
      </w:tblGrid>
      <w:tr w:rsidR="00894C55" w:rsidRPr="00494147" w:rsidTr="00894C55">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494147" w:rsidRDefault="00894C55"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t>VI.</w:t>
            </w:r>
            <w:r w:rsidR="00816C11" w:rsidRPr="00494147">
              <w:rPr>
                <w:rFonts w:ascii="Times New Roman" w:eastAsia="Times New Roman" w:hAnsi="Times New Roman" w:cs="Times New Roman"/>
                <w:b/>
                <w:bCs/>
                <w:sz w:val="24"/>
                <w:szCs w:val="24"/>
                <w:lang w:eastAsia="lv-LV"/>
              </w:rPr>
              <w:t> </w:t>
            </w:r>
            <w:r w:rsidRPr="00494147">
              <w:rPr>
                <w:rFonts w:ascii="Times New Roman" w:eastAsia="Times New Roman" w:hAnsi="Times New Roman" w:cs="Times New Roman"/>
                <w:b/>
                <w:bCs/>
                <w:sz w:val="24"/>
                <w:szCs w:val="24"/>
                <w:lang w:eastAsia="lv-LV"/>
              </w:rPr>
              <w:t>Sabiedrības līdzdalība un komunikācijas aktivitātes</w:t>
            </w:r>
          </w:p>
        </w:tc>
      </w:tr>
      <w:tr w:rsidR="001F7E31" w:rsidRPr="00494147" w:rsidTr="00894C55">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rsidR="001F7E31" w:rsidRPr="00494147" w:rsidRDefault="001F7E31" w:rsidP="001F7E31">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rsidR="001F7E31" w:rsidRPr="00494147" w:rsidRDefault="001F7E31" w:rsidP="001F7E31">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rsidR="001F7E31" w:rsidRPr="001F7E31" w:rsidRDefault="001F7E31" w:rsidP="001F7E31">
            <w:pPr>
              <w:spacing w:after="120"/>
              <w:jc w:val="both"/>
              <w:rPr>
                <w:rFonts w:ascii="Times New Roman" w:hAnsi="Times New Roman" w:cs="Times New Roman"/>
                <w:sz w:val="24"/>
                <w:szCs w:val="24"/>
              </w:rPr>
            </w:pPr>
            <w:r w:rsidRPr="001F7E31">
              <w:rPr>
                <w:rFonts w:ascii="Times New Roman" w:hAnsi="Times New Roman" w:cs="Times New Roman"/>
                <w:sz w:val="24"/>
                <w:szCs w:val="24"/>
              </w:rPr>
              <w:t xml:space="preserve">Projekts un tā sākotnējās ietekmes novērtējuma ziņojums (anotācija) pirms tā iesniegšanas Valsts sekretāru sanāksmē tika ievietots Iekšlietu ministrijas tīmekļa vietnē </w:t>
            </w:r>
            <w:hyperlink r:id="rId8" w:history="1">
              <w:r w:rsidRPr="001F7E31">
                <w:rPr>
                  <w:rStyle w:val="Hyperlink"/>
                  <w:rFonts w:ascii="Times New Roman" w:hAnsi="Times New Roman" w:cs="Times New Roman"/>
                  <w:sz w:val="24"/>
                  <w:szCs w:val="24"/>
                </w:rPr>
                <w:t>www.iem.gov.lv</w:t>
              </w:r>
            </w:hyperlink>
            <w:r w:rsidRPr="001F7E31">
              <w:rPr>
                <w:rFonts w:ascii="Times New Roman" w:hAnsi="Times New Roman" w:cs="Times New Roman"/>
                <w:sz w:val="24"/>
                <w:szCs w:val="24"/>
              </w:rPr>
              <w:t xml:space="preserve"> sadaļā “Sabiedrības līdzdalība”, aicinot sabiedrību izteikt savu viedokli par projektu.</w:t>
            </w:r>
          </w:p>
        </w:tc>
      </w:tr>
      <w:tr w:rsidR="001F7E31" w:rsidRPr="00494147" w:rsidTr="00894C55">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rsidR="001F7E31" w:rsidRPr="00494147" w:rsidRDefault="001F7E31" w:rsidP="001F7E31">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rsidR="001F7E31" w:rsidRPr="00494147" w:rsidRDefault="001F7E31" w:rsidP="001F7E31">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rsidR="001F7E31" w:rsidRPr="001F7E31" w:rsidRDefault="001F7E31" w:rsidP="001F7E31">
            <w:pPr>
              <w:spacing w:after="120"/>
              <w:jc w:val="both"/>
              <w:rPr>
                <w:rFonts w:ascii="Times New Roman" w:hAnsi="Times New Roman" w:cs="Times New Roman"/>
                <w:sz w:val="24"/>
                <w:szCs w:val="24"/>
              </w:rPr>
            </w:pPr>
            <w:r w:rsidRPr="001F7E31">
              <w:rPr>
                <w:rFonts w:ascii="Times New Roman" w:hAnsi="Times New Roman" w:cs="Times New Roman"/>
                <w:sz w:val="24"/>
                <w:szCs w:val="24"/>
              </w:rPr>
              <w:t>Saskaņā ar Ministru kabineta 2009. gada 25. augusta noteikumu Nr. 970 ”Sabiedrības līdzdalības kārtība attīstības plānošanas procesā” 7.4.1 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9" w:history="1">
              <w:r w:rsidRPr="001F7E31">
                <w:rPr>
                  <w:rFonts w:ascii="Times New Roman" w:hAnsi="Times New Roman" w:cs="Times New Roman"/>
                  <w:sz w:val="24"/>
                  <w:szCs w:val="24"/>
                </w:rPr>
                <w:t>www.iem.gov.lv</w:t>
              </w:r>
            </w:hyperlink>
            <w:r w:rsidRPr="001F7E31">
              <w:rPr>
                <w:rFonts w:ascii="Times New Roman" w:hAnsi="Times New Roman" w:cs="Times New Roman"/>
                <w:sz w:val="24"/>
                <w:szCs w:val="24"/>
              </w:rPr>
              <w:t> </w:t>
            </w:r>
            <w:r>
              <w:rPr>
                <w:rFonts w:ascii="Times New Roman" w:hAnsi="Times New Roman" w:cs="Times New Roman"/>
                <w:sz w:val="24"/>
                <w:szCs w:val="24"/>
              </w:rPr>
              <w:t>sadaļā “Sabiedrības līdzdalība”.</w:t>
            </w:r>
          </w:p>
        </w:tc>
      </w:tr>
      <w:tr w:rsidR="00D20355" w:rsidRPr="00494147" w:rsidTr="00894C55">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rsidR="00D20355" w:rsidRPr="00494147" w:rsidRDefault="00D20355" w:rsidP="00D20355">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rsidR="00D20355" w:rsidRPr="00494147" w:rsidRDefault="00D20355" w:rsidP="00D20355">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rsidR="00D20355" w:rsidRPr="00D20355" w:rsidRDefault="00D20355" w:rsidP="00D20355">
            <w:pPr>
              <w:pStyle w:val="ListParagraph"/>
              <w:spacing w:after="120"/>
              <w:ind w:left="0"/>
              <w:jc w:val="both"/>
              <w:rPr>
                <w:rFonts w:ascii="Times New Roman" w:hAnsi="Times New Roman" w:cs="Times New Roman"/>
                <w:sz w:val="24"/>
                <w:szCs w:val="24"/>
              </w:rPr>
            </w:pPr>
          </w:p>
        </w:tc>
      </w:tr>
      <w:tr w:rsidR="00D20355" w:rsidRPr="00494147" w:rsidTr="00894C55">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rsidR="00D20355" w:rsidRPr="00494147" w:rsidRDefault="00D20355" w:rsidP="00D20355">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rsidR="00D20355" w:rsidRPr="00494147" w:rsidRDefault="00D20355" w:rsidP="00D20355">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rsidR="00D20355" w:rsidRPr="00D20355" w:rsidRDefault="00D20355" w:rsidP="00D20355">
            <w:pPr>
              <w:spacing w:after="120"/>
              <w:rPr>
                <w:rFonts w:ascii="Times New Roman" w:hAnsi="Times New Roman" w:cs="Times New Roman"/>
                <w:sz w:val="24"/>
                <w:szCs w:val="24"/>
              </w:rPr>
            </w:pPr>
            <w:r w:rsidRPr="00D20355">
              <w:rPr>
                <w:rFonts w:ascii="Times New Roman" w:hAnsi="Times New Roman" w:cs="Times New Roman"/>
                <w:sz w:val="24"/>
                <w:szCs w:val="24"/>
              </w:rPr>
              <w:t>Nav</w:t>
            </w:r>
          </w:p>
        </w:tc>
      </w:tr>
    </w:tbl>
    <w:p w:rsidR="00894C55" w:rsidRPr="00494147" w:rsidRDefault="00894C55" w:rsidP="00494147">
      <w:pPr>
        <w:shd w:val="clear" w:color="auto" w:fill="FFFFFF"/>
        <w:spacing w:after="120" w:line="240" w:lineRule="auto"/>
        <w:ind w:firstLine="301"/>
        <w:rPr>
          <w:rFonts w:ascii="Times New Roman" w:eastAsia="Times New Roman" w:hAnsi="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3441"/>
        <w:gridCol w:w="5161"/>
      </w:tblGrid>
      <w:tr w:rsidR="00894C55" w:rsidRPr="0049414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894C55" w:rsidRPr="00494147" w:rsidRDefault="00894C55" w:rsidP="00494147">
            <w:pPr>
              <w:spacing w:after="120" w:line="240" w:lineRule="auto"/>
              <w:jc w:val="center"/>
              <w:rPr>
                <w:rFonts w:ascii="Times New Roman" w:eastAsia="Times New Roman" w:hAnsi="Times New Roman" w:cs="Times New Roman"/>
                <w:b/>
                <w:bCs/>
                <w:sz w:val="24"/>
                <w:szCs w:val="24"/>
                <w:lang w:eastAsia="lv-LV"/>
              </w:rPr>
            </w:pPr>
            <w:r w:rsidRPr="00494147">
              <w:rPr>
                <w:rFonts w:ascii="Times New Roman" w:eastAsia="Times New Roman" w:hAnsi="Times New Roman" w:cs="Times New Roman"/>
                <w:b/>
                <w:bCs/>
                <w:sz w:val="24"/>
                <w:szCs w:val="24"/>
                <w:lang w:eastAsia="lv-LV"/>
              </w:rPr>
              <w:lastRenderedPageBreak/>
              <w:t>VII.</w:t>
            </w:r>
            <w:r w:rsidR="00816C11" w:rsidRPr="00494147">
              <w:rPr>
                <w:rFonts w:ascii="Times New Roman" w:eastAsia="Times New Roman" w:hAnsi="Times New Roman" w:cs="Times New Roman"/>
                <w:b/>
                <w:bCs/>
                <w:sz w:val="24"/>
                <w:szCs w:val="24"/>
                <w:lang w:eastAsia="lv-LV"/>
              </w:rPr>
              <w:t> </w:t>
            </w:r>
            <w:r w:rsidRPr="00494147">
              <w:rPr>
                <w:rFonts w:ascii="Times New Roman" w:eastAsia="Times New Roman" w:hAnsi="Times New Roman" w:cs="Times New Roman"/>
                <w:b/>
                <w:bCs/>
                <w:sz w:val="24"/>
                <w:szCs w:val="24"/>
                <w:lang w:eastAsia="lv-LV"/>
              </w:rPr>
              <w:t>Tiesību akta projekta izpildes nodrošināšana un tās ietekme uz institūcijām</w:t>
            </w:r>
          </w:p>
        </w:tc>
      </w:tr>
      <w:tr w:rsidR="00894C55" w:rsidRPr="00494147" w:rsidTr="00894C55">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rsidR="00894C55" w:rsidRPr="00494147" w:rsidRDefault="006D6C04"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Pilsonības un migr</w:t>
            </w:r>
            <w:r w:rsidR="00B1255B" w:rsidRPr="00494147">
              <w:rPr>
                <w:rFonts w:ascii="Times New Roman" w:eastAsia="Times New Roman" w:hAnsi="Times New Roman" w:cs="Times New Roman"/>
                <w:sz w:val="24"/>
                <w:szCs w:val="24"/>
                <w:lang w:eastAsia="lv-LV"/>
              </w:rPr>
              <w:t>ācijas lietu pārvalde</w:t>
            </w:r>
            <w:r w:rsidR="00795142" w:rsidRPr="00494147">
              <w:rPr>
                <w:rFonts w:ascii="Times New Roman" w:eastAsia="Times New Roman" w:hAnsi="Times New Roman" w:cs="Times New Roman"/>
                <w:sz w:val="24"/>
                <w:szCs w:val="24"/>
                <w:lang w:eastAsia="lv-LV"/>
              </w:rPr>
              <w:t xml:space="preserve">, Latvijas Republikas diplomātiskās un konsulārās pārstāvniecības ārvalstīs. </w:t>
            </w:r>
          </w:p>
        </w:tc>
      </w:tr>
      <w:tr w:rsidR="00894C55" w:rsidRPr="00494147" w:rsidTr="00894C55">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Projekta izpildes ietekme uz pārvaldes funkcijām un institucionālo struktūru.</w:t>
            </w:r>
          </w:p>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rsidR="00894C55" w:rsidRPr="00494147" w:rsidRDefault="00AB6B62" w:rsidP="00494147">
            <w:pPr>
              <w:spacing w:after="120" w:line="240" w:lineRule="auto"/>
              <w:jc w:val="both"/>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894C55" w:rsidRPr="00494147" w:rsidTr="00894C55">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rsidR="00894C55" w:rsidRPr="00494147" w:rsidRDefault="00894C55"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rsidR="00894C55" w:rsidRPr="00494147" w:rsidRDefault="006D6C04" w:rsidP="00494147">
            <w:pPr>
              <w:spacing w:after="120" w:line="240" w:lineRule="auto"/>
              <w:rPr>
                <w:rFonts w:ascii="Times New Roman" w:eastAsia="Times New Roman" w:hAnsi="Times New Roman" w:cs="Times New Roman"/>
                <w:sz w:val="24"/>
                <w:szCs w:val="24"/>
                <w:lang w:eastAsia="lv-LV"/>
              </w:rPr>
            </w:pPr>
            <w:r w:rsidRPr="00494147">
              <w:rPr>
                <w:rFonts w:ascii="Times New Roman" w:eastAsia="Times New Roman" w:hAnsi="Times New Roman" w:cs="Times New Roman"/>
                <w:sz w:val="24"/>
                <w:szCs w:val="24"/>
                <w:lang w:eastAsia="lv-LV"/>
              </w:rPr>
              <w:t>Nav</w:t>
            </w:r>
          </w:p>
        </w:tc>
      </w:tr>
    </w:tbl>
    <w:p w:rsidR="00720585" w:rsidRPr="00494147" w:rsidRDefault="00720585" w:rsidP="00494147">
      <w:pPr>
        <w:spacing w:after="120" w:line="240" w:lineRule="auto"/>
        <w:rPr>
          <w:rFonts w:ascii="Times New Roman" w:hAnsi="Times New Roman" w:cs="Times New Roman"/>
          <w:sz w:val="24"/>
          <w:szCs w:val="24"/>
        </w:rPr>
      </w:pPr>
    </w:p>
    <w:p w:rsidR="00B11C9F" w:rsidRPr="00494147" w:rsidRDefault="00B11C9F" w:rsidP="00494147">
      <w:pPr>
        <w:tabs>
          <w:tab w:val="left" w:pos="6237"/>
        </w:tabs>
        <w:spacing w:after="120" w:line="240" w:lineRule="auto"/>
        <w:rPr>
          <w:rFonts w:ascii="Times New Roman" w:hAnsi="Times New Roman" w:cs="Times New Roman"/>
          <w:sz w:val="24"/>
          <w:szCs w:val="24"/>
        </w:rPr>
      </w:pPr>
    </w:p>
    <w:p w:rsidR="007269A7" w:rsidRPr="00494147" w:rsidRDefault="007269A7" w:rsidP="00494147">
      <w:pPr>
        <w:tabs>
          <w:tab w:val="left" w:pos="6237"/>
        </w:tabs>
        <w:spacing w:after="120" w:line="240" w:lineRule="auto"/>
        <w:rPr>
          <w:rFonts w:ascii="Times New Roman" w:hAnsi="Times New Roman" w:cs="Times New Roman"/>
          <w:sz w:val="24"/>
          <w:szCs w:val="24"/>
        </w:rPr>
      </w:pPr>
    </w:p>
    <w:p w:rsidR="00894C55" w:rsidRPr="00494147" w:rsidRDefault="007269A7" w:rsidP="00494147">
      <w:pPr>
        <w:tabs>
          <w:tab w:val="left" w:pos="6237"/>
        </w:tabs>
        <w:spacing w:after="120" w:line="240" w:lineRule="auto"/>
        <w:rPr>
          <w:rFonts w:ascii="Times New Roman" w:hAnsi="Times New Roman" w:cs="Times New Roman"/>
          <w:sz w:val="24"/>
          <w:szCs w:val="24"/>
        </w:rPr>
      </w:pPr>
      <w:r w:rsidRPr="00494147">
        <w:rPr>
          <w:rFonts w:ascii="Times New Roman" w:hAnsi="Times New Roman" w:cs="Times New Roman"/>
          <w:sz w:val="24"/>
          <w:szCs w:val="24"/>
        </w:rPr>
        <w:t xml:space="preserve">Iekšlietu </w:t>
      </w:r>
      <w:r w:rsidR="00894C55" w:rsidRPr="00494147">
        <w:rPr>
          <w:rFonts w:ascii="Times New Roman" w:hAnsi="Times New Roman" w:cs="Times New Roman"/>
          <w:sz w:val="24"/>
          <w:szCs w:val="24"/>
        </w:rPr>
        <w:t>ministrs</w:t>
      </w:r>
      <w:r w:rsidR="00894C55" w:rsidRPr="00494147">
        <w:rPr>
          <w:rFonts w:ascii="Times New Roman" w:hAnsi="Times New Roman" w:cs="Times New Roman"/>
          <w:sz w:val="24"/>
          <w:szCs w:val="24"/>
        </w:rPr>
        <w:tab/>
      </w:r>
      <w:r w:rsidR="00D20355">
        <w:rPr>
          <w:rFonts w:ascii="Times New Roman" w:hAnsi="Times New Roman" w:cs="Times New Roman"/>
          <w:sz w:val="24"/>
          <w:szCs w:val="24"/>
        </w:rPr>
        <w:t xml:space="preserve">Sandis </w:t>
      </w:r>
      <w:proofErr w:type="spellStart"/>
      <w:r w:rsidR="00D20355">
        <w:rPr>
          <w:rFonts w:ascii="Times New Roman" w:hAnsi="Times New Roman" w:cs="Times New Roman"/>
          <w:sz w:val="24"/>
          <w:szCs w:val="24"/>
        </w:rPr>
        <w:t>Ģirģens</w:t>
      </w:r>
      <w:proofErr w:type="spellEnd"/>
    </w:p>
    <w:p w:rsidR="00894C55" w:rsidRPr="00494147" w:rsidRDefault="00894C55" w:rsidP="00494147">
      <w:pPr>
        <w:spacing w:after="120" w:line="240" w:lineRule="auto"/>
        <w:ind w:firstLine="720"/>
        <w:rPr>
          <w:rFonts w:ascii="Times New Roman" w:hAnsi="Times New Roman" w:cs="Times New Roman"/>
          <w:sz w:val="24"/>
          <w:szCs w:val="24"/>
        </w:rPr>
      </w:pPr>
    </w:p>
    <w:p w:rsidR="00894C55" w:rsidRPr="00494147" w:rsidRDefault="00AB6B62" w:rsidP="00494147">
      <w:pPr>
        <w:spacing w:after="120" w:line="240" w:lineRule="auto"/>
        <w:rPr>
          <w:rFonts w:ascii="Times New Roman" w:hAnsi="Times New Roman" w:cs="Times New Roman"/>
          <w:sz w:val="24"/>
          <w:szCs w:val="24"/>
        </w:rPr>
      </w:pPr>
      <w:r w:rsidRPr="00494147">
        <w:rPr>
          <w:rFonts w:ascii="Times New Roman" w:hAnsi="Times New Roman" w:cs="Times New Roman"/>
          <w:sz w:val="24"/>
          <w:szCs w:val="24"/>
        </w:rPr>
        <w:t>Vīza:</w:t>
      </w:r>
    </w:p>
    <w:p w:rsidR="00894C55" w:rsidRPr="00494147" w:rsidRDefault="00AB6B62" w:rsidP="00494147">
      <w:pPr>
        <w:tabs>
          <w:tab w:val="left" w:pos="6237"/>
        </w:tabs>
        <w:spacing w:after="120" w:line="240" w:lineRule="auto"/>
        <w:rPr>
          <w:rFonts w:ascii="Times New Roman" w:hAnsi="Times New Roman" w:cs="Times New Roman"/>
          <w:sz w:val="24"/>
          <w:szCs w:val="24"/>
        </w:rPr>
      </w:pPr>
      <w:r w:rsidRPr="00494147">
        <w:rPr>
          <w:rFonts w:ascii="Times New Roman" w:hAnsi="Times New Roman" w:cs="Times New Roman"/>
          <w:sz w:val="24"/>
          <w:szCs w:val="24"/>
        </w:rPr>
        <w:t>v</w:t>
      </w:r>
      <w:r w:rsidR="00894C55" w:rsidRPr="00494147">
        <w:rPr>
          <w:rFonts w:ascii="Times New Roman" w:hAnsi="Times New Roman" w:cs="Times New Roman"/>
          <w:sz w:val="24"/>
          <w:szCs w:val="24"/>
        </w:rPr>
        <w:t>alsts sekretār</w:t>
      </w:r>
      <w:r w:rsidR="00FC61B5">
        <w:rPr>
          <w:rFonts w:ascii="Times New Roman" w:hAnsi="Times New Roman" w:cs="Times New Roman"/>
          <w:sz w:val="24"/>
          <w:szCs w:val="24"/>
        </w:rPr>
        <w:t>s</w:t>
      </w:r>
      <w:r w:rsidR="00894C55" w:rsidRPr="00494147">
        <w:rPr>
          <w:rFonts w:ascii="Times New Roman" w:hAnsi="Times New Roman" w:cs="Times New Roman"/>
          <w:sz w:val="24"/>
          <w:szCs w:val="24"/>
        </w:rPr>
        <w:tab/>
      </w:r>
      <w:r w:rsidR="00795142" w:rsidRPr="00494147">
        <w:rPr>
          <w:rFonts w:ascii="Times New Roman" w:hAnsi="Times New Roman" w:cs="Times New Roman"/>
          <w:sz w:val="24"/>
          <w:szCs w:val="24"/>
        </w:rPr>
        <w:t>Dimitrijs Trofimovs</w:t>
      </w:r>
    </w:p>
    <w:p w:rsidR="00675144" w:rsidRPr="00494147" w:rsidRDefault="00675144" w:rsidP="00494147">
      <w:pPr>
        <w:tabs>
          <w:tab w:val="left" w:pos="2592"/>
        </w:tabs>
        <w:spacing w:after="120" w:line="240" w:lineRule="auto"/>
        <w:rPr>
          <w:rFonts w:ascii="Times New Roman" w:hAnsi="Times New Roman" w:cs="Times New Roman"/>
          <w:sz w:val="24"/>
          <w:szCs w:val="24"/>
        </w:rPr>
      </w:pPr>
    </w:p>
    <w:p w:rsidR="00675144" w:rsidRPr="00494147" w:rsidRDefault="0071613D" w:rsidP="00494147">
      <w:pPr>
        <w:spacing w:after="120" w:line="240" w:lineRule="auto"/>
        <w:rPr>
          <w:rFonts w:ascii="Times New Roman" w:hAnsi="Times New Roman" w:cs="Times New Roman"/>
          <w:sz w:val="24"/>
          <w:szCs w:val="24"/>
        </w:rPr>
      </w:pPr>
      <w:proofErr w:type="spellStart"/>
      <w:r w:rsidRPr="00494147">
        <w:rPr>
          <w:rFonts w:ascii="Times New Roman" w:hAnsi="Times New Roman" w:cs="Times New Roman"/>
          <w:sz w:val="24"/>
          <w:szCs w:val="24"/>
        </w:rPr>
        <w:t>I.</w:t>
      </w:r>
      <w:r w:rsidR="00AD393D" w:rsidRPr="00494147">
        <w:rPr>
          <w:rFonts w:ascii="Times New Roman" w:hAnsi="Times New Roman" w:cs="Times New Roman"/>
          <w:sz w:val="24"/>
          <w:szCs w:val="24"/>
        </w:rPr>
        <w:t>Briede</w:t>
      </w:r>
      <w:proofErr w:type="spellEnd"/>
      <w:r w:rsidR="00AD393D" w:rsidRPr="00494147">
        <w:rPr>
          <w:rFonts w:ascii="Times New Roman" w:hAnsi="Times New Roman" w:cs="Times New Roman"/>
          <w:sz w:val="24"/>
          <w:szCs w:val="24"/>
        </w:rPr>
        <w:t xml:space="preserve"> 67219546</w:t>
      </w:r>
    </w:p>
    <w:p w:rsidR="00894C55" w:rsidRPr="00494147" w:rsidRDefault="00486A19" w:rsidP="00494147">
      <w:pPr>
        <w:tabs>
          <w:tab w:val="left" w:pos="6237"/>
        </w:tabs>
        <w:spacing w:after="120" w:line="240" w:lineRule="auto"/>
        <w:rPr>
          <w:rFonts w:ascii="Times New Roman" w:hAnsi="Times New Roman" w:cs="Times New Roman"/>
          <w:sz w:val="24"/>
          <w:szCs w:val="24"/>
        </w:rPr>
      </w:pPr>
      <w:hyperlink r:id="rId10" w:history="1">
        <w:r w:rsidR="00AD393D" w:rsidRPr="00494147">
          <w:rPr>
            <w:rStyle w:val="Hyperlink"/>
            <w:rFonts w:ascii="Times New Roman" w:hAnsi="Times New Roman" w:cs="Times New Roman"/>
            <w:color w:val="auto"/>
            <w:sz w:val="24"/>
            <w:szCs w:val="24"/>
          </w:rPr>
          <w:t>ilze.briede@pmlp.gov.lv</w:t>
        </w:r>
      </w:hyperlink>
      <w:r w:rsidR="007269A7" w:rsidRPr="00494147">
        <w:rPr>
          <w:rFonts w:ascii="Times New Roman" w:hAnsi="Times New Roman" w:cs="Times New Roman"/>
          <w:sz w:val="24"/>
          <w:szCs w:val="24"/>
        </w:rPr>
        <w:t xml:space="preserve"> </w:t>
      </w:r>
    </w:p>
    <w:p w:rsidR="00AF5339" w:rsidRPr="00494147" w:rsidRDefault="00AF5339" w:rsidP="00494147">
      <w:pPr>
        <w:spacing w:after="120" w:line="240" w:lineRule="auto"/>
        <w:rPr>
          <w:rFonts w:ascii="Times New Roman" w:hAnsi="Times New Roman" w:cs="Times New Roman"/>
          <w:sz w:val="24"/>
          <w:szCs w:val="24"/>
        </w:rPr>
      </w:pPr>
      <w:proofErr w:type="spellStart"/>
      <w:r w:rsidRPr="00494147">
        <w:rPr>
          <w:rFonts w:ascii="Times New Roman" w:hAnsi="Times New Roman" w:cs="Times New Roman"/>
          <w:sz w:val="24"/>
          <w:szCs w:val="24"/>
        </w:rPr>
        <w:t>R.Brīvniece</w:t>
      </w:r>
      <w:proofErr w:type="spellEnd"/>
      <w:r w:rsidRPr="00494147">
        <w:rPr>
          <w:rFonts w:ascii="Times New Roman" w:hAnsi="Times New Roman" w:cs="Times New Roman"/>
          <w:sz w:val="24"/>
          <w:szCs w:val="24"/>
        </w:rPr>
        <w:t>, 67219453</w:t>
      </w:r>
    </w:p>
    <w:p w:rsidR="00AF5339" w:rsidRPr="00494147" w:rsidRDefault="00486A19" w:rsidP="00494147">
      <w:pPr>
        <w:spacing w:after="120" w:line="240" w:lineRule="auto"/>
        <w:rPr>
          <w:rStyle w:val="Hyperlink"/>
          <w:rFonts w:ascii="Times New Roman" w:hAnsi="Times New Roman" w:cs="Times New Roman"/>
          <w:color w:val="auto"/>
          <w:sz w:val="24"/>
          <w:szCs w:val="24"/>
        </w:rPr>
      </w:pPr>
      <w:hyperlink r:id="rId11" w:history="1">
        <w:r w:rsidR="00AF5339" w:rsidRPr="00494147">
          <w:rPr>
            <w:rStyle w:val="Hyperlink"/>
            <w:rFonts w:ascii="Times New Roman" w:hAnsi="Times New Roman" w:cs="Times New Roman"/>
            <w:color w:val="auto"/>
            <w:sz w:val="24"/>
            <w:szCs w:val="24"/>
          </w:rPr>
          <w:t>ramona.brivniece@pmlp.gov.lv</w:t>
        </w:r>
      </w:hyperlink>
      <w:r w:rsidR="00AF5339" w:rsidRPr="00494147">
        <w:rPr>
          <w:rStyle w:val="Hyperlink"/>
          <w:rFonts w:ascii="Times New Roman" w:hAnsi="Times New Roman" w:cs="Times New Roman"/>
          <w:color w:val="auto"/>
          <w:sz w:val="24"/>
          <w:szCs w:val="24"/>
        </w:rPr>
        <w:t xml:space="preserve">  </w:t>
      </w:r>
    </w:p>
    <w:sectPr w:rsidR="00AF5339" w:rsidRPr="00494147" w:rsidSect="00DC3095">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C42" w:rsidRDefault="00542C42" w:rsidP="00894C55">
      <w:pPr>
        <w:spacing w:after="0" w:line="240" w:lineRule="auto"/>
      </w:pPr>
      <w:r>
        <w:separator/>
      </w:r>
    </w:p>
  </w:endnote>
  <w:endnote w:type="continuationSeparator" w:id="0">
    <w:p w:rsidR="00542C42" w:rsidRDefault="00542C4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42" w:rsidRPr="004C6BE8" w:rsidRDefault="00542C42" w:rsidP="00FB5366">
    <w:pPr>
      <w:pStyle w:val="Footer"/>
      <w:jc w:val="both"/>
      <w:rPr>
        <w:rFonts w:ascii="Times New Roman" w:hAnsi="Times New Roman" w:cs="Times New Roman"/>
        <w:sz w:val="20"/>
        <w:szCs w:val="20"/>
      </w:rPr>
    </w:pPr>
    <w:r>
      <w:rPr>
        <w:rFonts w:ascii="Times New Roman" w:hAnsi="Times New Roman" w:cs="Times New Roman"/>
        <w:sz w:val="20"/>
        <w:szCs w:val="20"/>
      </w:rPr>
      <w:t xml:space="preserve">IEMAnot_090819; Ministru kabineta noteikumu projekta </w:t>
    </w:r>
    <w:r w:rsidRPr="004C6BE8">
      <w:rPr>
        <w:rFonts w:ascii="Times New Roman" w:hAnsi="Times New Roman" w:cs="Times New Roman"/>
        <w:sz w:val="20"/>
        <w:szCs w:val="20"/>
      </w:rPr>
      <w:t>“</w:t>
    </w:r>
    <w:r>
      <w:rPr>
        <w:rFonts w:ascii="Times New Roman" w:hAnsi="Times New Roman" w:cs="Times New Roman"/>
        <w:sz w:val="20"/>
        <w:szCs w:val="20"/>
      </w:rPr>
      <w:t>Grozījum</w:t>
    </w:r>
    <w:r w:rsidR="00486A19">
      <w:rPr>
        <w:rFonts w:ascii="Times New Roman" w:hAnsi="Times New Roman" w:cs="Times New Roman"/>
        <w:sz w:val="20"/>
        <w:szCs w:val="20"/>
      </w:rPr>
      <w:t>s</w:t>
    </w:r>
    <w:r>
      <w:rPr>
        <w:rFonts w:ascii="Times New Roman" w:hAnsi="Times New Roman" w:cs="Times New Roman"/>
        <w:sz w:val="20"/>
        <w:szCs w:val="20"/>
      </w:rPr>
      <w:t xml:space="preserve"> Ministru kabineta 2017.gada 12.septembra noteikumos Nr.557 “</w:t>
    </w:r>
    <w:r w:rsidRPr="004C6BE8">
      <w:rPr>
        <w:rFonts w:ascii="Times New Roman" w:hAnsi="Times New Roman" w:cs="Times New Roman"/>
        <w:sz w:val="20"/>
        <w:szCs w:val="20"/>
      </w:rPr>
      <w:t>Noteikumi par valsts nodevu par vīzas, uzturēšanās atļaujas vai Eiropas Savienības pastāvīgā iedzīvotāja statusa Latvijas Republikā pieprasīšanai nepieciešamo dokumentu izskatīšanu un ar to saistītajiem pakalpojumiem”</w:t>
    </w:r>
    <w:r>
      <w:rPr>
        <w:rFonts w:ascii="Times New Roman" w:hAnsi="Times New Roman" w:cs="Times New Roman"/>
        <w:sz w:val="20"/>
        <w:szCs w:val="20"/>
      </w:rPr>
      <w:t>” sākotnējās ietekmes novērtējuma ziņojums (anotācija)</w:t>
    </w:r>
  </w:p>
  <w:p w:rsidR="00542C42" w:rsidRPr="004C6BE8" w:rsidRDefault="00542C42" w:rsidP="004C6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42" w:rsidRPr="00C25B49" w:rsidRDefault="00542C42" w:rsidP="0079117A">
    <w:pPr>
      <w:pStyle w:val="Header"/>
      <w:jc w:val="center"/>
      <w:rPr>
        <w:rFonts w:ascii="Times New Roman" w:hAnsi="Times New Roman" w:cs="Times New Roman"/>
        <w:sz w:val="24"/>
        <w:szCs w:val="20"/>
      </w:rPr>
    </w:pPr>
  </w:p>
  <w:p w:rsidR="00542C42" w:rsidRDefault="00542C42" w:rsidP="0079117A"/>
  <w:p w:rsidR="00542C42" w:rsidRDefault="00542C42" w:rsidP="0079117A">
    <w:pPr>
      <w:pStyle w:val="Footer"/>
    </w:pPr>
  </w:p>
  <w:p w:rsidR="00542C42" w:rsidRPr="004C6BE8" w:rsidRDefault="00542C42" w:rsidP="00334A97">
    <w:pPr>
      <w:pStyle w:val="Footer"/>
      <w:jc w:val="both"/>
      <w:rPr>
        <w:rFonts w:ascii="Times New Roman" w:hAnsi="Times New Roman" w:cs="Times New Roman"/>
        <w:sz w:val="20"/>
        <w:szCs w:val="20"/>
      </w:rPr>
    </w:pPr>
    <w:r>
      <w:rPr>
        <w:rFonts w:ascii="Times New Roman" w:hAnsi="Times New Roman" w:cs="Times New Roman"/>
        <w:sz w:val="20"/>
        <w:szCs w:val="20"/>
      </w:rPr>
      <w:t xml:space="preserve">IEMAnot_090819; Ministru kabineta noteikumu projekta </w:t>
    </w:r>
    <w:r w:rsidRPr="004C6BE8">
      <w:rPr>
        <w:rFonts w:ascii="Times New Roman" w:hAnsi="Times New Roman" w:cs="Times New Roman"/>
        <w:sz w:val="20"/>
        <w:szCs w:val="20"/>
      </w:rPr>
      <w:t>“</w:t>
    </w:r>
    <w:r>
      <w:rPr>
        <w:rFonts w:ascii="Times New Roman" w:hAnsi="Times New Roman" w:cs="Times New Roman"/>
        <w:sz w:val="20"/>
        <w:szCs w:val="20"/>
      </w:rPr>
      <w:t>Grozījum</w:t>
    </w:r>
    <w:r w:rsidR="00486A19">
      <w:rPr>
        <w:rFonts w:ascii="Times New Roman" w:hAnsi="Times New Roman" w:cs="Times New Roman"/>
        <w:sz w:val="20"/>
        <w:szCs w:val="20"/>
      </w:rPr>
      <w:t>s</w:t>
    </w:r>
    <w:r>
      <w:rPr>
        <w:rFonts w:ascii="Times New Roman" w:hAnsi="Times New Roman" w:cs="Times New Roman"/>
        <w:sz w:val="20"/>
        <w:szCs w:val="20"/>
      </w:rPr>
      <w:t xml:space="preserve"> Ministru kabineta 2017.gada 12.septembra noteikumos Nr.557 “</w:t>
    </w:r>
    <w:r w:rsidRPr="004C6BE8">
      <w:rPr>
        <w:rFonts w:ascii="Times New Roman" w:hAnsi="Times New Roman" w:cs="Times New Roman"/>
        <w:sz w:val="20"/>
        <w:szCs w:val="20"/>
      </w:rPr>
      <w:t>Noteikumi par valsts nodevu par vīzas, uzturēšanās atļaujas vai Eiropas Savienības pastāvīgā iedzīvotāja statusa Latvijas Republikā pieprasīšanai nepieciešamo dokumentu izskatīšanu un ar to saistītajiem pakalpojumiem”</w:t>
    </w:r>
    <w:r>
      <w:rPr>
        <w:rFonts w:ascii="Times New Roman" w:hAnsi="Times New Roman" w:cs="Times New Roman"/>
        <w:sz w:val="20"/>
        <w:szCs w:val="20"/>
      </w:rPr>
      <w:t>” sākotnējās ietekmes novērtējuma ziņojums (anotācija)</w:t>
    </w:r>
  </w:p>
  <w:p w:rsidR="00542C42" w:rsidRPr="004C6BE8" w:rsidRDefault="00542C42" w:rsidP="00AC6221">
    <w:pPr>
      <w:pStyle w:val="Footer"/>
    </w:pPr>
  </w:p>
  <w:p w:rsidR="00542C42" w:rsidRDefault="00542C42" w:rsidP="007911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C42" w:rsidRDefault="00542C42" w:rsidP="00894C55">
      <w:pPr>
        <w:spacing w:after="0" w:line="240" w:lineRule="auto"/>
      </w:pPr>
      <w:r>
        <w:separator/>
      </w:r>
    </w:p>
  </w:footnote>
  <w:footnote w:type="continuationSeparator" w:id="0">
    <w:p w:rsidR="00542C42" w:rsidRDefault="00542C42"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rsidR="00542C42" w:rsidRPr="00C25B49" w:rsidRDefault="00542C4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86A19">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D292A"/>
    <w:multiLevelType w:val="hybridMultilevel"/>
    <w:tmpl w:val="F60831A8"/>
    <w:lvl w:ilvl="0" w:tplc="34BC8C9E">
      <w:start w:val="1"/>
      <w:numFmt w:val="decimal"/>
      <w:lvlText w:val="%1."/>
      <w:lvlJc w:val="left"/>
      <w:pPr>
        <w:ind w:left="440" w:hanging="360"/>
      </w:pPr>
      <w:rPr>
        <w:rFonts w:hint="default"/>
      </w:rPr>
    </w:lvl>
    <w:lvl w:ilvl="1" w:tplc="04260019" w:tentative="1">
      <w:start w:val="1"/>
      <w:numFmt w:val="lowerLetter"/>
      <w:lvlText w:val="%2."/>
      <w:lvlJc w:val="left"/>
      <w:pPr>
        <w:ind w:left="1160" w:hanging="360"/>
      </w:pPr>
    </w:lvl>
    <w:lvl w:ilvl="2" w:tplc="0426001B" w:tentative="1">
      <w:start w:val="1"/>
      <w:numFmt w:val="lowerRoman"/>
      <w:lvlText w:val="%3."/>
      <w:lvlJc w:val="right"/>
      <w:pPr>
        <w:ind w:left="1880" w:hanging="180"/>
      </w:pPr>
    </w:lvl>
    <w:lvl w:ilvl="3" w:tplc="0426000F" w:tentative="1">
      <w:start w:val="1"/>
      <w:numFmt w:val="decimal"/>
      <w:lvlText w:val="%4."/>
      <w:lvlJc w:val="left"/>
      <w:pPr>
        <w:ind w:left="2600" w:hanging="360"/>
      </w:pPr>
    </w:lvl>
    <w:lvl w:ilvl="4" w:tplc="04260019" w:tentative="1">
      <w:start w:val="1"/>
      <w:numFmt w:val="lowerLetter"/>
      <w:lvlText w:val="%5."/>
      <w:lvlJc w:val="left"/>
      <w:pPr>
        <w:ind w:left="3320" w:hanging="360"/>
      </w:pPr>
    </w:lvl>
    <w:lvl w:ilvl="5" w:tplc="0426001B" w:tentative="1">
      <w:start w:val="1"/>
      <w:numFmt w:val="lowerRoman"/>
      <w:lvlText w:val="%6."/>
      <w:lvlJc w:val="right"/>
      <w:pPr>
        <w:ind w:left="4040" w:hanging="180"/>
      </w:pPr>
    </w:lvl>
    <w:lvl w:ilvl="6" w:tplc="0426000F" w:tentative="1">
      <w:start w:val="1"/>
      <w:numFmt w:val="decimal"/>
      <w:lvlText w:val="%7."/>
      <w:lvlJc w:val="left"/>
      <w:pPr>
        <w:ind w:left="4760" w:hanging="360"/>
      </w:pPr>
    </w:lvl>
    <w:lvl w:ilvl="7" w:tplc="04260019" w:tentative="1">
      <w:start w:val="1"/>
      <w:numFmt w:val="lowerLetter"/>
      <w:lvlText w:val="%8."/>
      <w:lvlJc w:val="left"/>
      <w:pPr>
        <w:ind w:left="5480" w:hanging="360"/>
      </w:pPr>
    </w:lvl>
    <w:lvl w:ilvl="8" w:tplc="0426001B" w:tentative="1">
      <w:start w:val="1"/>
      <w:numFmt w:val="lowerRoman"/>
      <w:lvlText w:val="%9."/>
      <w:lvlJc w:val="right"/>
      <w:pPr>
        <w:ind w:left="6200" w:hanging="180"/>
      </w:pPr>
    </w:lvl>
  </w:abstractNum>
  <w:abstractNum w:abstractNumId="1" w15:restartNumberingAfterBreak="0">
    <w:nsid w:val="115822EB"/>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E91774"/>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E23BA7"/>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95142E"/>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C105CD"/>
    <w:multiLevelType w:val="hybridMultilevel"/>
    <w:tmpl w:val="5F5E2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A7C63"/>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8468DC"/>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2B6474"/>
    <w:multiLevelType w:val="hybridMultilevel"/>
    <w:tmpl w:val="05747920"/>
    <w:lvl w:ilvl="0" w:tplc="4DF0894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B92190"/>
    <w:multiLevelType w:val="hybridMultilevel"/>
    <w:tmpl w:val="113EE3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67709"/>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DB7B74"/>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A96625"/>
    <w:multiLevelType w:val="hybridMultilevel"/>
    <w:tmpl w:val="EDEE74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DE14FFC"/>
    <w:multiLevelType w:val="hybridMultilevel"/>
    <w:tmpl w:val="0108E8B8"/>
    <w:lvl w:ilvl="0" w:tplc="B074FB6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9F0CDE"/>
    <w:multiLevelType w:val="multilevel"/>
    <w:tmpl w:val="BA389098"/>
    <w:lvl w:ilvl="0">
      <w:start w:val="1"/>
      <w:numFmt w:val="decimal"/>
      <w:lvlText w:val="%1."/>
      <w:lvlJc w:val="left"/>
      <w:pPr>
        <w:ind w:left="540" w:hanging="540"/>
      </w:pPr>
      <w:rPr>
        <w:rFonts w:ascii="Times New Roman" w:eastAsia="Times New Roman" w:hAnsi="Times New Roman" w:cs="Times New Roman"/>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EC231D"/>
    <w:multiLevelType w:val="hybridMultilevel"/>
    <w:tmpl w:val="7B061578"/>
    <w:lvl w:ilvl="0" w:tplc="1490447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5"/>
  </w:num>
  <w:num w:numId="4">
    <w:abstractNumId w:val="8"/>
  </w:num>
  <w:num w:numId="5">
    <w:abstractNumId w:val="14"/>
  </w:num>
  <w:num w:numId="6">
    <w:abstractNumId w:val="12"/>
  </w:num>
  <w:num w:numId="7">
    <w:abstractNumId w:val="2"/>
  </w:num>
  <w:num w:numId="8">
    <w:abstractNumId w:val="4"/>
  </w:num>
  <w:num w:numId="9">
    <w:abstractNumId w:val="7"/>
  </w:num>
  <w:num w:numId="10">
    <w:abstractNumId w:val="6"/>
  </w:num>
  <w:num w:numId="11">
    <w:abstractNumId w:val="1"/>
  </w:num>
  <w:num w:numId="12">
    <w:abstractNumId w:val="10"/>
  </w:num>
  <w:num w:numId="13">
    <w:abstractNumId w:val="3"/>
  </w:num>
  <w:num w:numId="14">
    <w:abstractNumId w:val="1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712A"/>
    <w:rsid w:val="00033B27"/>
    <w:rsid w:val="00037A21"/>
    <w:rsid w:val="00046F66"/>
    <w:rsid w:val="00050038"/>
    <w:rsid w:val="00073DA7"/>
    <w:rsid w:val="000B7007"/>
    <w:rsid w:val="000C69EA"/>
    <w:rsid w:val="000D4FBF"/>
    <w:rsid w:val="000E1B70"/>
    <w:rsid w:val="00110E66"/>
    <w:rsid w:val="0014470A"/>
    <w:rsid w:val="00144D6F"/>
    <w:rsid w:val="0015287F"/>
    <w:rsid w:val="00157C96"/>
    <w:rsid w:val="001857EE"/>
    <w:rsid w:val="001A107B"/>
    <w:rsid w:val="001D2008"/>
    <w:rsid w:val="001D6E35"/>
    <w:rsid w:val="001E1183"/>
    <w:rsid w:val="001E4E8A"/>
    <w:rsid w:val="001E78CC"/>
    <w:rsid w:val="001E7A43"/>
    <w:rsid w:val="001E7D06"/>
    <w:rsid w:val="001F7E31"/>
    <w:rsid w:val="00216525"/>
    <w:rsid w:val="00243426"/>
    <w:rsid w:val="00251D5F"/>
    <w:rsid w:val="002531C5"/>
    <w:rsid w:val="00256D99"/>
    <w:rsid w:val="00265CFE"/>
    <w:rsid w:val="0028235D"/>
    <w:rsid w:val="002B1A5D"/>
    <w:rsid w:val="002C0C9D"/>
    <w:rsid w:val="002D15C0"/>
    <w:rsid w:val="002E6DCE"/>
    <w:rsid w:val="002F2949"/>
    <w:rsid w:val="002F650B"/>
    <w:rsid w:val="00300795"/>
    <w:rsid w:val="003035C6"/>
    <w:rsid w:val="00305A98"/>
    <w:rsid w:val="0031214D"/>
    <w:rsid w:val="0031467B"/>
    <w:rsid w:val="00323D18"/>
    <w:rsid w:val="00333A4A"/>
    <w:rsid w:val="00334A97"/>
    <w:rsid w:val="003413CD"/>
    <w:rsid w:val="00350079"/>
    <w:rsid w:val="003503A3"/>
    <w:rsid w:val="0035246C"/>
    <w:rsid w:val="00352902"/>
    <w:rsid w:val="00352FD7"/>
    <w:rsid w:val="00360253"/>
    <w:rsid w:val="003756CC"/>
    <w:rsid w:val="003A0311"/>
    <w:rsid w:val="003A45F3"/>
    <w:rsid w:val="003A5B98"/>
    <w:rsid w:val="003B0BF9"/>
    <w:rsid w:val="003C43DD"/>
    <w:rsid w:val="003E0791"/>
    <w:rsid w:val="003E6F6D"/>
    <w:rsid w:val="003F28AC"/>
    <w:rsid w:val="00430471"/>
    <w:rsid w:val="004332DD"/>
    <w:rsid w:val="004367DD"/>
    <w:rsid w:val="00437D61"/>
    <w:rsid w:val="00442299"/>
    <w:rsid w:val="004454FE"/>
    <w:rsid w:val="00462B0C"/>
    <w:rsid w:val="00463763"/>
    <w:rsid w:val="00467FF7"/>
    <w:rsid w:val="00471F27"/>
    <w:rsid w:val="004725C3"/>
    <w:rsid w:val="004850D3"/>
    <w:rsid w:val="00486A19"/>
    <w:rsid w:val="00494147"/>
    <w:rsid w:val="004A03F7"/>
    <w:rsid w:val="004A2EE9"/>
    <w:rsid w:val="004A3478"/>
    <w:rsid w:val="004A375E"/>
    <w:rsid w:val="004A675C"/>
    <w:rsid w:val="004B1613"/>
    <w:rsid w:val="004B55C5"/>
    <w:rsid w:val="004C0414"/>
    <w:rsid w:val="004C6BE8"/>
    <w:rsid w:val="004D1975"/>
    <w:rsid w:val="004E0DA5"/>
    <w:rsid w:val="004F407B"/>
    <w:rsid w:val="0050178F"/>
    <w:rsid w:val="00502D04"/>
    <w:rsid w:val="0052088E"/>
    <w:rsid w:val="00542C42"/>
    <w:rsid w:val="00551FAA"/>
    <w:rsid w:val="00562123"/>
    <w:rsid w:val="00577B08"/>
    <w:rsid w:val="00595E2C"/>
    <w:rsid w:val="005B07A4"/>
    <w:rsid w:val="005F4CC4"/>
    <w:rsid w:val="00602C9E"/>
    <w:rsid w:val="00605ACA"/>
    <w:rsid w:val="006166A7"/>
    <w:rsid w:val="006167E1"/>
    <w:rsid w:val="00627B72"/>
    <w:rsid w:val="00644DA0"/>
    <w:rsid w:val="006460BA"/>
    <w:rsid w:val="00647AF2"/>
    <w:rsid w:val="00652BAE"/>
    <w:rsid w:val="00652FF6"/>
    <w:rsid w:val="00675144"/>
    <w:rsid w:val="006769AC"/>
    <w:rsid w:val="0068456D"/>
    <w:rsid w:val="006A0ED8"/>
    <w:rsid w:val="006D6C04"/>
    <w:rsid w:val="006E1081"/>
    <w:rsid w:val="006F3D64"/>
    <w:rsid w:val="00710D85"/>
    <w:rsid w:val="007134C6"/>
    <w:rsid w:val="007143E5"/>
    <w:rsid w:val="0071613D"/>
    <w:rsid w:val="00720585"/>
    <w:rsid w:val="0072644E"/>
    <w:rsid w:val="007269A7"/>
    <w:rsid w:val="0074548A"/>
    <w:rsid w:val="00761845"/>
    <w:rsid w:val="007723B9"/>
    <w:rsid w:val="00773AF6"/>
    <w:rsid w:val="00775C83"/>
    <w:rsid w:val="007763D9"/>
    <w:rsid w:val="00777FB9"/>
    <w:rsid w:val="0078069B"/>
    <w:rsid w:val="0079099E"/>
    <w:rsid w:val="0079117A"/>
    <w:rsid w:val="00793660"/>
    <w:rsid w:val="00795142"/>
    <w:rsid w:val="00795F71"/>
    <w:rsid w:val="007B6C37"/>
    <w:rsid w:val="007C2B94"/>
    <w:rsid w:val="007E7350"/>
    <w:rsid w:val="007E73AB"/>
    <w:rsid w:val="007F2694"/>
    <w:rsid w:val="007F6998"/>
    <w:rsid w:val="007F6DE1"/>
    <w:rsid w:val="00814586"/>
    <w:rsid w:val="00816C11"/>
    <w:rsid w:val="00823583"/>
    <w:rsid w:val="00823592"/>
    <w:rsid w:val="00824EEB"/>
    <w:rsid w:val="00825368"/>
    <w:rsid w:val="00836D25"/>
    <w:rsid w:val="0085792F"/>
    <w:rsid w:val="00861304"/>
    <w:rsid w:val="00870BD5"/>
    <w:rsid w:val="00891E07"/>
    <w:rsid w:val="0089225E"/>
    <w:rsid w:val="008941B9"/>
    <w:rsid w:val="00894C55"/>
    <w:rsid w:val="008A02C1"/>
    <w:rsid w:val="008B7036"/>
    <w:rsid w:val="008C5A1F"/>
    <w:rsid w:val="008D0B80"/>
    <w:rsid w:val="008D2343"/>
    <w:rsid w:val="00900744"/>
    <w:rsid w:val="00913C3E"/>
    <w:rsid w:val="00964D86"/>
    <w:rsid w:val="00972C73"/>
    <w:rsid w:val="00976AFE"/>
    <w:rsid w:val="0098523A"/>
    <w:rsid w:val="009A08CC"/>
    <w:rsid w:val="009A2654"/>
    <w:rsid w:val="009C1748"/>
    <w:rsid w:val="009C7377"/>
    <w:rsid w:val="009D02DA"/>
    <w:rsid w:val="009D3E72"/>
    <w:rsid w:val="009D5F0D"/>
    <w:rsid w:val="009F3856"/>
    <w:rsid w:val="00A06EAA"/>
    <w:rsid w:val="00A15CDD"/>
    <w:rsid w:val="00A16C10"/>
    <w:rsid w:val="00A25BB6"/>
    <w:rsid w:val="00A470E2"/>
    <w:rsid w:val="00A47151"/>
    <w:rsid w:val="00A6073E"/>
    <w:rsid w:val="00A6365D"/>
    <w:rsid w:val="00A65D2B"/>
    <w:rsid w:val="00A81CFB"/>
    <w:rsid w:val="00A84B74"/>
    <w:rsid w:val="00A862DA"/>
    <w:rsid w:val="00A959DA"/>
    <w:rsid w:val="00AB6B62"/>
    <w:rsid w:val="00AC0452"/>
    <w:rsid w:val="00AC6221"/>
    <w:rsid w:val="00AC7F19"/>
    <w:rsid w:val="00AD393D"/>
    <w:rsid w:val="00AE0E49"/>
    <w:rsid w:val="00AE0FCA"/>
    <w:rsid w:val="00AE5567"/>
    <w:rsid w:val="00AF5339"/>
    <w:rsid w:val="00AF7982"/>
    <w:rsid w:val="00B1019C"/>
    <w:rsid w:val="00B11606"/>
    <w:rsid w:val="00B11C9F"/>
    <w:rsid w:val="00B1255B"/>
    <w:rsid w:val="00B12CC2"/>
    <w:rsid w:val="00B2165C"/>
    <w:rsid w:val="00B2402A"/>
    <w:rsid w:val="00B26C7B"/>
    <w:rsid w:val="00B37ACC"/>
    <w:rsid w:val="00B500DD"/>
    <w:rsid w:val="00B61D4A"/>
    <w:rsid w:val="00BA0593"/>
    <w:rsid w:val="00BA20AA"/>
    <w:rsid w:val="00BB7BEB"/>
    <w:rsid w:val="00BC4F84"/>
    <w:rsid w:val="00BD4425"/>
    <w:rsid w:val="00BF36A2"/>
    <w:rsid w:val="00BF5839"/>
    <w:rsid w:val="00BF711F"/>
    <w:rsid w:val="00C03D1F"/>
    <w:rsid w:val="00C25B49"/>
    <w:rsid w:val="00C314E1"/>
    <w:rsid w:val="00C52CC3"/>
    <w:rsid w:val="00C57D73"/>
    <w:rsid w:val="00C63DA4"/>
    <w:rsid w:val="00C74771"/>
    <w:rsid w:val="00C75099"/>
    <w:rsid w:val="00C91A1E"/>
    <w:rsid w:val="00C93F94"/>
    <w:rsid w:val="00CA0048"/>
    <w:rsid w:val="00CA0C91"/>
    <w:rsid w:val="00CA338A"/>
    <w:rsid w:val="00CA77B8"/>
    <w:rsid w:val="00CE4478"/>
    <w:rsid w:val="00CE5657"/>
    <w:rsid w:val="00CF0F6A"/>
    <w:rsid w:val="00CF1BCD"/>
    <w:rsid w:val="00CF592C"/>
    <w:rsid w:val="00D128C2"/>
    <w:rsid w:val="00D133F8"/>
    <w:rsid w:val="00D13C0E"/>
    <w:rsid w:val="00D17EC1"/>
    <w:rsid w:val="00D20355"/>
    <w:rsid w:val="00D232BA"/>
    <w:rsid w:val="00D404A3"/>
    <w:rsid w:val="00D55BBA"/>
    <w:rsid w:val="00D75E25"/>
    <w:rsid w:val="00D80842"/>
    <w:rsid w:val="00D8242B"/>
    <w:rsid w:val="00D86748"/>
    <w:rsid w:val="00D947D5"/>
    <w:rsid w:val="00DA0208"/>
    <w:rsid w:val="00DA328A"/>
    <w:rsid w:val="00DA6F6B"/>
    <w:rsid w:val="00DB1523"/>
    <w:rsid w:val="00DB16B0"/>
    <w:rsid w:val="00DC3095"/>
    <w:rsid w:val="00DD13E3"/>
    <w:rsid w:val="00DD2F79"/>
    <w:rsid w:val="00DF3042"/>
    <w:rsid w:val="00E06192"/>
    <w:rsid w:val="00E072DC"/>
    <w:rsid w:val="00E1266F"/>
    <w:rsid w:val="00E17DC1"/>
    <w:rsid w:val="00E34B4A"/>
    <w:rsid w:val="00E35A6E"/>
    <w:rsid w:val="00E3716B"/>
    <w:rsid w:val="00E52222"/>
    <w:rsid w:val="00E533C0"/>
    <w:rsid w:val="00E67474"/>
    <w:rsid w:val="00E90C01"/>
    <w:rsid w:val="00EA3AFB"/>
    <w:rsid w:val="00EA486E"/>
    <w:rsid w:val="00EB1739"/>
    <w:rsid w:val="00EB3FA1"/>
    <w:rsid w:val="00ED2840"/>
    <w:rsid w:val="00ED57F1"/>
    <w:rsid w:val="00EE5ACB"/>
    <w:rsid w:val="00EF1F72"/>
    <w:rsid w:val="00F00727"/>
    <w:rsid w:val="00F05C2D"/>
    <w:rsid w:val="00F1042F"/>
    <w:rsid w:val="00F15358"/>
    <w:rsid w:val="00F203BF"/>
    <w:rsid w:val="00F23036"/>
    <w:rsid w:val="00F36DDD"/>
    <w:rsid w:val="00F57B0C"/>
    <w:rsid w:val="00F64063"/>
    <w:rsid w:val="00F71E82"/>
    <w:rsid w:val="00F9064D"/>
    <w:rsid w:val="00F90B90"/>
    <w:rsid w:val="00F91DAF"/>
    <w:rsid w:val="00FA7925"/>
    <w:rsid w:val="00FB2FD2"/>
    <w:rsid w:val="00FB5366"/>
    <w:rsid w:val="00FB6749"/>
    <w:rsid w:val="00FC61B5"/>
    <w:rsid w:val="00FD3099"/>
    <w:rsid w:val="00FD4433"/>
    <w:rsid w:val="00FD57A2"/>
    <w:rsid w:val="00FD6AB1"/>
    <w:rsid w:val="00FE6554"/>
    <w:rsid w:val="00FF00B0"/>
    <w:rsid w:val="00FF6A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30C68660-A673-4ACC-82EE-CEADCAF0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Strong">
    <w:name w:val="Strong"/>
    <w:basedOn w:val="DefaultParagraphFont"/>
    <w:uiPriority w:val="22"/>
    <w:qFormat/>
    <w:rsid w:val="00DA6F6B"/>
    <w:rPr>
      <w:b/>
      <w:bCs/>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4C6BE8"/>
    <w:pPr>
      <w:ind w:left="720"/>
      <w:contextualSpacing/>
    </w:pPr>
  </w:style>
  <w:style w:type="character" w:styleId="CommentReference">
    <w:name w:val="annotation reference"/>
    <w:basedOn w:val="DefaultParagraphFont"/>
    <w:uiPriority w:val="99"/>
    <w:semiHidden/>
    <w:unhideWhenUsed/>
    <w:rsid w:val="00EB1739"/>
    <w:rPr>
      <w:sz w:val="16"/>
      <w:szCs w:val="16"/>
    </w:rPr>
  </w:style>
  <w:style w:type="paragraph" w:styleId="CommentText">
    <w:name w:val="annotation text"/>
    <w:basedOn w:val="Normal"/>
    <w:link w:val="CommentTextChar"/>
    <w:uiPriority w:val="99"/>
    <w:semiHidden/>
    <w:unhideWhenUsed/>
    <w:rsid w:val="00EB1739"/>
    <w:pPr>
      <w:spacing w:line="240" w:lineRule="auto"/>
    </w:pPr>
    <w:rPr>
      <w:sz w:val="20"/>
      <w:szCs w:val="20"/>
    </w:rPr>
  </w:style>
  <w:style w:type="character" w:customStyle="1" w:styleId="CommentTextChar">
    <w:name w:val="Comment Text Char"/>
    <w:basedOn w:val="DefaultParagraphFont"/>
    <w:link w:val="CommentText"/>
    <w:uiPriority w:val="99"/>
    <w:semiHidden/>
    <w:rsid w:val="00EB1739"/>
    <w:rPr>
      <w:sz w:val="20"/>
      <w:szCs w:val="20"/>
    </w:rPr>
  </w:style>
  <w:style w:type="paragraph" w:styleId="CommentSubject">
    <w:name w:val="annotation subject"/>
    <w:basedOn w:val="CommentText"/>
    <w:next w:val="CommentText"/>
    <w:link w:val="CommentSubjectChar"/>
    <w:uiPriority w:val="99"/>
    <w:semiHidden/>
    <w:unhideWhenUsed/>
    <w:rsid w:val="00EB1739"/>
    <w:rPr>
      <w:b/>
      <w:bCs/>
    </w:rPr>
  </w:style>
  <w:style w:type="character" w:customStyle="1" w:styleId="CommentSubjectChar">
    <w:name w:val="Comment Subject Char"/>
    <w:basedOn w:val="CommentTextChar"/>
    <w:link w:val="CommentSubject"/>
    <w:uiPriority w:val="99"/>
    <w:semiHidden/>
    <w:rsid w:val="00EB1739"/>
    <w:rPr>
      <w:b/>
      <w:bCs/>
      <w:sz w:val="20"/>
      <w:szCs w:val="20"/>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9D02DA"/>
  </w:style>
  <w:style w:type="paragraph" w:customStyle="1" w:styleId="labojumupamats1">
    <w:name w:val="labojumu_pamats1"/>
    <w:basedOn w:val="Normal"/>
    <w:rsid w:val="00462B0C"/>
    <w:pPr>
      <w:spacing w:before="45" w:after="0" w:line="360" w:lineRule="auto"/>
      <w:ind w:firstLine="300"/>
    </w:pPr>
    <w:rPr>
      <w:rFonts w:ascii="Times New Roman" w:eastAsia="Times New Roman" w:hAnsi="Times New Roman" w:cs="Times New Roman"/>
      <w:i/>
      <w:iCs/>
      <w:color w:val="414142"/>
      <w:sz w:val="20"/>
      <w:szCs w:val="20"/>
      <w:lang w:eastAsia="lv-LV"/>
    </w:rPr>
  </w:style>
  <w:style w:type="paragraph" w:styleId="NoSpacing">
    <w:name w:val="No Spacing"/>
    <w:uiPriority w:val="1"/>
    <w:qFormat/>
    <w:rsid w:val="00462B0C"/>
    <w:pPr>
      <w:spacing w:after="0" w:line="240" w:lineRule="auto"/>
    </w:pPr>
  </w:style>
  <w:style w:type="paragraph" w:customStyle="1" w:styleId="naiskr">
    <w:name w:val="naiskr"/>
    <w:basedOn w:val="Normal"/>
    <w:rsid w:val="004B55C5"/>
    <w:pPr>
      <w:spacing w:before="75" w:after="75"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246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9A08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616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7E1"/>
    <w:rPr>
      <w:sz w:val="20"/>
      <w:szCs w:val="20"/>
    </w:rPr>
  </w:style>
  <w:style w:type="character" w:styleId="FootnoteReference">
    <w:name w:val="footnote reference"/>
    <w:basedOn w:val="DefaultParagraphFont"/>
    <w:uiPriority w:val="99"/>
    <w:semiHidden/>
    <w:unhideWhenUsed/>
    <w:rsid w:val="006167E1"/>
    <w:rPr>
      <w:vertAlign w:val="superscript"/>
    </w:rPr>
  </w:style>
  <w:style w:type="table" w:styleId="TableGrid">
    <w:name w:val="Table Grid"/>
    <w:basedOn w:val="TableNormal"/>
    <w:uiPriority w:val="39"/>
    <w:rsid w:val="009C73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427774206">
      <w:bodyDiv w:val="1"/>
      <w:marLeft w:val="0"/>
      <w:marRight w:val="0"/>
      <w:marTop w:val="0"/>
      <w:marBottom w:val="0"/>
      <w:divBdr>
        <w:top w:val="none" w:sz="0" w:space="0" w:color="auto"/>
        <w:left w:val="none" w:sz="0" w:space="0" w:color="auto"/>
        <w:bottom w:val="none" w:sz="0" w:space="0" w:color="auto"/>
        <w:right w:val="none" w:sz="0" w:space="0" w:color="auto"/>
      </w:divBdr>
    </w:div>
    <w:div w:id="479150037">
      <w:bodyDiv w:val="1"/>
      <w:marLeft w:val="0"/>
      <w:marRight w:val="0"/>
      <w:marTop w:val="0"/>
      <w:marBottom w:val="0"/>
      <w:divBdr>
        <w:top w:val="none" w:sz="0" w:space="0" w:color="auto"/>
        <w:left w:val="none" w:sz="0" w:space="0" w:color="auto"/>
        <w:bottom w:val="none" w:sz="0" w:space="0" w:color="auto"/>
        <w:right w:val="none" w:sz="0" w:space="0" w:color="auto"/>
      </w:divBdr>
    </w:div>
    <w:div w:id="566111122">
      <w:bodyDiv w:val="1"/>
      <w:marLeft w:val="0"/>
      <w:marRight w:val="0"/>
      <w:marTop w:val="0"/>
      <w:marBottom w:val="0"/>
      <w:divBdr>
        <w:top w:val="none" w:sz="0" w:space="0" w:color="auto"/>
        <w:left w:val="none" w:sz="0" w:space="0" w:color="auto"/>
        <w:bottom w:val="none" w:sz="0" w:space="0" w:color="auto"/>
        <w:right w:val="none" w:sz="0" w:space="0" w:color="auto"/>
      </w:divBdr>
    </w:div>
    <w:div w:id="19968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ona.brivniece@pml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ze.briede@pmlp.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67F3-4579-4B1A-87DE-B3BBB873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11587</Words>
  <Characters>6606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67012345, vards.uzvards@mk.gov.lv</dc:description>
  <cp:lastModifiedBy>Ilze Briede</cp:lastModifiedBy>
  <cp:revision>7</cp:revision>
  <cp:lastPrinted>2017-06-29T12:07:00Z</cp:lastPrinted>
  <dcterms:created xsi:type="dcterms:W3CDTF">2019-08-07T11:19:00Z</dcterms:created>
  <dcterms:modified xsi:type="dcterms:W3CDTF">2019-08-09T11:46:00Z</dcterms:modified>
</cp:coreProperties>
</file>