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33A" w:rsidRPr="00D169D0" w:rsidRDefault="00BD2745" w:rsidP="0053133A">
      <w:pPr>
        <w:pStyle w:val="Heading1"/>
        <w:ind w:left="1800"/>
        <w:jc w:val="left"/>
      </w:pPr>
      <w:bookmarkStart w:id="0" w:name="_Toc358284824"/>
      <w:bookmarkStart w:id="1" w:name="_Toc329938577"/>
      <w:bookmarkStart w:id="2" w:name="_Toc345689000"/>
      <w:r w:rsidRPr="000E2220">
        <w:rPr>
          <w:b w:val="0"/>
          <w:lang w:val="lv-LV"/>
        </w:rPr>
        <w:t>2.pielikums.</w:t>
      </w:r>
      <w:r>
        <w:rPr>
          <w:lang w:val="lv-LV"/>
        </w:rPr>
        <w:t xml:space="preserve"> </w:t>
      </w:r>
      <w:r w:rsidR="0053133A" w:rsidRPr="00D169D0">
        <w:t>POLITIKAS REZULTĀTI, DARBĪBAS REZULTĀTI UN REZULTATĪVIE RĀDĪTĀJI TO SASNIEGŠANAI</w:t>
      </w:r>
      <w:bookmarkEnd w:id="0"/>
    </w:p>
    <w:p w:rsidR="0053133A" w:rsidRDefault="0053133A" w:rsidP="0053133A">
      <w:pPr>
        <w:spacing w:after="0" w:line="240" w:lineRule="auto"/>
        <w:jc w:val="center"/>
        <w:rPr>
          <w:rFonts w:ascii="Times New Roman" w:hAnsi="Times New Roman"/>
          <w:b/>
          <w:bCs/>
          <w:sz w:val="24"/>
          <w:szCs w:val="24"/>
        </w:rPr>
      </w:pPr>
      <w:bookmarkStart w:id="3" w:name="313131"/>
      <w:bookmarkEnd w:id="1"/>
      <w:bookmarkEnd w:id="2"/>
      <w:bookmarkEnd w:id="3"/>
      <w:r w:rsidRPr="00D169D0">
        <w:rPr>
          <w:rFonts w:ascii="Times New Roman" w:hAnsi="Times New Roman"/>
          <w:b/>
          <w:bCs/>
          <w:sz w:val="24"/>
          <w:szCs w:val="24"/>
        </w:rPr>
        <w:t>Mērķu un rezultātu, to rezultatīvo rādītāju hierarhija</w:t>
      </w:r>
    </w:p>
    <w:p w:rsidR="00BF47C8" w:rsidRPr="00BF47C8" w:rsidRDefault="00BF47C8" w:rsidP="00BF47C8">
      <w:pPr>
        <w:spacing w:after="0" w:line="240" w:lineRule="auto"/>
        <w:jc w:val="both"/>
        <w:rPr>
          <w:rFonts w:ascii="Times New Roman" w:hAnsi="Times New Roman"/>
          <w:bCs/>
          <w:sz w:val="24"/>
          <w:szCs w:val="24"/>
        </w:rPr>
      </w:pPr>
    </w:p>
    <w:p w:rsidR="00BF47C8" w:rsidRDefault="00B11DFD" w:rsidP="00B11DFD">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Politikas un darbības rezultatīvo rādītāju aprēķins veikts saskaņā ar pamatnostādņu rezultatīvo rādītāju pasi. Vienlaikus jāvērš uzmanība, ka pamatnostādņu sadaļas “II. Politikas rezultāti, darbības rezultāti un rezultatīvie rādītāji to sasniegšanai” tabulā nav pareizi norādīts vidusposma izvērtējums gads – </w:t>
      </w:r>
      <w:proofErr w:type="gramStart"/>
      <w:r>
        <w:rPr>
          <w:rFonts w:ascii="Times New Roman" w:hAnsi="Times New Roman"/>
          <w:bCs/>
          <w:sz w:val="24"/>
          <w:szCs w:val="24"/>
        </w:rPr>
        <w:t>“2017.gads</w:t>
      </w:r>
      <w:proofErr w:type="gramEnd"/>
      <w:r>
        <w:rPr>
          <w:rFonts w:ascii="Times New Roman" w:hAnsi="Times New Roman"/>
          <w:bCs/>
          <w:sz w:val="24"/>
          <w:szCs w:val="24"/>
        </w:rPr>
        <w:t>” vietā jābūt “2016.gads”, ņemot vērā, ka 2017.gada rezultāti tiek apkopoti tikai 2018.gadā, savukārt informatīvais ziņojums par pamatnostādņu vidusposma izvērtējumu iesniedzams Ministru kabinetā līdz 2017.gada 30.decembrim.</w:t>
      </w:r>
    </w:p>
    <w:p w:rsidR="00983488" w:rsidRDefault="00983488" w:rsidP="00B11DFD">
      <w:pPr>
        <w:spacing w:after="0" w:line="240" w:lineRule="auto"/>
        <w:ind w:firstLine="720"/>
        <w:jc w:val="both"/>
        <w:rPr>
          <w:rFonts w:ascii="Times New Roman" w:hAnsi="Times New Roman"/>
          <w:bCs/>
          <w:sz w:val="24"/>
          <w:szCs w:val="24"/>
        </w:rPr>
      </w:pPr>
      <w:r w:rsidRPr="00983488">
        <w:rPr>
          <w:rFonts w:ascii="Times New Roman" w:hAnsi="Times New Roman"/>
          <w:bCs/>
          <w:sz w:val="24"/>
          <w:szCs w:val="24"/>
        </w:rPr>
        <w:t xml:space="preserve">Vienlaikus jāvērš </w:t>
      </w:r>
      <w:proofErr w:type="gramStart"/>
      <w:r w:rsidRPr="00983488">
        <w:rPr>
          <w:rFonts w:ascii="Times New Roman" w:hAnsi="Times New Roman"/>
          <w:bCs/>
          <w:sz w:val="24"/>
          <w:szCs w:val="24"/>
        </w:rPr>
        <w:t>uzmanību</w:t>
      </w:r>
      <w:proofErr w:type="gramEnd"/>
      <w:r w:rsidRPr="00983488">
        <w:rPr>
          <w:rFonts w:ascii="Times New Roman" w:hAnsi="Times New Roman"/>
          <w:bCs/>
          <w:sz w:val="24"/>
          <w:szCs w:val="24"/>
        </w:rPr>
        <w:t>, ka pamatnostādnēs noteiktie darbības radītāji raksturo izpildes līmeni daļai no rīcības plānā iekļautajiem uzdevumiem, līdz ar to plāna ieviešanas efektivitāte šajā tabulā atspoguļota daļēji. Detalizēta visu uzdevumu izpildes gaitas analīze iekļauta informatīvā ziņojuma 2.pielikumā.</w:t>
      </w:r>
    </w:p>
    <w:p w:rsidR="0069299B" w:rsidRDefault="0069299B" w:rsidP="00B11DFD">
      <w:pPr>
        <w:spacing w:after="0" w:line="240" w:lineRule="auto"/>
        <w:ind w:firstLine="720"/>
        <w:jc w:val="both"/>
        <w:rPr>
          <w:rFonts w:ascii="Times New Roman" w:hAnsi="Times New Roman"/>
          <w:bCs/>
          <w:sz w:val="24"/>
          <w:szCs w:val="24"/>
        </w:rPr>
      </w:pPr>
    </w:p>
    <w:p w:rsidR="0069299B" w:rsidRPr="00983488" w:rsidRDefault="0069299B" w:rsidP="0069299B">
      <w:pPr>
        <w:ind w:firstLine="720"/>
        <w:jc w:val="both"/>
        <w:rPr>
          <w:rFonts w:ascii="Times New Roman" w:hAnsi="Times New Roman"/>
          <w:sz w:val="24"/>
          <w:szCs w:val="24"/>
        </w:rPr>
      </w:pPr>
      <w:r w:rsidRPr="00983488">
        <w:rPr>
          <w:rFonts w:ascii="Times New Roman" w:hAnsi="Times New Roman"/>
          <w:sz w:val="24"/>
          <w:szCs w:val="24"/>
        </w:rPr>
        <w:t>Lai pārskatāmi atspoguļotu prognozēto un sasniegto rezultatīvo rādītāju vērtējumu, tika izstrādāti apzīmēj</w:t>
      </w:r>
      <w:r w:rsidR="00983488">
        <w:rPr>
          <w:rFonts w:ascii="Times New Roman" w:hAnsi="Times New Roman"/>
          <w:sz w:val="24"/>
          <w:szCs w:val="24"/>
        </w:rPr>
        <w:t xml:space="preserve">umi, kuru skaidrojumi iekļauti </w:t>
      </w:r>
      <w:r w:rsidR="00BD2745" w:rsidRPr="00BD2745">
        <w:rPr>
          <w:rFonts w:ascii="Times New Roman" w:hAnsi="Times New Roman"/>
          <w:sz w:val="24"/>
          <w:szCs w:val="24"/>
        </w:rPr>
        <w:t>1.</w:t>
      </w:r>
      <w:r w:rsidR="00983488" w:rsidRPr="00BD2745">
        <w:rPr>
          <w:rFonts w:ascii="Times New Roman" w:hAnsi="Times New Roman"/>
          <w:sz w:val="24"/>
          <w:szCs w:val="24"/>
        </w:rPr>
        <w:t>tabulā.</w:t>
      </w:r>
    </w:p>
    <w:tbl>
      <w:tblPr>
        <w:tblStyle w:val="TableGrid"/>
        <w:tblpPr w:leftFromText="180" w:rightFromText="180" w:vertAnchor="text" w:horzAnchor="margin" w:tblpY="459"/>
        <w:tblOverlap w:val="never"/>
        <w:tblW w:w="14596" w:type="dxa"/>
        <w:tblLook w:val="00A0" w:firstRow="1" w:lastRow="0" w:firstColumn="1" w:lastColumn="0" w:noHBand="0" w:noVBand="0"/>
      </w:tblPr>
      <w:tblGrid>
        <w:gridCol w:w="3681"/>
        <w:gridCol w:w="850"/>
        <w:gridCol w:w="4962"/>
        <w:gridCol w:w="5103"/>
      </w:tblGrid>
      <w:tr w:rsidR="00983488" w:rsidRPr="00CE49EA" w:rsidTr="00613A86">
        <w:tc>
          <w:tcPr>
            <w:tcW w:w="3681" w:type="dxa"/>
          </w:tcPr>
          <w:p w:rsidR="00983488" w:rsidRPr="00613A86" w:rsidRDefault="00983488" w:rsidP="00983488">
            <w:pPr>
              <w:rPr>
                <w:rFonts w:ascii="Times New Roman" w:hAnsi="Times New Roman"/>
                <w:b/>
                <w:sz w:val="24"/>
                <w:szCs w:val="24"/>
                <w:lang w:val="lv-LV"/>
              </w:rPr>
            </w:pPr>
            <w:r w:rsidRPr="00613A86">
              <w:rPr>
                <w:rFonts w:ascii="Times New Roman" w:hAnsi="Times New Roman"/>
                <w:b/>
                <w:sz w:val="24"/>
                <w:szCs w:val="24"/>
                <w:lang w:val="lv-LV"/>
              </w:rPr>
              <w:t>Rezultāts sasniegts</w:t>
            </w:r>
          </w:p>
        </w:tc>
        <w:tc>
          <w:tcPr>
            <w:tcW w:w="850" w:type="dxa"/>
            <w:vAlign w:val="bottom"/>
          </w:tcPr>
          <w:p w:rsidR="00983488" w:rsidRPr="00C56E1B" w:rsidRDefault="00983488" w:rsidP="00983488">
            <w:pPr>
              <w:jc w:val="center"/>
              <w:rPr>
                <w:rFonts w:ascii="Times New Roman" w:hAnsi="Times New Roman"/>
                <w:b/>
                <w:color w:val="8496B0" w:themeColor="text2" w:themeTint="99"/>
                <w:sz w:val="24"/>
                <w:szCs w:val="24"/>
                <w:lang w:val="lv-LV"/>
              </w:rPr>
            </w:pPr>
            <w:r w:rsidRPr="00C56E1B">
              <w:rPr>
                <w:rFonts w:ascii="Times New Roman" w:hAnsi="Times New Roman"/>
                <w:b/>
                <w:color w:val="8496B0" w:themeColor="text2" w:themeTint="99"/>
                <w:sz w:val="24"/>
                <w:szCs w:val="24"/>
                <w:lang w:val="lv-LV"/>
              </w:rPr>
              <w:sym w:font="Symbol" w:char="F0D6"/>
            </w:r>
          </w:p>
          <w:p w:rsidR="00983488" w:rsidRPr="00C56E1B" w:rsidRDefault="00983488" w:rsidP="00983488">
            <w:pPr>
              <w:jc w:val="center"/>
              <w:rPr>
                <w:rFonts w:ascii="Times New Roman" w:hAnsi="Times New Roman"/>
                <w:sz w:val="24"/>
                <w:szCs w:val="24"/>
                <w:lang w:val="lv-LV"/>
              </w:rPr>
            </w:pPr>
          </w:p>
        </w:tc>
        <w:tc>
          <w:tcPr>
            <w:tcW w:w="4962" w:type="dxa"/>
          </w:tcPr>
          <w:p w:rsidR="00983488" w:rsidRPr="00C56E1B" w:rsidRDefault="00983488" w:rsidP="00983488">
            <w:pPr>
              <w:rPr>
                <w:rFonts w:ascii="Times New Roman" w:hAnsi="Times New Roman"/>
                <w:sz w:val="24"/>
                <w:szCs w:val="24"/>
                <w:lang w:val="lv-LV"/>
              </w:rPr>
            </w:pPr>
            <w:r w:rsidRPr="00C56E1B">
              <w:rPr>
                <w:rFonts w:ascii="Times New Roman" w:hAnsi="Times New Roman"/>
                <w:sz w:val="24"/>
                <w:szCs w:val="24"/>
                <w:lang w:val="lv-LV"/>
              </w:rPr>
              <w:t>Statistiskā nobīde līdz 2% no prognozētā.</w:t>
            </w:r>
          </w:p>
        </w:tc>
        <w:tc>
          <w:tcPr>
            <w:tcW w:w="5103" w:type="dxa"/>
            <w:vMerge w:val="restart"/>
          </w:tcPr>
          <w:p w:rsidR="00983488" w:rsidRPr="00C56E1B" w:rsidRDefault="00983488" w:rsidP="00983488">
            <w:pPr>
              <w:jc w:val="both"/>
              <w:rPr>
                <w:rFonts w:ascii="Times New Roman" w:hAnsi="Times New Roman"/>
                <w:sz w:val="24"/>
                <w:szCs w:val="24"/>
                <w:lang w:val="lv-LV"/>
              </w:rPr>
            </w:pPr>
            <w:r w:rsidRPr="00C56E1B">
              <w:rPr>
                <w:rFonts w:ascii="Times New Roman" w:hAnsi="Times New Roman"/>
                <w:sz w:val="24"/>
                <w:szCs w:val="24"/>
                <w:lang w:val="lv-LV"/>
              </w:rPr>
              <w:t>Ja rezultatīvais rādītājs ir izteikts absolūtos skaitļos, nobīde tiek aprēķināta procentuāli.</w:t>
            </w:r>
          </w:p>
          <w:p w:rsidR="00983488" w:rsidRPr="00C56E1B" w:rsidRDefault="00983488" w:rsidP="00983488">
            <w:pPr>
              <w:jc w:val="both"/>
              <w:rPr>
                <w:rFonts w:ascii="Times New Roman" w:hAnsi="Times New Roman"/>
                <w:sz w:val="24"/>
                <w:szCs w:val="24"/>
                <w:lang w:val="lv-LV"/>
              </w:rPr>
            </w:pPr>
          </w:p>
          <w:p w:rsidR="00983488" w:rsidRPr="00C56E1B" w:rsidRDefault="00983488" w:rsidP="00983488">
            <w:pPr>
              <w:jc w:val="both"/>
              <w:rPr>
                <w:rFonts w:ascii="Times New Roman" w:hAnsi="Times New Roman"/>
                <w:sz w:val="20"/>
                <w:szCs w:val="20"/>
                <w:lang w:val="lv-LV"/>
              </w:rPr>
            </w:pPr>
            <w:r w:rsidRPr="00C56E1B">
              <w:rPr>
                <w:rFonts w:ascii="Times New Roman" w:hAnsi="Times New Roman"/>
                <w:sz w:val="24"/>
                <w:szCs w:val="24"/>
                <w:lang w:val="lv-LV"/>
              </w:rPr>
              <w:t>Ja izlases apmērs ir pārāk neliels (līdz 100), procentuālais īpatsvars netiek aprēķināts, bet attiecīg</w:t>
            </w:r>
            <w:bookmarkStart w:id="4" w:name="_GoBack"/>
            <w:r w:rsidRPr="00C56E1B">
              <w:rPr>
                <w:rFonts w:ascii="Times New Roman" w:hAnsi="Times New Roman"/>
                <w:sz w:val="24"/>
                <w:szCs w:val="24"/>
                <w:lang w:val="lv-LV"/>
              </w:rPr>
              <w:t>o</w:t>
            </w:r>
            <w:bookmarkEnd w:id="4"/>
            <w:r w:rsidRPr="00C56E1B">
              <w:rPr>
                <w:rFonts w:ascii="Times New Roman" w:hAnsi="Times New Roman"/>
                <w:sz w:val="24"/>
                <w:szCs w:val="24"/>
                <w:lang w:val="lv-LV"/>
              </w:rPr>
              <w:t xml:space="preserve"> vērtējumu pamato ar kvalitatīvām metodēm.</w:t>
            </w:r>
          </w:p>
        </w:tc>
      </w:tr>
      <w:tr w:rsidR="00983488" w:rsidRPr="00CE49EA" w:rsidTr="00613A86">
        <w:tc>
          <w:tcPr>
            <w:tcW w:w="3681" w:type="dxa"/>
          </w:tcPr>
          <w:p w:rsidR="00983488" w:rsidRPr="00613A86" w:rsidRDefault="00983488" w:rsidP="00983488">
            <w:pPr>
              <w:rPr>
                <w:rFonts w:ascii="Times New Roman" w:hAnsi="Times New Roman"/>
                <w:b/>
                <w:sz w:val="24"/>
                <w:szCs w:val="24"/>
                <w:lang w:val="lv-LV"/>
              </w:rPr>
            </w:pPr>
            <w:r w:rsidRPr="00613A86">
              <w:rPr>
                <w:rFonts w:ascii="Times New Roman" w:hAnsi="Times New Roman"/>
                <w:b/>
                <w:sz w:val="24"/>
                <w:szCs w:val="24"/>
                <w:lang w:val="lv-LV"/>
              </w:rPr>
              <w:t>Rezultāts sliktāks par prognozēto</w:t>
            </w:r>
          </w:p>
        </w:tc>
        <w:tc>
          <w:tcPr>
            <w:tcW w:w="850" w:type="dxa"/>
            <w:vAlign w:val="bottom"/>
          </w:tcPr>
          <w:p w:rsidR="00983488" w:rsidRPr="00C56E1B" w:rsidRDefault="00983488" w:rsidP="00983488">
            <w:pPr>
              <w:jc w:val="center"/>
              <w:rPr>
                <w:rFonts w:ascii="Times New Roman" w:hAnsi="Times New Roman"/>
                <w:b/>
                <w:color w:val="FF0000"/>
                <w:sz w:val="24"/>
                <w:szCs w:val="24"/>
                <w:lang w:val="lv-LV"/>
              </w:rPr>
            </w:pPr>
            <w:r w:rsidRPr="00C56E1B">
              <w:rPr>
                <w:rFonts w:ascii="Times New Roman" w:hAnsi="Times New Roman"/>
                <w:b/>
                <w:color w:val="FF0000"/>
                <w:sz w:val="24"/>
                <w:szCs w:val="24"/>
                <w:lang w:val="lv-LV"/>
              </w:rPr>
              <w:sym w:font="Symbol" w:char="F0AF"/>
            </w:r>
          </w:p>
          <w:p w:rsidR="00983488" w:rsidRPr="00C56E1B" w:rsidRDefault="00983488" w:rsidP="00983488">
            <w:pPr>
              <w:jc w:val="center"/>
              <w:rPr>
                <w:rFonts w:ascii="Times New Roman" w:hAnsi="Times New Roman"/>
                <w:sz w:val="24"/>
                <w:szCs w:val="24"/>
                <w:lang w:val="lv-LV"/>
              </w:rPr>
            </w:pPr>
          </w:p>
        </w:tc>
        <w:tc>
          <w:tcPr>
            <w:tcW w:w="4962" w:type="dxa"/>
          </w:tcPr>
          <w:p w:rsidR="00983488" w:rsidRPr="00C56E1B" w:rsidRDefault="00983488" w:rsidP="00983488">
            <w:pPr>
              <w:rPr>
                <w:rFonts w:ascii="Times New Roman" w:hAnsi="Times New Roman"/>
                <w:sz w:val="24"/>
                <w:szCs w:val="24"/>
                <w:lang w:val="lv-LV"/>
              </w:rPr>
            </w:pPr>
            <w:r w:rsidRPr="00C56E1B">
              <w:rPr>
                <w:rFonts w:ascii="Times New Roman" w:hAnsi="Times New Roman"/>
                <w:sz w:val="24"/>
                <w:szCs w:val="24"/>
                <w:lang w:val="lv-LV"/>
              </w:rPr>
              <w:t>Statistiskā nobīde lielāka par 2% no prognozētā.</w:t>
            </w:r>
          </w:p>
        </w:tc>
        <w:tc>
          <w:tcPr>
            <w:tcW w:w="5103" w:type="dxa"/>
            <w:vMerge/>
          </w:tcPr>
          <w:p w:rsidR="00983488" w:rsidRPr="00CE49EA" w:rsidRDefault="00983488" w:rsidP="00983488">
            <w:pPr>
              <w:rPr>
                <w:rFonts w:ascii="Times New Roman" w:hAnsi="Times New Roman"/>
                <w:sz w:val="20"/>
                <w:szCs w:val="20"/>
              </w:rPr>
            </w:pPr>
          </w:p>
        </w:tc>
      </w:tr>
      <w:tr w:rsidR="00983488" w:rsidRPr="00C56E1B" w:rsidTr="00613A86">
        <w:trPr>
          <w:trHeight w:val="491"/>
        </w:trPr>
        <w:tc>
          <w:tcPr>
            <w:tcW w:w="3681" w:type="dxa"/>
          </w:tcPr>
          <w:p w:rsidR="00983488" w:rsidRPr="00613A86" w:rsidRDefault="00983488" w:rsidP="00983488">
            <w:pPr>
              <w:rPr>
                <w:rFonts w:ascii="Times New Roman" w:hAnsi="Times New Roman"/>
                <w:b/>
                <w:sz w:val="24"/>
                <w:szCs w:val="24"/>
                <w:lang w:val="lv-LV"/>
              </w:rPr>
            </w:pPr>
            <w:r w:rsidRPr="00613A86">
              <w:rPr>
                <w:rFonts w:ascii="Times New Roman" w:hAnsi="Times New Roman"/>
                <w:b/>
                <w:sz w:val="24"/>
                <w:szCs w:val="24"/>
                <w:lang w:val="lv-LV"/>
              </w:rPr>
              <w:t>Rezultāts labāks par prognozēto</w:t>
            </w:r>
          </w:p>
        </w:tc>
        <w:tc>
          <w:tcPr>
            <w:tcW w:w="850" w:type="dxa"/>
            <w:vAlign w:val="bottom"/>
          </w:tcPr>
          <w:p w:rsidR="00983488" w:rsidRPr="00C56E1B" w:rsidRDefault="00983488" w:rsidP="00983488">
            <w:pPr>
              <w:jc w:val="center"/>
              <w:rPr>
                <w:rFonts w:ascii="Times New Roman" w:hAnsi="Times New Roman"/>
                <w:b/>
                <w:color w:val="008000"/>
                <w:sz w:val="24"/>
                <w:szCs w:val="24"/>
                <w:lang w:val="lv-LV"/>
              </w:rPr>
            </w:pPr>
            <w:r w:rsidRPr="00C56E1B">
              <w:rPr>
                <w:rFonts w:ascii="Times New Roman" w:hAnsi="Times New Roman"/>
                <w:b/>
                <w:color w:val="008000"/>
                <w:sz w:val="24"/>
                <w:szCs w:val="24"/>
                <w:lang w:val="lv-LV"/>
              </w:rPr>
              <w:sym w:font="Symbol" w:char="F0AD"/>
            </w:r>
          </w:p>
        </w:tc>
        <w:tc>
          <w:tcPr>
            <w:tcW w:w="4962" w:type="dxa"/>
          </w:tcPr>
          <w:p w:rsidR="00983488" w:rsidRPr="00C56E1B" w:rsidRDefault="00983488" w:rsidP="00983488">
            <w:pPr>
              <w:rPr>
                <w:rFonts w:ascii="Times New Roman" w:hAnsi="Times New Roman"/>
                <w:sz w:val="24"/>
                <w:szCs w:val="24"/>
                <w:lang w:val="lv-LV"/>
              </w:rPr>
            </w:pPr>
            <w:r w:rsidRPr="00C56E1B">
              <w:rPr>
                <w:rFonts w:ascii="Times New Roman" w:hAnsi="Times New Roman"/>
                <w:sz w:val="24"/>
                <w:szCs w:val="24"/>
                <w:lang w:val="lv-LV"/>
              </w:rPr>
              <w:t>Statistiskā nobīde lielāka par 2% no prognozētā</w:t>
            </w:r>
          </w:p>
        </w:tc>
        <w:tc>
          <w:tcPr>
            <w:tcW w:w="5103" w:type="dxa"/>
            <w:vMerge/>
          </w:tcPr>
          <w:p w:rsidR="00983488" w:rsidRPr="00C56E1B" w:rsidRDefault="00983488" w:rsidP="00983488">
            <w:pPr>
              <w:rPr>
                <w:rFonts w:ascii="Times New Roman" w:hAnsi="Times New Roman"/>
                <w:sz w:val="20"/>
                <w:szCs w:val="20"/>
                <w:lang w:val="lv-LV"/>
              </w:rPr>
            </w:pPr>
          </w:p>
        </w:tc>
      </w:tr>
    </w:tbl>
    <w:p w:rsidR="00124130" w:rsidRPr="003E3961" w:rsidRDefault="00BD2745" w:rsidP="003E3961">
      <w:pPr>
        <w:spacing w:before="120"/>
        <w:jc w:val="both"/>
        <w:rPr>
          <w:rFonts w:ascii="Times New Roman" w:hAnsi="Times New Roman"/>
          <w:sz w:val="20"/>
          <w:szCs w:val="20"/>
        </w:rPr>
      </w:pPr>
      <w:r>
        <w:rPr>
          <w:rFonts w:ascii="Times New Roman" w:hAnsi="Times New Roman"/>
          <w:sz w:val="20"/>
          <w:szCs w:val="20"/>
        </w:rPr>
        <w:t>1</w:t>
      </w:r>
      <w:r w:rsidR="0069299B" w:rsidRPr="00983488">
        <w:rPr>
          <w:rFonts w:ascii="Times New Roman" w:hAnsi="Times New Roman"/>
          <w:sz w:val="20"/>
          <w:szCs w:val="20"/>
        </w:rPr>
        <w:t>.tabula. Rezultatīvo rādītāju novērtēšanai izmantoto simbolu skaidrojums</w:t>
      </w:r>
    </w:p>
    <w:p w:rsidR="00124130" w:rsidRPr="00C56E1B" w:rsidRDefault="00124130" w:rsidP="00BF47C8">
      <w:pPr>
        <w:spacing w:after="0" w:line="240" w:lineRule="auto"/>
        <w:jc w:val="both"/>
        <w:rPr>
          <w:rFonts w:ascii="Times New Roman" w:hAnsi="Times New Roman"/>
          <w:bCs/>
          <w:sz w:val="24"/>
          <w:szCs w:val="24"/>
        </w:rPr>
      </w:pPr>
    </w:p>
    <w:tbl>
      <w:tblPr>
        <w:tblW w:w="5013" w:type="pct"/>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3549"/>
        <w:gridCol w:w="1121"/>
        <w:gridCol w:w="4255"/>
        <w:gridCol w:w="1135"/>
        <w:gridCol w:w="1561"/>
        <w:gridCol w:w="1556"/>
        <w:gridCol w:w="1415"/>
      </w:tblGrid>
      <w:tr w:rsidR="00B75856" w:rsidRPr="00B75856" w:rsidTr="00466F0A">
        <w:trPr>
          <w:trHeight w:val="579"/>
        </w:trPr>
        <w:tc>
          <w:tcPr>
            <w:tcW w:w="5000" w:type="pct"/>
            <w:gridSpan w:val="7"/>
            <w:tcBorders>
              <w:top w:val="single" w:sz="6" w:space="0" w:color="auto"/>
              <w:bottom w:val="single" w:sz="6" w:space="0" w:color="auto"/>
            </w:tcBorders>
            <w:shd w:val="clear" w:color="auto" w:fill="FBE4D5" w:themeFill="accent2" w:themeFillTint="33"/>
            <w:vAlign w:val="center"/>
          </w:tcPr>
          <w:p w:rsidR="00B75856" w:rsidRPr="00B75856" w:rsidRDefault="00B75856" w:rsidP="00423F2F">
            <w:pPr>
              <w:spacing w:after="0" w:line="240" w:lineRule="auto"/>
              <w:rPr>
                <w:rFonts w:ascii="Times New Roman" w:hAnsi="Times New Roman"/>
                <w:b/>
                <w:bCs/>
                <w:i/>
                <w:sz w:val="24"/>
                <w:szCs w:val="24"/>
              </w:rPr>
            </w:pPr>
            <w:r w:rsidRPr="00B75856">
              <w:rPr>
                <w:rFonts w:ascii="Times New Roman" w:hAnsi="Times New Roman"/>
                <w:b/>
                <w:bCs/>
                <w:i/>
                <w:sz w:val="24"/>
                <w:szCs w:val="24"/>
              </w:rPr>
              <w:t>Politikas definētais mērķis:</w:t>
            </w:r>
            <w:r w:rsidRPr="00B75856">
              <w:rPr>
                <w:rFonts w:ascii="Times New Roman" w:hAnsi="Times New Roman"/>
                <w:b/>
                <w:i/>
                <w:sz w:val="24"/>
                <w:szCs w:val="24"/>
              </w:rPr>
              <w:t xml:space="preserve"> Veicināt sabiedrības informētību un izpratni par cilvēku tirdzniecību un nodrošināt atbalstu cilvēku tirdzniecības upuriem.</w:t>
            </w:r>
          </w:p>
        </w:tc>
      </w:tr>
      <w:tr w:rsidR="003A7FF2" w:rsidRPr="002F1F37" w:rsidTr="00466F0A">
        <w:trPr>
          <w:trHeight w:val="217"/>
        </w:trPr>
        <w:tc>
          <w:tcPr>
            <w:tcW w:w="1600" w:type="pct"/>
            <w:gridSpan w:val="2"/>
            <w:tcBorders>
              <w:top w:val="single" w:sz="6" w:space="0" w:color="auto"/>
              <w:bottom w:val="single" w:sz="6" w:space="0" w:color="auto"/>
              <w:right w:val="single" w:sz="6" w:space="0" w:color="auto"/>
            </w:tcBorders>
            <w:shd w:val="clear" w:color="auto" w:fill="auto"/>
          </w:tcPr>
          <w:p w:rsidR="00FF73D9" w:rsidRPr="002F1F37" w:rsidRDefault="00FF73D9" w:rsidP="00423F2F">
            <w:pPr>
              <w:spacing w:after="0" w:line="240" w:lineRule="auto"/>
              <w:jc w:val="center"/>
              <w:rPr>
                <w:rFonts w:ascii="Times New Roman" w:hAnsi="Times New Roman"/>
                <w:b/>
                <w:sz w:val="24"/>
                <w:szCs w:val="24"/>
              </w:rPr>
            </w:pPr>
          </w:p>
        </w:tc>
        <w:tc>
          <w:tcPr>
            <w:tcW w:w="1458" w:type="pct"/>
            <w:tcBorders>
              <w:top w:val="single" w:sz="6" w:space="0" w:color="auto"/>
              <w:left w:val="single" w:sz="6" w:space="0" w:color="auto"/>
              <w:bottom w:val="single" w:sz="6" w:space="0" w:color="auto"/>
              <w:right w:val="single" w:sz="6" w:space="0" w:color="auto"/>
            </w:tcBorders>
            <w:shd w:val="clear" w:color="auto" w:fill="auto"/>
          </w:tcPr>
          <w:p w:rsidR="00FF73D9" w:rsidRPr="002F1F37" w:rsidRDefault="00FF73D9" w:rsidP="00423F2F">
            <w:pPr>
              <w:spacing w:after="0" w:line="240" w:lineRule="auto"/>
              <w:jc w:val="center"/>
              <w:rPr>
                <w:rFonts w:ascii="Times New Roman" w:hAnsi="Times New Roman"/>
                <w:b/>
                <w:sz w:val="24"/>
                <w:szCs w:val="24"/>
              </w:rPr>
            </w:pPr>
          </w:p>
        </w:tc>
        <w:tc>
          <w:tcPr>
            <w:tcW w:w="389" w:type="pct"/>
            <w:tcBorders>
              <w:top w:val="single" w:sz="6" w:space="0" w:color="auto"/>
              <w:left w:val="single" w:sz="6" w:space="0" w:color="auto"/>
              <w:bottom w:val="single" w:sz="6" w:space="0" w:color="auto"/>
              <w:right w:val="single" w:sz="6" w:space="0" w:color="auto"/>
            </w:tcBorders>
            <w:shd w:val="clear" w:color="auto" w:fill="auto"/>
          </w:tcPr>
          <w:p w:rsidR="00FF73D9" w:rsidRPr="002F1F37" w:rsidRDefault="00FF73D9" w:rsidP="00423F2F">
            <w:pPr>
              <w:spacing w:after="0" w:line="240" w:lineRule="auto"/>
              <w:jc w:val="center"/>
              <w:rPr>
                <w:rFonts w:ascii="Times New Roman" w:hAnsi="Times New Roman"/>
                <w:sz w:val="24"/>
                <w:szCs w:val="24"/>
              </w:rPr>
            </w:pPr>
            <w:proofErr w:type="gramStart"/>
            <w:r w:rsidRPr="002F1F37">
              <w:rPr>
                <w:rFonts w:ascii="Times New Roman" w:hAnsi="Times New Roman"/>
                <w:b/>
                <w:bCs/>
                <w:sz w:val="24"/>
                <w:szCs w:val="24"/>
              </w:rPr>
              <w:t>2012.gads</w:t>
            </w:r>
            <w:proofErr w:type="gramEnd"/>
          </w:p>
        </w:tc>
        <w:tc>
          <w:tcPr>
            <w:tcW w:w="535" w:type="pct"/>
            <w:tcBorders>
              <w:top w:val="single" w:sz="6" w:space="0" w:color="auto"/>
              <w:left w:val="single" w:sz="6" w:space="0" w:color="auto"/>
              <w:bottom w:val="single" w:sz="6" w:space="0" w:color="auto"/>
              <w:right w:val="single" w:sz="6" w:space="0" w:color="auto"/>
            </w:tcBorders>
            <w:shd w:val="clear" w:color="auto" w:fill="auto"/>
          </w:tcPr>
          <w:p w:rsidR="00FF73D9" w:rsidRDefault="00C2602B" w:rsidP="00423F2F">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2016</w:t>
            </w:r>
            <w:r w:rsidR="00FF73D9" w:rsidRPr="002F1F37">
              <w:rPr>
                <w:rFonts w:ascii="Times New Roman" w:hAnsi="Times New Roman"/>
                <w:b/>
                <w:bCs/>
                <w:sz w:val="24"/>
                <w:szCs w:val="24"/>
              </w:rPr>
              <w:t>.gads</w:t>
            </w:r>
            <w:proofErr w:type="gramEnd"/>
          </w:p>
          <w:p w:rsidR="00FF73D9" w:rsidRPr="002F1F37" w:rsidRDefault="00FF73D9" w:rsidP="00423F2F">
            <w:pPr>
              <w:spacing w:after="0" w:line="240" w:lineRule="auto"/>
              <w:jc w:val="center"/>
              <w:rPr>
                <w:rFonts w:ascii="Times New Roman" w:hAnsi="Times New Roman"/>
                <w:sz w:val="24"/>
                <w:szCs w:val="24"/>
              </w:rPr>
            </w:pPr>
            <w:r>
              <w:rPr>
                <w:rFonts w:ascii="Times New Roman" w:hAnsi="Times New Roman"/>
                <w:b/>
                <w:bCs/>
                <w:sz w:val="24"/>
                <w:szCs w:val="24"/>
              </w:rPr>
              <w:t>prognoze</w:t>
            </w:r>
          </w:p>
        </w:tc>
        <w:tc>
          <w:tcPr>
            <w:tcW w:w="533" w:type="pct"/>
            <w:tcBorders>
              <w:top w:val="single" w:sz="6" w:space="0" w:color="auto"/>
              <w:left w:val="single" w:sz="6" w:space="0" w:color="auto"/>
              <w:bottom w:val="single" w:sz="6" w:space="0" w:color="auto"/>
            </w:tcBorders>
            <w:shd w:val="clear" w:color="auto" w:fill="auto"/>
          </w:tcPr>
          <w:p w:rsidR="00FF73D9" w:rsidRDefault="00C2602B" w:rsidP="00423F2F">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2016</w:t>
            </w:r>
            <w:r w:rsidR="00FF73D9" w:rsidRPr="002F1F37">
              <w:rPr>
                <w:rFonts w:ascii="Times New Roman" w:hAnsi="Times New Roman"/>
                <w:b/>
                <w:bCs/>
                <w:sz w:val="24"/>
                <w:szCs w:val="24"/>
              </w:rPr>
              <w:t>.gads</w:t>
            </w:r>
            <w:proofErr w:type="gramEnd"/>
          </w:p>
          <w:p w:rsidR="00FF73D9" w:rsidRPr="002F1F37" w:rsidRDefault="00FF73D9" w:rsidP="00423F2F">
            <w:pPr>
              <w:spacing w:after="0" w:line="240" w:lineRule="auto"/>
              <w:jc w:val="center"/>
              <w:rPr>
                <w:rFonts w:ascii="Times New Roman" w:hAnsi="Times New Roman"/>
                <w:sz w:val="24"/>
                <w:szCs w:val="24"/>
              </w:rPr>
            </w:pPr>
            <w:r>
              <w:rPr>
                <w:rFonts w:ascii="Times New Roman" w:hAnsi="Times New Roman"/>
                <w:b/>
                <w:bCs/>
                <w:sz w:val="24"/>
                <w:szCs w:val="24"/>
              </w:rPr>
              <w:t>sasniegtais</w:t>
            </w:r>
          </w:p>
        </w:tc>
        <w:tc>
          <w:tcPr>
            <w:tcW w:w="485" w:type="pct"/>
            <w:tcBorders>
              <w:top w:val="single" w:sz="6" w:space="0" w:color="auto"/>
              <w:left w:val="single" w:sz="6" w:space="0" w:color="auto"/>
              <w:bottom w:val="single" w:sz="6" w:space="0" w:color="auto"/>
            </w:tcBorders>
          </w:tcPr>
          <w:p w:rsidR="00FF73D9" w:rsidRDefault="00FF73D9" w:rsidP="00423F2F">
            <w:pPr>
              <w:spacing w:after="0" w:line="240" w:lineRule="auto"/>
              <w:jc w:val="center"/>
              <w:rPr>
                <w:rFonts w:ascii="Times New Roman" w:hAnsi="Times New Roman"/>
                <w:b/>
                <w:bCs/>
                <w:sz w:val="24"/>
                <w:szCs w:val="24"/>
              </w:rPr>
            </w:pPr>
            <w:r>
              <w:rPr>
                <w:rFonts w:ascii="Times New Roman" w:hAnsi="Times New Roman"/>
                <w:b/>
                <w:bCs/>
                <w:sz w:val="24"/>
                <w:szCs w:val="24"/>
              </w:rPr>
              <w:t>Vērtējums (nobīde no prognozētā)</w:t>
            </w:r>
          </w:p>
        </w:tc>
      </w:tr>
      <w:tr w:rsidR="003A7FF2" w:rsidRPr="002F1F37" w:rsidTr="00466F0A">
        <w:trPr>
          <w:trHeight w:val="633"/>
        </w:trPr>
        <w:tc>
          <w:tcPr>
            <w:tcW w:w="1600" w:type="pct"/>
            <w:gridSpan w:val="2"/>
            <w:vMerge w:val="restart"/>
            <w:tcBorders>
              <w:top w:val="single" w:sz="6" w:space="0" w:color="auto"/>
              <w:right w:val="single" w:sz="6" w:space="0" w:color="auto"/>
            </w:tcBorders>
            <w:shd w:val="clear" w:color="auto" w:fill="FFF2CC" w:themeFill="accent4" w:themeFillTint="33"/>
          </w:tcPr>
          <w:p w:rsidR="00FF73D9" w:rsidRPr="00D169D0" w:rsidRDefault="00FF73D9" w:rsidP="00423F2F">
            <w:pPr>
              <w:pStyle w:val="NormalWeb"/>
              <w:spacing w:before="0" w:beforeAutospacing="0" w:after="0" w:afterAutospacing="0"/>
              <w:rPr>
                <w:lang w:val="lv-LV"/>
              </w:rPr>
            </w:pPr>
            <w:r w:rsidRPr="00D169D0">
              <w:rPr>
                <w:b/>
                <w:i/>
                <w:lang w:val="lv-LV"/>
              </w:rPr>
              <w:t>Politikas rezultāts</w:t>
            </w:r>
            <w:r w:rsidRPr="00D169D0">
              <w:rPr>
                <w:i/>
                <w:lang w:val="lv-LV"/>
              </w:rPr>
              <w:t xml:space="preserve"> </w:t>
            </w:r>
            <w:r w:rsidRPr="00D169D0">
              <w:rPr>
                <w:b/>
                <w:i/>
                <w:lang w:val="lv-LV"/>
              </w:rPr>
              <w:t>A1:</w:t>
            </w:r>
            <w:r w:rsidRPr="00D169D0">
              <w:rPr>
                <w:lang w:val="lv-LV"/>
              </w:rPr>
              <w:t xml:space="preserve"> pieaug sabiedrības un iesaistīto institūciju informētība un izpratne par </w:t>
            </w:r>
            <w:r w:rsidRPr="00D169D0">
              <w:rPr>
                <w:lang w:val="lv-LV"/>
              </w:rPr>
              <w:lastRenderedPageBreak/>
              <w:t>situāciju cilvēku tirdzniecības jomā, par cilvēku tirdzniecības riskiem, draudiem un sekām</w:t>
            </w:r>
          </w:p>
        </w:tc>
        <w:tc>
          <w:tcPr>
            <w:tcW w:w="1458"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lastRenderedPageBreak/>
              <w:t>Rezultatīvais rādītājs</w:t>
            </w:r>
            <w:r w:rsidRPr="002F1F37">
              <w:rPr>
                <w:rFonts w:ascii="Times New Roman" w:hAnsi="Times New Roman"/>
                <w:b/>
                <w:sz w:val="24"/>
                <w:szCs w:val="24"/>
              </w:rPr>
              <w:t xml:space="preserve">: </w:t>
            </w:r>
            <w:r w:rsidRPr="002F1F37">
              <w:rPr>
                <w:rFonts w:ascii="Times New Roman" w:hAnsi="Times New Roman"/>
                <w:sz w:val="24"/>
                <w:szCs w:val="24"/>
              </w:rPr>
              <w:t>īstenoto informatīvo pasākumu</w:t>
            </w:r>
            <w:r w:rsidRPr="002F1F37">
              <w:rPr>
                <w:rFonts w:ascii="Times New Roman" w:hAnsi="Times New Roman"/>
                <w:b/>
                <w:sz w:val="24"/>
                <w:szCs w:val="24"/>
              </w:rPr>
              <w:t xml:space="preserve"> </w:t>
            </w:r>
            <w:r w:rsidRPr="002F1F37">
              <w:rPr>
                <w:rFonts w:ascii="Times New Roman" w:hAnsi="Times New Roman"/>
                <w:bCs/>
                <w:sz w:val="24"/>
                <w:szCs w:val="24"/>
              </w:rPr>
              <w:t>pieaugums (skaits)</w:t>
            </w:r>
          </w:p>
        </w:tc>
        <w:tc>
          <w:tcPr>
            <w:tcW w:w="389"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color w:val="FF0000"/>
                <w:sz w:val="24"/>
                <w:szCs w:val="24"/>
              </w:rPr>
            </w:pPr>
            <w:r w:rsidRPr="002F1F37">
              <w:rPr>
                <w:rFonts w:ascii="Times New Roman" w:hAnsi="Times New Roman"/>
                <w:sz w:val="24"/>
                <w:szCs w:val="24"/>
              </w:rPr>
              <w:t>8</w:t>
            </w:r>
          </w:p>
        </w:tc>
        <w:tc>
          <w:tcPr>
            <w:tcW w:w="535"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9</w:t>
            </w:r>
          </w:p>
        </w:tc>
        <w:tc>
          <w:tcPr>
            <w:tcW w:w="533" w:type="pct"/>
            <w:tcBorders>
              <w:top w:val="single" w:sz="6" w:space="0" w:color="auto"/>
              <w:left w:val="single" w:sz="6" w:space="0" w:color="auto"/>
            </w:tcBorders>
            <w:shd w:val="clear" w:color="auto" w:fill="FFF2CC" w:themeFill="accent4" w:themeFillTint="33"/>
          </w:tcPr>
          <w:p w:rsidR="00FF73D9" w:rsidRPr="00FF4B00" w:rsidRDefault="00FF4B00" w:rsidP="00423F2F">
            <w:pPr>
              <w:spacing w:after="0" w:line="240" w:lineRule="auto"/>
              <w:jc w:val="center"/>
              <w:rPr>
                <w:rFonts w:ascii="Times New Roman" w:hAnsi="Times New Roman"/>
                <w:b/>
                <w:sz w:val="24"/>
                <w:szCs w:val="24"/>
              </w:rPr>
            </w:pPr>
            <w:r w:rsidRPr="00FF4B00">
              <w:rPr>
                <w:rFonts w:ascii="Times New Roman" w:hAnsi="Times New Roman"/>
                <w:b/>
                <w:sz w:val="24"/>
                <w:szCs w:val="24"/>
              </w:rPr>
              <w:t>170</w:t>
            </w:r>
          </w:p>
        </w:tc>
        <w:tc>
          <w:tcPr>
            <w:tcW w:w="485" w:type="pct"/>
            <w:tcBorders>
              <w:top w:val="single" w:sz="6" w:space="0" w:color="auto"/>
              <w:left w:val="single" w:sz="6" w:space="0" w:color="auto"/>
            </w:tcBorders>
            <w:shd w:val="clear" w:color="auto" w:fill="FFF2CC" w:themeFill="accent4" w:themeFillTint="33"/>
          </w:tcPr>
          <w:p w:rsidR="00FF73D9" w:rsidRPr="002F1F37" w:rsidRDefault="000928CC" w:rsidP="00423F2F">
            <w:pPr>
              <w:spacing w:after="0" w:line="240" w:lineRule="auto"/>
              <w:jc w:val="center"/>
              <w:rPr>
                <w:rFonts w:ascii="Times New Roman" w:hAnsi="Times New Roman"/>
                <w:sz w:val="24"/>
                <w:szCs w:val="24"/>
              </w:rPr>
            </w:pPr>
            <w:r w:rsidRPr="00CE49EA">
              <w:rPr>
                <w:rFonts w:ascii="Times New Roman" w:hAnsi="Times New Roman"/>
                <w:b/>
                <w:color w:val="008000"/>
              </w:rPr>
              <w:sym w:font="Symbol" w:char="F0AD"/>
            </w:r>
          </w:p>
        </w:tc>
      </w:tr>
      <w:tr w:rsidR="003A7FF2" w:rsidRPr="002F1F37" w:rsidTr="00466F0A">
        <w:trPr>
          <w:trHeight w:val="667"/>
        </w:trPr>
        <w:tc>
          <w:tcPr>
            <w:tcW w:w="1600" w:type="pct"/>
            <w:gridSpan w:val="2"/>
            <w:vMerge/>
            <w:tcBorders>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p>
        </w:tc>
        <w:tc>
          <w:tcPr>
            <w:tcW w:w="1458"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t>Rezultatīvais rādītājs:</w:t>
            </w:r>
            <w:r w:rsidRPr="002F1F37">
              <w:rPr>
                <w:rFonts w:ascii="Times New Roman" w:hAnsi="Times New Roman"/>
                <w:sz w:val="24"/>
                <w:szCs w:val="24"/>
              </w:rPr>
              <w:t xml:space="preserve"> veikto pētījumu pieaugums </w:t>
            </w:r>
            <w:r w:rsidRPr="002F1F37">
              <w:rPr>
                <w:rFonts w:ascii="Times New Roman" w:hAnsi="Times New Roman"/>
                <w:bCs/>
                <w:sz w:val="24"/>
                <w:szCs w:val="24"/>
              </w:rPr>
              <w:t>(skaits)</w:t>
            </w: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2</w:t>
            </w: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86124C" w:rsidRDefault="00E2167B" w:rsidP="00423F2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485" w:type="pct"/>
            <w:tcBorders>
              <w:top w:val="single" w:sz="6" w:space="0" w:color="auto"/>
              <w:left w:val="single" w:sz="6" w:space="0" w:color="auto"/>
              <w:bottom w:val="single" w:sz="6" w:space="0" w:color="auto"/>
            </w:tcBorders>
            <w:shd w:val="clear" w:color="auto" w:fill="FFF2CC" w:themeFill="accent4" w:themeFillTint="33"/>
          </w:tcPr>
          <w:p w:rsidR="000928CC" w:rsidRPr="00CE49EA" w:rsidRDefault="000928CC" w:rsidP="000928CC">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spacing w:after="0" w:line="240" w:lineRule="auto"/>
              <w:jc w:val="center"/>
              <w:rPr>
                <w:rFonts w:ascii="Times New Roman" w:hAnsi="Times New Roman"/>
                <w:sz w:val="24"/>
                <w:szCs w:val="24"/>
              </w:rPr>
            </w:pPr>
          </w:p>
        </w:tc>
      </w:tr>
      <w:tr w:rsidR="00423F2F" w:rsidRPr="0086124C" w:rsidTr="00466F0A">
        <w:trPr>
          <w:trHeight w:val="667"/>
        </w:trPr>
        <w:tc>
          <w:tcPr>
            <w:tcW w:w="5000" w:type="pct"/>
            <w:gridSpan w:val="7"/>
            <w:tcBorders>
              <w:bottom w:val="single" w:sz="6" w:space="0" w:color="auto"/>
            </w:tcBorders>
            <w:shd w:val="clear" w:color="auto" w:fill="auto"/>
          </w:tcPr>
          <w:p w:rsidR="0086124C" w:rsidRDefault="00977936" w:rsidP="0086124C">
            <w:pPr>
              <w:spacing w:after="0" w:line="240" w:lineRule="auto"/>
              <w:jc w:val="both"/>
              <w:rPr>
                <w:rFonts w:ascii="Times New Roman" w:hAnsi="Times New Roman"/>
                <w:sz w:val="20"/>
                <w:szCs w:val="20"/>
              </w:rPr>
            </w:pPr>
            <w:r>
              <w:rPr>
                <w:rFonts w:ascii="Times New Roman" w:hAnsi="Times New Roman"/>
                <w:sz w:val="20"/>
                <w:szCs w:val="20"/>
              </w:rPr>
              <w:t>Pārskata periodā (</w:t>
            </w:r>
            <w:proofErr w:type="gramStart"/>
            <w:r>
              <w:rPr>
                <w:rFonts w:ascii="Times New Roman" w:hAnsi="Times New Roman"/>
                <w:sz w:val="20"/>
                <w:szCs w:val="20"/>
              </w:rPr>
              <w:t>2014. – 2016.</w:t>
            </w:r>
            <w:proofErr w:type="gramEnd"/>
            <w:r>
              <w:rPr>
                <w:rFonts w:ascii="Times New Roman" w:hAnsi="Times New Roman"/>
                <w:sz w:val="20"/>
                <w:szCs w:val="20"/>
              </w:rPr>
              <w:t xml:space="preserve">gads) īstenotas četras (4) informatīvās </w:t>
            </w:r>
            <w:r w:rsidR="00FF4B00">
              <w:rPr>
                <w:rFonts w:ascii="Times New Roman" w:hAnsi="Times New Roman"/>
                <w:sz w:val="20"/>
                <w:szCs w:val="20"/>
              </w:rPr>
              <w:t>kampaņas valsts ietvaros un 187 informatīvās aktivitātes, no tām viena informatīvā kampaņa un 169 informatīvās aktivitātes nodrošinātas 2016.gadā.</w:t>
            </w:r>
            <w:r w:rsidR="00C959CA">
              <w:rPr>
                <w:rFonts w:ascii="Times New Roman" w:hAnsi="Times New Roman"/>
                <w:sz w:val="20"/>
                <w:szCs w:val="20"/>
              </w:rPr>
              <w:t xml:space="preserve"> Rezul</w:t>
            </w:r>
            <w:r w:rsidR="00971847">
              <w:rPr>
                <w:rFonts w:ascii="Times New Roman" w:hAnsi="Times New Roman"/>
                <w:sz w:val="20"/>
                <w:szCs w:val="20"/>
              </w:rPr>
              <w:t>tatīvajos rādītājo</w:t>
            </w:r>
            <w:r w:rsidR="00C959CA">
              <w:rPr>
                <w:rFonts w:ascii="Times New Roman" w:hAnsi="Times New Roman"/>
                <w:sz w:val="20"/>
                <w:szCs w:val="20"/>
              </w:rPr>
              <w:t>s netiek iekļauta informācija par informatīvo bukletu izgatavošanu un izplatīšanu.</w:t>
            </w:r>
          </w:p>
          <w:p w:rsidR="003E1BCF" w:rsidRDefault="003E1BCF" w:rsidP="0086124C">
            <w:pPr>
              <w:spacing w:after="0" w:line="240" w:lineRule="auto"/>
              <w:jc w:val="both"/>
              <w:rPr>
                <w:rFonts w:ascii="Times New Roman" w:hAnsi="Times New Roman"/>
                <w:sz w:val="20"/>
                <w:szCs w:val="20"/>
              </w:rPr>
            </w:pPr>
            <w:r>
              <w:rPr>
                <w:rFonts w:ascii="Times New Roman" w:hAnsi="Times New Roman"/>
                <w:sz w:val="20"/>
                <w:szCs w:val="20"/>
              </w:rPr>
              <w:t xml:space="preserve">Informatīvo kampaņu un informatīvo pasākumu </w:t>
            </w:r>
            <w:r w:rsidR="0022365B">
              <w:rPr>
                <w:rFonts w:ascii="Times New Roman" w:hAnsi="Times New Roman"/>
                <w:sz w:val="20"/>
                <w:szCs w:val="20"/>
              </w:rPr>
              <w:t xml:space="preserve">apjomīgo </w:t>
            </w:r>
            <w:r>
              <w:rPr>
                <w:rFonts w:ascii="Times New Roman" w:hAnsi="Times New Roman"/>
                <w:sz w:val="20"/>
                <w:szCs w:val="20"/>
              </w:rPr>
              <w:t xml:space="preserve">skaitu </w:t>
            </w:r>
            <w:proofErr w:type="gramStart"/>
            <w:r>
              <w:rPr>
                <w:rFonts w:ascii="Times New Roman" w:hAnsi="Times New Roman"/>
                <w:sz w:val="20"/>
                <w:szCs w:val="20"/>
              </w:rPr>
              <w:t>2016.gadā</w:t>
            </w:r>
            <w:proofErr w:type="gramEnd"/>
            <w:r>
              <w:rPr>
                <w:rFonts w:ascii="Times New Roman" w:hAnsi="Times New Roman"/>
                <w:sz w:val="20"/>
                <w:szCs w:val="20"/>
              </w:rPr>
              <w:t xml:space="preserve"> bija iespējams nodrošināt, </w:t>
            </w:r>
            <w:r w:rsidR="006A30F7">
              <w:rPr>
                <w:rFonts w:ascii="Times New Roman" w:hAnsi="Times New Roman"/>
                <w:sz w:val="20"/>
                <w:szCs w:val="20"/>
              </w:rPr>
              <w:t xml:space="preserve">galvenokārt </w:t>
            </w:r>
            <w:r w:rsidR="0022365B">
              <w:rPr>
                <w:rFonts w:ascii="Times New Roman" w:hAnsi="Times New Roman"/>
                <w:sz w:val="20"/>
                <w:szCs w:val="20"/>
              </w:rPr>
              <w:t>inovatīvajai pieejai nodrošināt informatīvās aktivitātes</w:t>
            </w:r>
            <w:r>
              <w:rPr>
                <w:rFonts w:ascii="Times New Roman" w:hAnsi="Times New Roman"/>
                <w:sz w:val="20"/>
                <w:szCs w:val="20"/>
              </w:rPr>
              <w:t xml:space="preserve"> Iekšlietu ministrijas </w:t>
            </w:r>
            <w:r w:rsidR="0022365B">
              <w:rPr>
                <w:rFonts w:ascii="Times New Roman" w:hAnsi="Times New Roman"/>
                <w:sz w:val="20"/>
                <w:szCs w:val="20"/>
              </w:rPr>
              <w:t>vadītajā starptautiskajā projektā</w:t>
            </w:r>
            <w:r>
              <w:rPr>
                <w:rFonts w:ascii="Times New Roman" w:hAnsi="Times New Roman"/>
                <w:sz w:val="20"/>
                <w:szCs w:val="20"/>
              </w:rPr>
              <w:t xml:space="preserve"> HESTIA </w:t>
            </w:r>
            <w:r w:rsidRPr="003E1BCF">
              <w:rPr>
                <w:rFonts w:ascii="Times New Roman" w:hAnsi="Times New Roman"/>
                <w:sz w:val="20"/>
                <w:szCs w:val="20"/>
              </w:rPr>
              <w:t>“Novēršot cilvēku tirdzniecību un fiktīvās laulības: daudznozaru risinājums”</w:t>
            </w:r>
            <w:r w:rsidR="006A30F7">
              <w:rPr>
                <w:rFonts w:ascii="Times New Roman" w:hAnsi="Times New Roman"/>
                <w:sz w:val="20"/>
                <w:szCs w:val="20"/>
              </w:rPr>
              <w:t>.</w:t>
            </w:r>
          </w:p>
          <w:p w:rsidR="0086124C" w:rsidRPr="0086124C" w:rsidRDefault="0086124C" w:rsidP="00E2167B">
            <w:pPr>
              <w:spacing w:after="0" w:line="240" w:lineRule="auto"/>
              <w:jc w:val="both"/>
              <w:rPr>
                <w:rFonts w:ascii="Times New Roman" w:hAnsi="Times New Roman"/>
                <w:sz w:val="20"/>
                <w:szCs w:val="20"/>
              </w:rPr>
            </w:pPr>
            <w:r>
              <w:rPr>
                <w:rFonts w:ascii="Times New Roman" w:hAnsi="Times New Roman"/>
                <w:sz w:val="20"/>
                <w:szCs w:val="20"/>
              </w:rPr>
              <w:t xml:space="preserve">Pārskata periodā </w:t>
            </w:r>
            <w:r w:rsidR="00E2167B">
              <w:rPr>
                <w:rFonts w:ascii="Times New Roman" w:hAnsi="Times New Roman"/>
                <w:sz w:val="20"/>
                <w:szCs w:val="20"/>
              </w:rPr>
              <w:t>(</w:t>
            </w:r>
            <w:proofErr w:type="gramStart"/>
            <w:r w:rsidR="00E2167B">
              <w:rPr>
                <w:rFonts w:ascii="Times New Roman" w:hAnsi="Times New Roman"/>
                <w:sz w:val="20"/>
                <w:szCs w:val="20"/>
              </w:rPr>
              <w:t>2014. – 2016.</w:t>
            </w:r>
            <w:proofErr w:type="gramEnd"/>
            <w:r w:rsidR="00E2167B">
              <w:rPr>
                <w:rFonts w:ascii="Times New Roman" w:hAnsi="Times New Roman"/>
                <w:sz w:val="20"/>
                <w:szCs w:val="20"/>
              </w:rPr>
              <w:t xml:space="preserve">gads) </w:t>
            </w:r>
            <w:r w:rsidR="00EB58CC">
              <w:rPr>
                <w:rFonts w:ascii="Times New Roman" w:hAnsi="Times New Roman"/>
                <w:sz w:val="20"/>
                <w:szCs w:val="20"/>
              </w:rPr>
              <w:t>veikti četri (4</w:t>
            </w:r>
            <w:r w:rsidR="004D6A92">
              <w:rPr>
                <w:rFonts w:ascii="Times New Roman" w:hAnsi="Times New Roman"/>
                <w:sz w:val="20"/>
                <w:szCs w:val="20"/>
              </w:rPr>
              <w:t>) pētījumi</w:t>
            </w:r>
            <w:r w:rsidR="00EB58CC">
              <w:rPr>
                <w:rFonts w:ascii="Times New Roman" w:hAnsi="Times New Roman"/>
                <w:sz w:val="20"/>
                <w:szCs w:val="20"/>
              </w:rPr>
              <w:t xml:space="preserve">, no tiem </w:t>
            </w:r>
            <w:r w:rsidR="00E2167B">
              <w:rPr>
                <w:rFonts w:ascii="Times New Roman" w:hAnsi="Times New Roman"/>
                <w:sz w:val="20"/>
                <w:szCs w:val="20"/>
              </w:rPr>
              <w:t>divi (2)</w:t>
            </w:r>
            <w:r w:rsidR="00EB58CC">
              <w:rPr>
                <w:rFonts w:ascii="Times New Roman" w:hAnsi="Times New Roman"/>
                <w:sz w:val="20"/>
                <w:szCs w:val="20"/>
              </w:rPr>
              <w:t xml:space="preserve"> </w:t>
            </w:r>
            <w:r w:rsidR="00E2167B">
              <w:rPr>
                <w:rFonts w:ascii="Times New Roman" w:hAnsi="Times New Roman"/>
                <w:sz w:val="20"/>
                <w:szCs w:val="20"/>
              </w:rPr>
              <w:t>pētījumi veikti 2016.gadā.</w:t>
            </w:r>
          </w:p>
        </w:tc>
      </w:tr>
      <w:tr w:rsidR="003A7FF2" w:rsidRPr="002F1F37" w:rsidTr="00466F0A">
        <w:trPr>
          <w:trHeight w:val="105"/>
        </w:trPr>
        <w:tc>
          <w:tcPr>
            <w:tcW w:w="1600" w:type="pct"/>
            <w:gridSpan w:val="2"/>
            <w:vMerge w:val="restart"/>
            <w:tcBorders>
              <w:top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bCs/>
                <w:i/>
                <w:sz w:val="24"/>
                <w:szCs w:val="24"/>
              </w:rPr>
              <w:t>Politikas rezultāts A2.:</w:t>
            </w:r>
            <w:r w:rsidRPr="002F1F37">
              <w:rPr>
                <w:rFonts w:ascii="Times New Roman" w:hAnsi="Times New Roman"/>
                <w:b/>
                <w:bCs/>
                <w:sz w:val="24"/>
                <w:szCs w:val="24"/>
              </w:rPr>
              <w:t xml:space="preserve"> </w:t>
            </w:r>
            <w:r w:rsidRPr="002F1F37">
              <w:rPr>
                <w:rFonts w:ascii="Times New Roman" w:hAnsi="Times New Roman"/>
                <w:bCs/>
                <w:sz w:val="24"/>
                <w:szCs w:val="24"/>
              </w:rPr>
              <w:t>nodrošināta pakalpojumu pieejamības stabilitāte cilvēku tirdzniecības upuru vajadzību apmierināšanai, lai veicinātu viņu integrāciju sabiedrībā</w:t>
            </w:r>
          </w:p>
          <w:p w:rsidR="00FF73D9" w:rsidRPr="002F1F37" w:rsidRDefault="00FF73D9" w:rsidP="00423F2F">
            <w:pPr>
              <w:spacing w:after="0" w:line="240" w:lineRule="auto"/>
              <w:rPr>
                <w:rFonts w:ascii="Times New Roman" w:hAnsi="Times New Roman"/>
                <w:bCs/>
                <w:sz w:val="24"/>
                <w:szCs w:val="24"/>
              </w:rPr>
            </w:pPr>
          </w:p>
        </w:tc>
        <w:tc>
          <w:tcPr>
            <w:tcW w:w="1458"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i/>
                <w:sz w:val="24"/>
                <w:szCs w:val="24"/>
              </w:rPr>
              <w:t>Rezultatīvais rādītājs:</w:t>
            </w:r>
            <w:r w:rsidRPr="002F1F37">
              <w:rPr>
                <w:rFonts w:ascii="Times New Roman" w:hAnsi="Times New Roman"/>
                <w:b/>
                <w:sz w:val="24"/>
                <w:szCs w:val="24"/>
              </w:rPr>
              <w:t xml:space="preserve"> </w:t>
            </w:r>
            <w:r w:rsidRPr="002F1F37">
              <w:rPr>
                <w:rFonts w:ascii="Times New Roman" w:hAnsi="Times New Roman"/>
                <w:bCs/>
                <w:sz w:val="24"/>
                <w:szCs w:val="24"/>
              </w:rPr>
              <w:t xml:space="preserve">valsts apmaksāto sociālās rehabilitācijas pakalpojumu saņēmušo cilvēku tirdzniecības upuru skaits </w:t>
            </w: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24</w:t>
            </w: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24</w:t>
            </w: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BD1F68" w:rsidRDefault="00817AB2" w:rsidP="00423F2F">
            <w:pPr>
              <w:spacing w:after="0" w:line="240" w:lineRule="auto"/>
              <w:jc w:val="center"/>
              <w:rPr>
                <w:rFonts w:ascii="Times New Roman" w:hAnsi="Times New Roman"/>
                <w:b/>
                <w:bCs/>
                <w:sz w:val="24"/>
                <w:szCs w:val="24"/>
              </w:rPr>
            </w:pPr>
            <w:r w:rsidRPr="00BD1F68">
              <w:rPr>
                <w:rFonts w:ascii="Times New Roman" w:hAnsi="Times New Roman"/>
                <w:b/>
                <w:bCs/>
                <w:sz w:val="24"/>
                <w:szCs w:val="24"/>
              </w:rPr>
              <w:t>17</w:t>
            </w:r>
          </w:p>
        </w:tc>
        <w:tc>
          <w:tcPr>
            <w:tcW w:w="485" w:type="pct"/>
            <w:tcBorders>
              <w:top w:val="single" w:sz="6" w:space="0" w:color="auto"/>
              <w:left w:val="single" w:sz="6" w:space="0" w:color="auto"/>
              <w:bottom w:val="single" w:sz="6" w:space="0" w:color="auto"/>
            </w:tcBorders>
            <w:shd w:val="clear" w:color="auto" w:fill="FFF2CC" w:themeFill="accent4" w:themeFillTint="33"/>
          </w:tcPr>
          <w:p w:rsidR="00FF73D9" w:rsidRPr="002F1F37" w:rsidRDefault="00C56E1B" w:rsidP="00423F2F">
            <w:pPr>
              <w:spacing w:after="0" w:line="240" w:lineRule="auto"/>
              <w:jc w:val="center"/>
              <w:rPr>
                <w:rFonts w:ascii="Times New Roman" w:hAnsi="Times New Roman"/>
                <w:bCs/>
                <w:sz w:val="24"/>
                <w:szCs w:val="24"/>
              </w:rPr>
            </w:pPr>
            <w:r w:rsidRPr="00CE49EA">
              <w:rPr>
                <w:rFonts w:ascii="Times New Roman" w:hAnsi="Times New Roman"/>
                <w:b/>
                <w:color w:val="FF0000"/>
              </w:rPr>
              <w:sym w:font="Symbol" w:char="F0AF"/>
            </w:r>
          </w:p>
        </w:tc>
      </w:tr>
      <w:tr w:rsidR="003A7FF2" w:rsidRPr="002F1F37" w:rsidTr="00466F0A">
        <w:trPr>
          <w:trHeight w:val="105"/>
        </w:trPr>
        <w:tc>
          <w:tcPr>
            <w:tcW w:w="1600" w:type="pct"/>
            <w:gridSpan w:val="2"/>
            <w:vMerge/>
            <w:tcBorders>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p>
        </w:tc>
        <w:tc>
          <w:tcPr>
            <w:tcW w:w="1458"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t>Rezultatīvais rādītājs:</w:t>
            </w:r>
            <w:r w:rsidRPr="002F1F37">
              <w:rPr>
                <w:rFonts w:ascii="Times New Roman" w:hAnsi="Times New Roman"/>
                <w:b/>
                <w:sz w:val="24"/>
                <w:szCs w:val="24"/>
              </w:rPr>
              <w:t xml:space="preserve"> </w:t>
            </w:r>
            <w:r w:rsidRPr="002F1F37">
              <w:rPr>
                <w:rFonts w:ascii="Times New Roman" w:hAnsi="Times New Roman"/>
                <w:sz w:val="24"/>
                <w:szCs w:val="24"/>
              </w:rPr>
              <w:t>valsts finansiālais ieguldījums (</w:t>
            </w:r>
            <w:proofErr w:type="spellStart"/>
            <w:r w:rsidRPr="002F1F37">
              <w:rPr>
                <w:rFonts w:ascii="Times New Roman" w:hAnsi="Times New Roman"/>
                <w:i/>
                <w:sz w:val="24"/>
                <w:szCs w:val="24"/>
              </w:rPr>
              <w:t>euro</w:t>
            </w:r>
            <w:proofErr w:type="spellEnd"/>
            <w:r w:rsidRPr="002F1F37">
              <w:rPr>
                <w:rFonts w:ascii="Times New Roman" w:hAnsi="Times New Roman"/>
                <w:sz w:val="24"/>
                <w:szCs w:val="24"/>
              </w:rPr>
              <w:t>)</w:t>
            </w: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88</w:t>
            </w:r>
            <w:r w:rsidR="00423F2F">
              <w:rPr>
                <w:rFonts w:ascii="Times New Roman" w:hAnsi="Times New Roman"/>
                <w:bCs/>
                <w:sz w:val="24"/>
                <w:szCs w:val="24"/>
              </w:rPr>
              <w:t> </w:t>
            </w:r>
            <w:r w:rsidRPr="002F1F37">
              <w:rPr>
                <w:rFonts w:ascii="Times New Roman" w:hAnsi="Times New Roman"/>
                <w:bCs/>
                <w:sz w:val="24"/>
                <w:szCs w:val="24"/>
              </w:rPr>
              <w:t>949</w:t>
            </w: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88</w:t>
            </w:r>
            <w:r w:rsidR="00423F2F">
              <w:rPr>
                <w:rFonts w:ascii="Times New Roman" w:hAnsi="Times New Roman"/>
                <w:bCs/>
                <w:sz w:val="24"/>
                <w:szCs w:val="24"/>
              </w:rPr>
              <w:t> </w:t>
            </w:r>
            <w:r w:rsidRPr="002F1F37">
              <w:rPr>
                <w:rFonts w:ascii="Times New Roman" w:hAnsi="Times New Roman"/>
                <w:bCs/>
                <w:sz w:val="24"/>
                <w:szCs w:val="24"/>
              </w:rPr>
              <w:t>949</w:t>
            </w: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BD1F68" w:rsidRDefault="00817AB2" w:rsidP="00423F2F">
            <w:pPr>
              <w:spacing w:after="0" w:line="240" w:lineRule="auto"/>
              <w:jc w:val="center"/>
              <w:rPr>
                <w:rFonts w:ascii="Times New Roman" w:hAnsi="Times New Roman"/>
                <w:b/>
                <w:bCs/>
                <w:sz w:val="24"/>
                <w:szCs w:val="24"/>
              </w:rPr>
            </w:pPr>
            <w:r w:rsidRPr="00BD1F68">
              <w:rPr>
                <w:rFonts w:ascii="Times New Roman" w:hAnsi="Times New Roman"/>
                <w:b/>
                <w:bCs/>
                <w:sz w:val="24"/>
                <w:szCs w:val="24"/>
              </w:rPr>
              <w:t>49 471</w:t>
            </w:r>
          </w:p>
        </w:tc>
        <w:tc>
          <w:tcPr>
            <w:tcW w:w="485" w:type="pct"/>
            <w:tcBorders>
              <w:top w:val="single" w:sz="6" w:space="0" w:color="auto"/>
              <w:left w:val="single" w:sz="6" w:space="0" w:color="auto"/>
              <w:bottom w:val="single" w:sz="6" w:space="0" w:color="auto"/>
            </w:tcBorders>
            <w:shd w:val="clear" w:color="auto" w:fill="FFF2CC" w:themeFill="accent4" w:themeFillTint="33"/>
          </w:tcPr>
          <w:p w:rsidR="00FF73D9" w:rsidRPr="002F1F37" w:rsidRDefault="00C56E1B" w:rsidP="00423F2F">
            <w:pPr>
              <w:spacing w:after="0" w:line="240" w:lineRule="auto"/>
              <w:jc w:val="center"/>
              <w:rPr>
                <w:rFonts w:ascii="Times New Roman" w:hAnsi="Times New Roman"/>
                <w:bCs/>
                <w:sz w:val="24"/>
                <w:szCs w:val="24"/>
              </w:rPr>
            </w:pPr>
            <w:r w:rsidRPr="00CE49EA">
              <w:rPr>
                <w:rFonts w:ascii="Times New Roman" w:hAnsi="Times New Roman"/>
                <w:b/>
                <w:color w:val="FF0000"/>
              </w:rPr>
              <w:sym w:font="Symbol" w:char="F0AF"/>
            </w:r>
          </w:p>
        </w:tc>
      </w:tr>
      <w:tr w:rsidR="00423F2F" w:rsidRPr="002F1F37" w:rsidTr="00466F0A">
        <w:trPr>
          <w:trHeight w:val="105"/>
        </w:trPr>
        <w:tc>
          <w:tcPr>
            <w:tcW w:w="5000" w:type="pct"/>
            <w:gridSpan w:val="7"/>
            <w:tcBorders>
              <w:bottom w:val="single" w:sz="6" w:space="0" w:color="auto"/>
            </w:tcBorders>
            <w:shd w:val="clear" w:color="auto" w:fill="auto"/>
          </w:tcPr>
          <w:p w:rsidR="00B9026D" w:rsidRDefault="00F11777" w:rsidP="00BD1F68">
            <w:pPr>
              <w:spacing w:after="0" w:line="240" w:lineRule="auto"/>
              <w:jc w:val="both"/>
              <w:rPr>
                <w:rFonts w:ascii="Times New Roman" w:hAnsi="Times New Roman"/>
                <w:bCs/>
                <w:sz w:val="20"/>
                <w:szCs w:val="20"/>
              </w:rPr>
            </w:pPr>
            <w:r>
              <w:rPr>
                <w:rFonts w:ascii="Times New Roman" w:hAnsi="Times New Roman"/>
                <w:bCs/>
                <w:sz w:val="20"/>
                <w:szCs w:val="20"/>
              </w:rPr>
              <w:t xml:space="preserve">Pārskata </w:t>
            </w:r>
            <w:r w:rsidRPr="00F11777">
              <w:rPr>
                <w:rFonts w:ascii="Times New Roman" w:hAnsi="Times New Roman"/>
                <w:bCs/>
                <w:sz w:val="20"/>
                <w:szCs w:val="20"/>
              </w:rPr>
              <w:t>periodā (</w:t>
            </w:r>
            <w:proofErr w:type="gramStart"/>
            <w:r w:rsidRPr="00F11777">
              <w:rPr>
                <w:rFonts w:ascii="Times New Roman" w:hAnsi="Times New Roman"/>
                <w:bCs/>
                <w:sz w:val="20"/>
                <w:szCs w:val="20"/>
              </w:rPr>
              <w:t>2014. – 2016.</w:t>
            </w:r>
            <w:proofErr w:type="gramEnd"/>
            <w:r w:rsidRPr="00F11777">
              <w:rPr>
                <w:rFonts w:ascii="Times New Roman" w:hAnsi="Times New Roman"/>
                <w:bCs/>
                <w:sz w:val="20"/>
                <w:szCs w:val="20"/>
              </w:rPr>
              <w:t>gads)</w:t>
            </w:r>
            <w:r>
              <w:rPr>
                <w:rFonts w:ascii="Times New Roman" w:hAnsi="Times New Roman"/>
                <w:bCs/>
                <w:sz w:val="20"/>
                <w:szCs w:val="20"/>
              </w:rPr>
              <w:t xml:space="preserve"> valsts apmaksātos sociālās rehabilitācijas pakalpojumus saņēmušas </w:t>
            </w:r>
            <w:r w:rsidR="00B9026D">
              <w:rPr>
                <w:rFonts w:ascii="Times New Roman" w:hAnsi="Times New Roman"/>
                <w:bCs/>
                <w:sz w:val="20"/>
                <w:szCs w:val="20"/>
              </w:rPr>
              <w:t xml:space="preserve">75 personas: 2014.gadā – 38, 2015.gadā – 20, 2016.gadā – 17. </w:t>
            </w:r>
            <w:r w:rsidR="00D86E5A">
              <w:rPr>
                <w:rFonts w:ascii="Times New Roman" w:hAnsi="Times New Roman"/>
                <w:bCs/>
                <w:sz w:val="20"/>
                <w:szCs w:val="20"/>
              </w:rPr>
              <w:t xml:space="preserve">Būtiskais pakalpojumu saņēmušo personu </w:t>
            </w:r>
            <w:r w:rsidR="009A433D">
              <w:rPr>
                <w:rFonts w:ascii="Times New Roman" w:hAnsi="Times New Roman"/>
                <w:bCs/>
                <w:sz w:val="20"/>
                <w:szCs w:val="20"/>
              </w:rPr>
              <w:t>samazinājums</w:t>
            </w:r>
            <w:r w:rsidR="00D86E5A">
              <w:rPr>
                <w:rFonts w:ascii="Times New Roman" w:hAnsi="Times New Roman"/>
                <w:bCs/>
                <w:sz w:val="20"/>
                <w:szCs w:val="20"/>
              </w:rPr>
              <w:t xml:space="preserve"> ir skaidrojams ar identificēto cilvēku tirdzniecības upuru skaitu samazinājumu, proti, līdz </w:t>
            </w:r>
            <w:proofErr w:type="gramStart"/>
            <w:r w:rsidR="00D86E5A">
              <w:rPr>
                <w:rFonts w:ascii="Times New Roman" w:hAnsi="Times New Roman"/>
                <w:bCs/>
                <w:sz w:val="20"/>
                <w:szCs w:val="20"/>
              </w:rPr>
              <w:t>2015.gadam</w:t>
            </w:r>
            <w:proofErr w:type="gramEnd"/>
            <w:r w:rsidR="00D86E5A">
              <w:rPr>
                <w:rFonts w:ascii="Times New Roman" w:hAnsi="Times New Roman"/>
                <w:bCs/>
                <w:sz w:val="20"/>
                <w:szCs w:val="20"/>
              </w:rPr>
              <w:t xml:space="preserve"> liels skaits identificēto upuru bija ārvalstīs piespiedu fiktīvajās laulībās iesaistītās Latvijas pilsones. 2014.gadā no 38 pakalpojumus saņēmušajām personām 22 bija piespiedu fiktīvo laulību upuri. Projekta HESTIA informatīvo aktivitāšu rezultātā būtiski samazinājās šādu cietušo personu skaits, attiecīgi </w:t>
            </w:r>
            <w:proofErr w:type="gramStart"/>
            <w:r w:rsidR="00D86E5A">
              <w:rPr>
                <w:rFonts w:ascii="Times New Roman" w:hAnsi="Times New Roman"/>
                <w:bCs/>
                <w:sz w:val="20"/>
                <w:szCs w:val="20"/>
              </w:rPr>
              <w:t>2015.gadā</w:t>
            </w:r>
            <w:proofErr w:type="gramEnd"/>
            <w:r w:rsidR="00D86E5A">
              <w:rPr>
                <w:rFonts w:ascii="Times New Roman" w:hAnsi="Times New Roman"/>
                <w:bCs/>
                <w:sz w:val="20"/>
                <w:szCs w:val="20"/>
              </w:rPr>
              <w:t xml:space="preserve"> – 5, 2016.gadā – 1. </w:t>
            </w:r>
            <w:r w:rsidR="009A433D">
              <w:rPr>
                <w:rFonts w:ascii="Times New Roman" w:hAnsi="Times New Roman"/>
                <w:bCs/>
                <w:sz w:val="20"/>
                <w:szCs w:val="20"/>
              </w:rPr>
              <w:t xml:space="preserve">Lai gan Latvija joprojām uzskatāma galvenokārt par cilvēku tirdzniecības upuru izcelsmes valsti, kopš </w:t>
            </w:r>
            <w:proofErr w:type="gramStart"/>
            <w:r w:rsidR="009A433D">
              <w:rPr>
                <w:rFonts w:ascii="Times New Roman" w:hAnsi="Times New Roman"/>
                <w:bCs/>
                <w:sz w:val="20"/>
                <w:szCs w:val="20"/>
              </w:rPr>
              <w:t>2015.gadā</w:t>
            </w:r>
            <w:proofErr w:type="gramEnd"/>
            <w:r w:rsidR="009A433D">
              <w:rPr>
                <w:rFonts w:ascii="Times New Roman" w:hAnsi="Times New Roman"/>
                <w:bCs/>
                <w:sz w:val="20"/>
                <w:szCs w:val="20"/>
              </w:rPr>
              <w:t xml:space="preserve"> tiek atklāti personu ekspluatācijas gadījumi Latvijas teritorijā (cilvēku tirdzniecības valsts iekšienē): identificētie cilvēku tirdzniecības upuri 2014.gadā ārvalstīs – 24, Latvijā – 0, 2015.gadā ārvalstīs – 6, Latvijā – 8, 2016.gadā ārvalstīs – 5, Latvijā – 14. </w:t>
            </w:r>
          </w:p>
          <w:p w:rsidR="00623492" w:rsidRPr="00BD1F68" w:rsidRDefault="00623492" w:rsidP="00BD1F68">
            <w:pPr>
              <w:spacing w:after="0" w:line="240" w:lineRule="auto"/>
              <w:jc w:val="both"/>
              <w:rPr>
                <w:rFonts w:ascii="Times New Roman" w:hAnsi="Times New Roman"/>
                <w:bCs/>
                <w:sz w:val="20"/>
                <w:szCs w:val="20"/>
              </w:rPr>
            </w:pPr>
            <w:r w:rsidRPr="00623492">
              <w:rPr>
                <w:rFonts w:ascii="Times New Roman" w:hAnsi="Times New Roman"/>
                <w:bCs/>
                <w:sz w:val="20"/>
                <w:szCs w:val="20"/>
              </w:rPr>
              <w:t>Pārskata periodā (</w:t>
            </w:r>
            <w:proofErr w:type="gramStart"/>
            <w:r w:rsidRPr="00623492">
              <w:rPr>
                <w:rFonts w:ascii="Times New Roman" w:hAnsi="Times New Roman"/>
                <w:bCs/>
                <w:sz w:val="20"/>
                <w:szCs w:val="20"/>
              </w:rPr>
              <w:t>2014. – 2016.</w:t>
            </w:r>
            <w:proofErr w:type="gramEnd"/>
            <w:r w:rsidRPr="00623492">
              <w:rPr>
                <w:rFonts w:ascii="Times New Roman" w:hAnsi="Times New Roman"/>
                <w:bCs/>
                <w:sz w:val="20"/>
                <w:szCs w:val="20"/>
              </w:rPr>
              <w:t>gads)</w:t>
            </w:r>
            <w:r>
              <w:rPr>
                <w:rFonts w:ascii="Times New Roman" w:hAnsi="Times New Roman"/>
                <w:bCs/>
                <w:sz w:val="20"/>
                <w:szCs w:val="20"/>
              </w:rPr>
              <w:t xml:space="preserve"> Labklājības ministrija nodrošinājusi finansējuma plānošanu </w:t>
            </w:r>
            <w:r w:rsidRPr="00623492">
              <w:rPr>
                <w:rFonts w:ascii="Times New Roman" w:hAnsi="Times New Roman"/>
                <w:bCs/>
                <w:sz w:val="20"/>
                <w:szCs w:val="20"/>
              </w:rPr>
              <w:t>va</w:t>
            </w:r>
            <w:r>
              <w:rPr>
                <w:rFonts w:ascii="Times New Roman" w:hAnsi="Times New Roman"/>
                <w:bCs/>
                <w:sz w:val="20"/>
                <w:szCs w:val="20"/>
              </w:rPr>
              <w:t>lsts apmaksātā</w:t>
            </w:r>
            <w:r w:rsidRPr="00623492">
              <w:rPr>
                <w:rFonts w:ascii="Times New Roman" w:hAnsi="Times New Roman"/>
                <w:bCs/>
                <w:sz w:val="20"/>
                <w:szCs w:val="20"/>
              </w:rPr>
              <w:t xml:space="preserve"> sociā</w:t>
            </w:r>
            <w:r>
              <w:rPr>
                <w:rFonts w:ascii="Times New Roman" w:hAnsi="Times New Roman"/>
                <w:bCs/>
                <w:sz w:val="20"/>
                <w:szCs w:val="20"/>
              </w:rPr>
              <w:t xml:space="preserve">lās rehabilitācijas pakalpojuma cilvēku tirdzniecības upuriem </w:t>
            </w:r>
            <w:r w:rsidR="00143086">
              <w:rPr>
                <w:rFonts w:ascii="Times New Roman" w:hAnsi="Times New Roman"/>
                <w:bCs/>
                <w:sz w:val="20"/>
                <w:szCs w:val="20"/>
              </w:rPr>
              <w:t xml:space="preserve">nodrošināšanai, attiecīgi 2014.gadā 159 378 </w:t>
            </w:r>
            <w:proofErr w:type="spellStart"/>
            <w:r w:rsidR="00143086" w:rsidRPr="00143086">
              <w:rPr>
                <w:rFonts w:ascii="Times New Roman" w:hAnsi="Times New Roman"/>
                <w:bCs/>
                <w:i/>
                <w:sz w:val="20"/>
                <w:szCs w:val="20"/>
              </w:rPr>
              <w:t>euro</w:t>
            </w:r>
            <w:proofErr w:type="spellEnd"/>
            <w:r w:rsidR="00143086">
              <w:rPr>
                <w:rFonts w:ascii="Times New Roman" w:hAnsi="Times New Roman"/>
                <w:bCs/>
                <w:sz w:val="20"/>
                <w:szCs w:val="20"/>
              </w:rPr>
              <w:t xml:space="preserve">, 2015.gadā – 162 562 </w:t>
            </w:r>
            <w:proofErr w:type="spellStart"/>
            <w:r w:rsidR="00143086" w:rsidRPr="00143086">
              <w:rPr>
                <w:rFonts w:ascii="Times New Roman" w:hAnsi="Times New Roman"/>
                <w:bCs/>
                <w:i/>
                <w:sz w:val="20"/>
                <w:szCs w:val="20"/>
              </w:rPr>
              <w:t>euro</w:t>
            </w:r>
            <w:proofErr w:type="spellEnd"/>
            <w:r w:rsidR="00143086">
              <w:rPr>
                <w:rFonts w:ascii="Times New Roman" w:hAnsi="Times New Roman"/>
                <w:bCs/>
                <w:sz w:val="20"/>
                <w:szCs w:val="20"/>
              </w:rPr>
              <w:t xml:space="preserve">, 2016.gadā – 133 275 </w:t>
            </w:r>
            <w:proofErr w:type="spellStart"/>
            <w:r w:rsidR="00143086" w:rsidRPr="00143086">
              <w:rPr>
                <w:rFonts w:ascii="Times New Roman" w:hAnsi="Times New Roman"/>
                <w:bCs/>
                <w:i/>
                <w:sz w:val="20"/>
                <w:szCs w:val="20"/>
              </w:rPr>
              <w:t>euro</w:t>
            </w:r>
            <w:proofErr w:type="spellEnd"/>
            <w:r w:rsidR="00143086">
              <w:rPr>
                <w:rFonts w:ascii="Times New Roman" w:hAnsi="Times New Roman"/>
                <w:bCs/>
                <w:sz w:val="20"/>
                <w:szCs w:val="20"/>
              </w:rPr>
              <w:t xml:space="preserve">. Sociālās rehabilitācijas pakalpojumu nodrošināšanai izlietotais valsts finansējums: </w:t>
            </w:r>
            <w:proofErr w:type="gramStart"/>
            <w:r w:rsidR="00143086">
              <w:rPr>
                <w:rFonts w:ascii="Times New Roman" w:hAnsi="Times New Roman"/>
                <w:bCs/>
                <w:sz w:val="20"/>
                <w:szCs w:val="20"/>
              </w:rPr>
              <w:t>2014.gadā</w:t>
            </w:r>
            <w:proofErr w:type="gramEnd"/>
            <w:r w:rsidR="00143086">
              <w:rPr>
                <w:rFonts w:ascii="Times New Roman" w:hAnsi="Times New Roman"/>
                <w:bCs/>
                <w:sz w:val="20"/>
                <w:szCs w:val="20"/>
              </w:rPr>
              <w:t xml:space="preserve"> – 97 421 </w:t>
            </w:r>
            <w:proofErr w:type="spellStart"/>
            <w:r w:rsidR="00143086" w:rsidRPr="00143086">
              <w:rPr>
                <w:rFonts w:ascii="Times New Roman" w:hAnsi="Times New Roman"/>
                <w:bCs/>
                <w:i/>
                <w:sz w:val="20"/>
                <w:szCs w:val="20"/>
              </w:rPr>
              <w:t>euro</w:t>
            </w:r>
            <w:proofErr w:type="spellEnd"/>
            <w:r w:rsidR="00143086">
              <w:rPr>
                <w:rFonts w:ascii="Times New Roman" w:hAnsi="Times New Roman"/>
                <w:bCs/>
                <w:sz w:val="20"/>
                <w:szCs w:val="20"/>
              </w:rPr>
              <w:t xml:space="preserve">, 2015.gadā – 67 982 </w:t>
            </w:r>
            <w:proofErr w:type="spellStart"/>
            <w:r w:rsidR="00143086" w:rsidRPr="00143086">
              <w:rPr>
                <w:rFonts w:ascii="Times New Roman" w:hAnsi="Times New Roman"/>
                <w:bCs/>
                <w:i/>
                <w:sz w:val="20"/>
                <w:szCs w:val="20"/>
              </w:rPr>
              <w:t>euro</w:t>
            </w:r>
            <w:proofErr w:type="spellEnd"/>
            <w:r w:rsidR="00143086">
              <w:rPr>
                <w:rFonts w:ascii="Times New Roman" w:hAnsi="Times New Roman"/>
                <w:bCs/>
                <w:sz w:val="20"/>
                <w:szCs w:val="20"/>
              </w:rPr>
              <w:t xml:space="preserve">, 2016.gadā – 49 471 </w:t>
            </w:r>
            <w:proofErr w:type="spellStart"/>
            <w:r w:rsidR="00143086" w:rsidRPr="00143086">
              <w:rPr>
                <w:rFonts w:ascii="Times New Roman" w:hAnsi="Times New Roman"/>
                <w:bCs/>
                <w:i/>
                <w:sz w:val="20"/>
                <w:szCs w:val="20"/>
              </w:rPr>
              <w:t>euro</w:t>
            </w:r>
            <w:proofErr w:type="spellEnd"/>
            <w:r w:rsidR="00143086">
              <w:rPr>
                <w:rFonts w:ascii="Times New Roman" w:hAnsi="Times New Roman"/>
                <w:bCs/>
                <w:sz w:val="20"/>
                <w:szCs w:val="20"/>
              </w:rPr>
              <w:t>.</w:t>
            </w:r>
          </w:p>
        </w:tc>
      </w:tr>
      <w:tr w:rsidR="003A7FF2" w:rsidRPr="002F1F37" w:rsidTr="00466F0A">
        <w:trPr>
          <w:trHeight w:val="105"/>
        </w:trPr>
        <w:tc>
          <w:tcPr>
            <w:tcW w:w="1600" w:type="pct"/>
            <w:gridSpan w:val="2"/>
            <w:vMerge w:val="restart"/>
            <w:tcBorders>
              <w:top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Darbības rezultāts A1.:</w:t>
            </w:r>
            <w:r w:rsidRPr="002F1F37">
              <w:rPr>
                <w:rFonts w:ascii="Times New Roman" w:hAnsi="Times New Roman"/>
                <w:b/>
                <w:bCs/>
                <w:sz w:val="24"/>
                <w:szCs w:val="24"/>
              </w:rPr>
              <w:t xml:space="preserve"> </w:t>
            </w:r>
            <w:r w:rsidRPr="002F1F37">
              <w:rPr>
                <w:rFonts w:ascii="Times New Roman" w:hAnsi="Times New Roman"/>
                <w:bCs/>
                <w:sz w:val="24"/>
                <w:szCs w:val="24"/>
              </w:rPr>
              <w:t>īstenota skolēnu izglītošana par cilvēku tirdzniecības riskiem, draudiem un sekām</w:t>
            </w:r>
          </w:p>
        </w:tc>
        <w:tc>
          <w:tcPr>
            <w:tcW w:w="1458"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t>Rezultatīvais rādītājs</w:t>
            </w:r>
            <w:r w:rsidRPr="002F1F37">
              <w:rPr>
                <w:rFonts w:ascii="Times New Roman" w:hAnsi="Times New Roman"/>
                <w:sz w:val="24"/>
                <w:szCs w:val="24"/>
              </w:rPr>
              <w:t>: izglītoto skolēnu skaits</w:t>
            </w: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35 702</w:t>
            </w: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36 000</w:t>
            </w: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D52750" w:rsidRDefault="003B594C" w:rsidP="00423F2F">
            <w:pPr>
              <w:spacing w:after="0" w:line="240" w:lineRule="auto"/>
              <w:jc w:val="center"/>
              <w:rPr>
                <w:rFonts w:ascii="Times New Roman" w:hAnsi="Times New Roman"/>
                <w:b/>
                <w:sz w:val="24"/>
                <w:szCs w:val="24"/>
              </w:rPr>
            </w:pPr>
            <w:r>
              <w:rPr>
                <w:rFonts w:ascii="Times New Roman" w:hAnsi="Times New Roman"/>
                <w:b/>
                <w:sz w:val="24"/>
                <w:szCs w:val="24"/>
              </w:rPr>
              <w:t>35 </w:t>
            </w:r>
            <w:r w:rsidRPr="003B594C">
              <w:rPr>
                <w:rFonts w:ascii="Times New Roman" w:hAnsi="Times New Roman"/>
                <w:b/>
                <w:sz w:val="24"/>
                <w:szCs w:val="24"/>
              </w:rPr>
              <w:t>782</w:t>
            </w:r>
          </w:p>
        </w:tc>
        <w:tc>
          <w:tcPr>
            <w:tcW w:w="485" w:type="pct"/>
            <w:tcBorders>
              <w:top w:val="single" w:sz="6" w:space="0" w:color="auto"/>
              <w:left w:val="single" w:sz="6" w:space="0" w:color="auto"/>
              <w:bottom w:val="single" w:sz="6" w:space="0" w:color="auto"/>
            </w:tcBorders>
            <w:shd w:val="clear" w:color="auto" w:fill="FFF2CC" w:themeFill="accent4" w:themeFillTint="33"/>
          </w:tcPr>
          <w:p w:rsidR="00FF73D9" w:rsidRPr="003B594C" w:rsidRDefault="003B594C" w:rsidP="003B594C">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tc>
      </w:tr>
      <w:tr w:rsidR="003A7FF2" w:rsidRPr="002F1F37" w:rsidTr="00466F0A">
        <w:trPr>
          <w:trHeight w:val="726"/>
        </w:trPr>
        <w:tc>
          <w:tcPr>
            <w:tcW w:w="1600" w:type="pct"/>
            <w:gridSpan w:val="2"/>
            <w:vMerge/>
            <w:tcBorders>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p>
        </w:tc>
        <w:tc>
          <w:tcPr>
            <w:tcW w:w="1458"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t>Rezultatīvais rādītājs</w:t>
            </w:r>
            <w:r w:rsidRPr="002F1F37">
              <w:rPr>
                <w:rFonts w:ascii="Times New Roman" w:hAnsi="Times New Roman"/>
                <w:sz w:val="24"/>
                <w:szCs w:val="24"/>
              </w:rPr>
              <w:t>: izglītojošo pasākumu skaits (mācību stundu skaits pamatizglītības programmā sociālajās zinībās)</w:t>
            </w: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35 – 70&gt;</w:t>
            </w:r>
          </w:p>
          <w:p w:rsidR="00FF73D9" w:rsidRPr="002F1F37" w:rsidRDefault="00FF73D9" w:rsidP="00423F2F">
            <w:pPr>
              <w:spacing w:after="0" w:line="240" w:lineRule="auto"/>
              <w:jc w:val="center"/>
              <w:rPr>
                <w:rFonts w:ascii="Times New Roman" w:hAnsi="Times New Roman"/>
                <w:sz w:val="24"/>
                <w:szCs w:val="24"/>
              </w:rPr>
            </w:pP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35 – 70&gt;</w:t>
            </w:r>
          </w:p>
          <w:p w:rsidR="00FF73D9" w:rsidRPr="002F1F37" w:rsidRDefault="00FF73D9" w:rsidP="00423F2F">
            <w:pPr>
              <w:spacing w:after="0" w:line="240" w:lineRule="auto"/>
              <w:jc w:val="center"/>
              <w:rPr>
                <w:rFonts w:ascii="Times New Roman" w:hAnsi="Times New Roman"/>
                <w:sz w:val="24"/>
                <w:szCs w:val="24"/>
              </w:rPr>
            </w:pP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D52750" w:rsidRDefault="00FF73D9" w:rsidP="00423F2F">
            <w:pPr>
              <w:spacing w:after="0" w:line="240" w:lineRule="auto"/>
              <w:jc w:val="center"/>
              <w:rPr>
                <w:rFonts w:ascii="Times New Roman" w:hAnsi="Times New Roman"/>
                <w:b/>
                <w:sz w:val="24"/>
                <w:szCs w:val="24"/>
              </w:rPr>
            </w:pPr>
            <w:r w:rsidRPr="00D52750">
              <w:rPr>
                <w:rFonts w:ascii="Times New Roman" w:hAnsi="Times New Roman"/>
                <w:b/>
                <w:sz w:val="24"/>
                <w:szCs w:val="24"/>
              </w:rPr>
              <w:t>35 – 70&gt;</w:t>
            </w:r>
          </w:p>
          <w:p w:rsidR="00FF73D9" w:rsidRPr="002F1F37" w:rsidRDefault="00FF73D9" w:rsidP="00423F2F">
            <w:pPr>
              <w:spacing w:after="0" w:line="240" w:lineRule="auto"/>
              <w:jc w:val="center"/>
              <w:rPr>
                <w:rFonts w:ascii="Times New Roman" w:hAnsi="Times New Roman"/>
                <w:sz w:val="24"/>
                <w:szCs w:val="24"/>
              </w:rPr>
            </w:pPr>
          </w:p>
        </w:tc>
        <w:tc>
          <w:tcPr>
            <w:tcW w:w="485" w:type="pct"/>
            <w:tcBorders>
              <w:top w:val="single" w:sz="6" w:space="0" w:color="auto"/>
              <w:left w:val="single" w:sz="6" w:space="0" w:color="auto"/>
              <w:bottom w:val="single" w:sz="6" w:space="0" w:color="auto"/>
            </w:tcBorders>
            <w:shd w:val="clear" w:color="auto" w:fill="FFF2CC" w:themeFill="accent4" w:themeFillTint="33"/>
          </w:tcPr>
          <w:p w:rsidR="000928CC" w:rsidRPr="00CE49EA" w:rsidRDefault="000928CC" w:rsidP="000928CC">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spacing w:after="0" w:line="240" w:lineRule="auto"/>
              <w:jc w:val="center"/>
              <w:rPr>
                <w:rFonts w:ascii="Times New Roman" w:hAnsi="Times New Roman"/>
                <w:sz w:val="24"/>
                <w:szCs w:val="24"/>
              </w:rPr>
            </w:pPr>
          </w:p>
        </w:tc>
      </w:tr>
      <w:tr w:rsidR="00D52750" w:rsidRPr="002F1F37" w:rsidTr="00466F0A">
        <w:trPr>
          <w:trHeight w:val="476"/>
        </w:trPr>
        <w:tc>
          <w:tcPr>
            <w:tcW w:w="5000" w:type="pct"/>
            <w:gridSpan w:val="7"/>
            <w:tcBorders>
              <w:bottom w:val="single" w:sz="6" w:space="0" w:color="auto"/>
            </w:tcBorders>
            <w:shd w:val="clear" w:color="auto" w:fill="auto"/>
          </w:tcPr>
          <w:p w:rsidR="00D52750" w:rsidRPr="00D52750" w:rsidRDefault="00D52750" w:rsidP="00D52750">
            <w:pPr>
              <w:spacing w:after="0" w:line="240" w:lineRule="auto"/>
              <w:jc w:val="both"/>
              <w:rPr>
                <w:rFonts w:ascii="Times New Roman" w:hAnsi="Times New Roman"/>
                <w:sz w:val="20"/>
                <w:szCs w:val="20"/>
              </w:rPr>
            </w:pPr>
            <w:r w:rsidRPr="00D52750">
              <w:rPr>
                <w:rFonts w:ascii="Times New Roman" w:hAnsi="Times New Roman"/>
                <w:sz w:val="20"/>
                <w:szCs w:val="20"/>
              </w:rPr>
              <w:t xml:space="preserve">Izglītojamo skaita sadalījums </w:t>
            </w:r>
            <w:r w:rsidR="003B594C">
              <w:rPr>
                <w:rFonts w:ascii="Times New Roman" w:hAnsi="Times New Roman"/>
                <w:sz w:val="20"/>
                <w:szCs w:val="20"/>
              </w:rPr>
              <w:t xml:space="preserve">8. un </w:t>
            </w:r>
            <w:proofErr w:type="gramStart"/>
            <w:r w:rsidRPr="00D52750">
              <w:rPr>
                <w:rFonts w:ascii="Times New Roman" w:hAnsi="Times New Roman"/>
                <w:sz w:val="20"/>
                <w:szCs w:val="20"/>
              </w:rPr>
              <w:t>9.klasē</w:t>
            </w:r>
            <w:proofErr w:type="gramEnd"/>
            <w:r w:rsidRPr="00D52750">
              <w:rPr>
                <w:rFonts w:ascii="Times New Roman" w:hAnsi="Times New Roman"/>
                <w:sz w:val="20"/>
                <w:szCs w:val="20"/>
              </w:rPr>
              <w:t xml:space="preserve"> vispārizglītojošās dienas izglītības programmās, kuri apguvuši zināšanas par cilvēku tirdzniecības riskiem, draudiem un sekām mācību pr</w:t>
            </w:r>
            <w:r>
              <w:rPr>
                <w:rFonts w:ascii="Times New Roman" w:hAnsi="Times New Roman"/>
                <w:sz w:val="20"/>
                <w:szCs w:val="20"/>
              </w:rPr>
              <w:t>iekšmetos “Sociālās zinības”</w:t>
            </w:r>
            <w:r w:rsidR="00F20771">
              <w:rPr>
                <w:rFonts w:ascii="Times New Roman" w:hAnsi="Times New Roman"/>
                <w:sz w:val="20"/>
                <w:szCs w:val="20"/>
              </w:rPr>
              <w:t>,</w:t>
            </w:r>
            <w:r w:rsidR="00F20771">
              <w:t xml:space="preserve"> </w:t>
            </w:r>
            <w:r w:rsidR="00F20771" w:rsidRPr="00F20771">
              <w:rPr>
                <w:rFonts w:ascii="Times New Roman" w:hAnsi="Times New Roman"/>
                <w:sz w:val="20"/>
                <w:szCs w:val="20"/>
              </w:rPr>
              <w:t xml:space="preserve">“Bioloģija”, kā arī klases </w:t>
            </w:r>
            <w:r w:rsidR="00F20771">
              <w:rPr>
                <w:rFonts w:ascii="Times New Roman" w:hAnsi="Times New Roman"/>
                <w:sz w:val="20"/>
                <w:szCs w:val="20"/>
              </w:rPr>
              <w:t xml:space="preserve">audzināšanas </w:t>
            </w:r>
            <w:r w:rsidR="00F20771" w:rsidRPr="00F20771">
              <w:rPr>
                <w:rFonts w:ascii="Times New Roman" w:hAnsi="Times New Roman"/>
                <w:sz w:val="20"/>
                <w:szCs w:val="20"/>
              </w:rPr>
              <w:t>stundās:</w:t>
            </w:r>
          </w:p>
          <w:p w:rsidR="00D52750" w:rsidRPr="00D52750" w:rsidRDefault="00D52750" w:rsidP="00D52750">
            <w:pPr>
              <w:spacing w:after="0" w:line="240" w:lineRule="auto"/>
              <w:jc w:val="both"/>
              <w:rPr>
                <w:rFonts w:ascii="Times New Roman" w:hAnsi="Times New Roman"/>
                <w:sz w:val="20"/>
                <w:szCs w:val="20"/>
              </w:rPr>
            </w:pPr>
            <w:r w:rsidRPr="00D52750">
              <w:rPr>
                <w:rFonts w:ascii="Times New Roman" w:hAnsi="Times New Roman"/>
                <w:sz w:val="20"/>
                <w:szCs w:val="20"/>
              </w:rPr>
              <w:t>2014./2015.māc</w:t>
            </w:r>
            <w:r>
              <w:rPr>
                <w:rFonts w:ascii="Times New Roman" w:hAnsi="Times New Roman"/>
                <w:sz w:val="20"/>
                <w:szCs w:val="20"/>
              </w:rPr>
              <w:t xml:space="preserve">ību gads – </w:t>
            </w:r>
            <w:r w:rsidR="003B594C">
              <w:rPr>
                <w:rFonts w:ascii="Times New Roman" w:hAnsi="Times New Roman"/>
                <w:sz w:val="20"/>
                <w:szCs w:val="20"/>
              </w:rPr>
              <w:t>35 </w:t>
            </w:r>
            <w:r w:rsidR="003B594C" w:rsidRPr="003B594C">
              <w:rPr>
                <w:rFonts w:ascii="Times New Roman" w:hAnsi="Times New Roman"/>
                <w:sz w:val="20"/>
                <w:szCs w:val="20"/>
              </w:rPr>
              <w:t>508</w:t>
            </w:r>
            <w:r w:rsidR="003B594C">
              <w:rPr>
                <w:rFonts w:ascii="Times New Roman" w:hAnsi="Times New Roman"/>
                <w:sz w:val="20"/>
                <w:szCs w:val="20"/>
              </w:rPr>
              <w:t xml:space="preserve"> </w:t>
            </w:r>
            <w:r>
              <w:rPr>
                <w:rFonts w:ascii="Times New Roman" w:hAnsi="Times New Roman"/>
                <w:sz w:val="20"/>
                <w:szCs w:val="20"/>
              </w:rPr>
              <w:t>izglītojamie;</w:t>
            </w:r>
          </w:p>
          <w:p w:rsidR="00D52750" w:rsidRPr="00D52750" w:rsidRDefault="00D52750" w:rsidP="00D52750">
            <w:pPr>
              <w:spacing w:after="0" w:line="240" w:lineRule="auto"/>
              <w:jc w:val="both"/>
              <w:rPr>
                <w:rFonts w:ascii="Times New Roman" w:hAnsi="Times New Roman"/>
                <w:sz w:val="20"/>
                <w:szCs w:val="20"/>
              </w:rPr>
            </w:pPr>
            <w:r w:rsidRPr="00D52750">
              <w:rPr>
                <w:rFonts w:ascii="Times New Roman" w:hAnsi="Times New Roman"/>
                <w:sz w:val="20"/>
                <w:szCs w:val="20"/>
              </w:rPr>
              <w:t>2015./2016.māc</w:t>
            </w:r>
            <w:r>
              <w:rPr>
                <w:rFonts w:ascii="Times New Roman" w:hAnsi="Times New Roman"/>
                <w:sz w:val="20"/>
                <w:szCs w:val="20"/>
              </w:rPr>
              <w:t xml:space="preserve">ību gads – </w:t>
            </w:r>
            <w:r w:rsidR="003B594C">
              <w:rPr>
                <w:rFonts w:ascii="Times New Roman" w:hAnsi="Times New Roman"/>
                <w:sz w:val="20"/>
                <w:szCs w:val="20"/>
              </w:rPr>
              <w:t>35 </w:t>
            </w:r>
            <w:r w:rsidR="003B594C" w:rsidRPr="003B594C">
              <w:rPr>
                <w:rFonts w:ascii="Times New Roman" w:hAnsi="Times New Roman"/>
                <w:sz w:val="20"/>
                <w:szCs w:val="20"/>
              </w:rPr>
              <w:t>918</w:t>
            </w:r>
            <w:r w:rsidR="003B594C">
              <w:rPr>
                <w:rFonts w:ascii="Times New Roman" w:hAnsi="Times New Roman"/>
                <w:sz w:val="20"/>
                <w:szCs w:val="20"/>
              </w:rPr>
              <w:t xml:space="preserve"> </w:t>
            </w:r>
            <w:r>
              <w:rPr>
                <w:rFonts w:ascii="Times New Roman" w:hAnsi="Times New Roman"/>
                <w:sz w:val="20"/>
                <w:szCs w:val="20"/>
              </w:rPr>
              <w:t>izglītojamie;</w:t>
            </w:r>
          </w:p>
          <w:p w:rsidR="0028134E" w:rsidRPr="003B594C" w:rsidRDefault="00D52750" w:rsidP="0007684F">
            <w:pPr>
              <w:spacing w:after="0" w:line="240" w:lineRule="auto"/>
              <w:jc w:val="both"/>
              <w:rPr>
                <w:rFonts w:ascii="Times New Roman" w:hAnsi="Times New Roman"/>
                <w:sz w:val="20"/>
                <w:szCs w:val="20"/>
              </w:rPr>
            </w:pPr>
            <w:r w:rsidRPr="00D52750">
              <w:rPr>
                <w:rFonts w:ascii="Times New Roman" w:hAnsi="Times New Roman"/>
                <w:sz w:val="20"/>
                <w:szCs w:val="20"/>
              </w:rPr>
              <w:t xml:space="preserve">2016./2017.mācību gads – </w:t>
            </w:r>
            <w:r w:rsidR="003B594C">
              <w:rPr>
                <w:rFonts w:ascii="Times New Roman" w:hAnsi="Times New Roman"/>
                <w:sz w:val="20"/>
                <w:szCs w:val="20"/>
              </w:rPr>
              <w:t>35 </w:t>
            </w:r>
            <w:r w:rsidR="003B594C" w:rsidRPr="003B594C">
              <w:rPr>
                <w:rFonts w:ascii="Times New Roman" w:hAnsi="Times New Roman"/>
                <w:sz w:val="20"/>
                <w:szCs w:val="20"/>
              </w:rPr>
              <w:t>782</w:t>
            </w:r>
            <w:r w:rsidR="003B594C">
              <w:rPr>
                <w:rFonts w:ascii="Times New Roman" w:hAnsi="Times New Roman"/>
                <w:sz w:val="20"/>
                <w:szCs w:val="20"/>
              </w:rPr>
              <w:t xml:space="preserve"> </w:t>
            </w:r>
            <w:r w:rsidRPr="00D52750">
              <w:rPr>
                <w:rFonts w:ascii="Times New Roman" w:hAnsi="Times New Roman"/>
                <w:sz w:val="20"/>
                <w:szCs w:val="20"/>
              </w:rPr>
              <w:t>izglītojamie.</w:t>
            </w:r>
          </w:p>
        </w:tc>
      </w:tr>
      <w:tr w:rsidR="003A7FF2" w:rsidRPr="002F1F37" w:rsidTr="00466F0A">
        <w:trPr>
          <w:trHeight w:val="105"/>
        </w:trPr>
        <w:tc>
          <w:tcPr>
            <w:tcW w:w="1600" w:type="pct"/>
            <w:gridSpan w:val="2"/>
            <w:vMerge w:val="restart"/>
            <w:tcBorders>
              <w:top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bCs/>
                <w:i/>
                <w:sz w:val="24"/>
                <w:szCs w:val="24"/>
              </w:rPr>
              <w:t>Darbības rezultāts A2.:</w:t>
            </w:r>
            <w:r w:rsidRPr="002F1F37">
              <w:rPr>
                <w:rFonts w:ascii="Times New Roman" w:hAnsi="Times New Roman"/>
                <w:b/>
                <w:bCs/>
                <w:sz w:val="24"/>
                <w:szCs w:val="24"/>
              </w:rPr>
              <w:t xml:space="preserve"> </w:t>
            </w:r>
            <w:r w:rsidRPr="002F1F37">
              <w:rPr>
                <w:rFonts w:ascii="Times New Roman" w:hAnsi="Times New Roman"/>
                <w:bCs/>
                <w:sz w:val="24"/>
                <w:szCs w:val="24"/>
              </w:rPr>
              <w:t xml:space="preserve">nodrošināti pedagogu profesionālās pilnveides kursi un semināri par </w:t>
            </w:r>
            <w:r w:rsidRPr="002F1F37">
              <w:rPr>
                <w:rFonts w:ascii="Times New Roman" w:hAnsi="Times New Roman"/>
                <w:bCs/>
                <w:sz w:val="24"/>
                <w:szCs w:val="24"/>
              </w:rPr>
              <w:lastRenderedPageBreak/>
              <w:t>cilvēku tirdzniecības un prostitūcijas profilakses jautājumiem</w:t>
            </w:r>
          </w:p>
        </w:tc>
        <w:tc>
          <w:tcPr>
            <w:tcW w:w="1458"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i/>
                <w:sz w:val="24"/>
                <w:szCs w:val="24"/>
              </w:rPr>
              <w:lastRenderedPageBreak/>
              <w:t>Rezultatīvais rādītājs:</w:t>
            </w:r>
            <w:r w:rsidRPr="002F1F37">
              <w:rPr>
                <w:rFonts w:ascii="Times New Roman" w:hAnsi="Times New Roman"/>
                <w:b/>
                <w:sz w:val="24"/>
                <w:szCs w:val="24"/>
              </w:rPr>
              <w:t xml:space="preserve"> </w:t>
            </w:r>
            <w:r w:rsidRPr="002F1F37">
              <w:rPr>
                <w:rFonts w:ascii="Times New Roman" w:hAnsi="Times New Roman"/>
                <w:sz w:val="24"/>
                <w:szCs w:val="24"/>
              </w:rPr>
              <w:t>profesionālās pilnveides kursus apguvušo pedagogu skaits</w:t>
            </w: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55</w:t>
            </w: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60</w:t>
            </w: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E832AC" w:rsidRDefault="00E832AC" w:rsidP="00423F2F">
            <w:pPr>
              <w:spacing w:after="0" w:line="240" w:lineRule="auto"/>
              <w:jc w:val="center"/>
              <w:rPr>
                <w:rFonts w:ascii="Times New Roman" w:hAnsi="Times New Roman"/>
                <w:b/>
                <w:bCs/>
                <w:sz w:val="24"/>
                <w:szCs w:val="24"/>
              </w:rPr>
            </w:pPr>
            <w:r w:rsidRPr="00E832AC">
              <w:rPr>
                <w:rFonts w:ascii="Times New Roman" w:hAnsi="Times New Roman"/>
                <w:b/>
                <w:bCs/>
                <w:sz w:val="24"/>
                <w:szCs w:val="24"/>
              </w:rPr>
              <w:t>1748</w:t>
            </w:r>
          </w:p>
        </w:tc>
        <w:tc>
          <w:tcPr>
            <w:tcW w:w="485" w:type="pct"/>
            <w:tcBorders>
              <w:top w:val="single" w:sz="6" w:space="0" w:color="auto"/>
              <w:left w:val="single" w:sz="6" w:space="0" w:color="auto"/>
              <w:bottom w:val="single" w:sz="6" w:space="0" w:color="auto"/>
            </w:tcBorders>
            <w:shd w:val="clear" w:color="auto" w:fill="FFF2CC" w:themeFill="accent4" w:themeFillTint="33"/>
          </w:tcPr>
          <w:p w:rsidR="00FF73D9" w:rsidRPr="002F1F37" w:rsidRDefault="000928CC" w:rsidP="00423F2F">
            <w:pPr>
              <w:spacing w:after="0" w:line="240" w:lineRule="auto"/>
              <w:jc w:val="center"/>
              <w:rPr>
                <w:rFonts w:ascii="Times New Roman" w:hAnsi="Times New Roman"/>
                <w:bCs/>
                <w:sz w:val="24"/>
                <w:szCs w:val="24"/>
              </w:rPr>
            </w:pPr>
            <w:r w:rsidRPr="00CE49EA">
              <w:rPr>
                <w:rFonts w:ascii="Times New Roman" w:hAnsi="Times New Roman"/>
                <w:b/>
                <w:color w:val="008000"/>
              </w:rPr>
              <w:sym w:font="Symbol" w:char="F0AD"/>
            </w:r>
          </w:p>
        </w:tc>
      </w:tr>
      <w:tr w:rsidR="003A7FF2" w:rsidRPr="002F1F37" w:rsidTr="00466F0A">
        <w:trPr>
          <w:trHeight w:val="105"/>
        </w:trPr>
        <w:tc>
          <w:tcPr>
            <w:tcW w:w="1600" w:type="pct"/>
            <w:gridSpan w:val="2"/>
            <w:vMerge/>
            <w:tcBorders>
              <w:bottom w:val="single" w:sz="4"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p>
        </w:tc>
        <w:tc>
          <w:tcPr>
            <w:tcW w:w="1458"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t>Rezultatīvais rādītājs:</w:t>
            </w:r>
            <w:r w:rsidRPr="002F1F37">
              <w:rPr>
                <w:rFonts w:ascii="Times New Roman" w:hAnsi="Times New Roman"/>
                <w:b/>
                <w:sz w:val="24"/>
                <w:szCs w:val="24"/>
              </w:rPr>
              <w:t xml:space="preserve"> </w:t>
            </w:r>
            <w:r w:rsidRPr="002F1F37">
              <w:rPr>
                <w:rFonts w:ascii="Times New Roman" w:hAnsi="Times New Roman"/>
                <w:sz w:val="24"/>
                <w:szCs w:val="24"/>
              </w:rPr>
              <w:t>pedagogu zināšanu par cilvēku tirdzniecības un prostitūcijas profilakses jautājumiem pozitīva pašvērtējuma īpatsvara izmaiņas (pret iepriekšējo periodu)</w:t>
            </w: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+5%</w:t>
            </w: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 xml:space="preserve">+10% (salīdzinājumā ar </w:t>
            </w:r>
            <w:proofErr w:type="gramStart"/>
            <w:r w:rsidRPr="002F1F37">
              <w:rPr>
                <w:rFonts w:ascii="Times New Roman" w:hAnsi="Times New Roman"/>
                <w:bCs/>
                <w:sz w:val="24"/>
                <w:szCs w:val="24"/>
              </w:rPr>
              <w:t>2012.gadu</w:t>
            </w:r>
            <w:proofErr w:type="gramEnd"/>
            <w:r w:rsidRPr="002F1F37">
              <w:rPr>
                <w:rFonts w:ascii="Times New Roman" w:hAnsi="Times New Roman"/>
                <w:bCs/>
                <w:sz w:val="24"/>
                <w:szCs w:val="24"/>
              </w:rPr>
              <w:t>)</w:t>
            </w: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2F1F37" w:rsidRDefault="00E832AC" w:rsidP="00423F2F">
            <w:pPr>
              <w:spacing w:after="0" w:line="240" w:lineRule="auto"/>
              <w:jc w:val="center"/>
              <w:rPr>
                <w:rFonts w:ascii="Times New Roman" w:hAnsi="Times New Roman"/>
                <w:bCs/>
                <w:sz w:val="24"/>
                <w:szCs w:val="24"/>
              </w:rPr>
            </w:pPr>
            <w:r>
              <w:rPr>
                <w:rFonts w:ascii="Times New Roman" w:hAnsi="Times New Roman"/>
                <w:bCs/>
                <w:sz w:val="24"/>
                <w:szCs w:val="24"/>
              </w:rPr>
              <w:t>+349</w:t>
            </w:r>
            <w:r w:rsidR="00FF73D9" w:rsidRPr="002F1F37">
              <w:rPr>
                <w:rFonts w:ascii="Times New Roman" w:hAnsi="Times New Roman"/>
                <w:bCs/>
                <w:sz w:val="24"/>
                <w:szCs w:val="24"/>
              </w:rPr>
              <w:t xml:space="preserve">% (salīdzinājumā ar </w:t>
            </w:r>
            <w:proofErr w:type="gramStart"/>
            <w:r w:rsidR="00FF73D9" w:rsidRPr="002F1F37">
              <w:rPr>
                <w:rFonts w:ascii="Times New Roman" w:hAnsi="Times New Roman"/>
                <w:bCs/>
                <w:sz w:val="24"/>
                <w:szCs w:val="24"/>
              </w:rPr>
              <w:t>2012.gadu</w:t>
            </w:r>
            <w:proofErr w:type="gramEnd"/>
            <w:r w:rsidR="00FF73D9" w:rsidRPr="002F1F37">
              <w:rPr>
                <w:rFonts w:ascii="Times New Roman" w:hAnsi="Times New Roman"/>
                <w:bCs/>
                <w:sz w:val="24"/>
                <w:szCs w:val="24"/>
              </w:rPr>
              <w:t>)</w:t>
            </w:r>
          </w:p>
        </w:tc>
        <w:tc>
          <w:tcPr>
            <w:tcW w:w="485" w:type="pct"/>
            <w:tcBorders>
              <w:top w:val="single" w:sz="6" w:space="0" w:color="auto"/>
              <w:left w:val="single" w:sz="6" w:space="0" w:color="auto"/>
              <w:bottom w:val="single" w:sz="6" w:space="0" w:color="auto"/>
            </w:tcBorders>
            <w:shd w:val="clear" w:color="auto" w:fill="FFF2CC" w:themeFill="accent4" w:themeFillTint="33"/>
          </w:tcPr>
          <w:p w:rsidR="00FF73D9" w:rsidRPr="002F1F37" w:rsidRDefault="00C56E1B" w:rsidP="00423F2F">
            <w:pPr>
              <w:spacing w:after="0" w:line="240" w:lineRule="auto"/>
              <w:jc w:val="center"/>
              <w:rPr>
                <w:rFonts w:ascii="Times New Roman" w:hAnsi="Times New Roman"/>
                <w:bCs/>
                <w:sz w:val="24"/>
                <w:szCs w:val="24"/>
              </w:rPr>
            </w:pPr>
            <w:r w:rsidRPr="00CE49EA">
              <w:rPr>
                <w:rFonts w:ascii="Times New Roman" w:hAnsi="Times New Roman"/>
                <w:b/>
                <w:color w:val="008000"/>
              </w:rPr>
              <w:sym w:font="Symbol" w:char="F0AD"/>
            </w:r>
          </w:p>
        </w:tc>
      </w:tr>
      <w:tr w:rsidR="0036160A" w:rsidRPr="002F1F37" w:rsidTr="00466F0A">
        <w:trPr>
          <w:trHeight w:val="105"/>
        </w:trPr>
        <w:tc>
          <w:tcPr>
            <w:tcW w:w="5000" w:type="pct"/>
            <w:gridSpan w:val="7"/>
            <w:tcBorders>
              <w:bottom w:val="single" w:sz="4" w:space="0" w:color="auto"/>
            </w:tcBorders>
            <w:shd w:val="clear" w:color="auto" w:fill="auto"/>
          </w:tcPr>
          <w:p w:rsidR="0028134E" w:rsidRPr="0028134E" w:rsidRDefault="0028134E" w:rsidP="0028134E">
            <w:pPr>
              <w:spacing w:after="0" w:line="240" w:lineRule="auto"/>
              <w:jc w:val="both"/>
              <w:rPr>
                <w:rFonts w:ascii="Times New Roman" w:hAnsi="Times New Roman"/>
                <w:bCs/>
                <w:sz w:val="20"/>
                <w:szCs w:val="20"/>
              </w:rPr>
            </w:pPr>
            <w:r w:rsidRPr="0028134E">
              <w:rPr>
                <w:rFonts w:ascii="Times New Roman" w:hAnsi="Times New Roman"/>
                <w:bCs/>
                <w:sz w:val="20"/>
                <w:szCs w:val="20"/>
              </w:rPr>
              <w:t>Izglītojošos semināros pedagogiem un izglītības iestāžu darbiniekiem par vardarbību, kritisko domāšanu, t.sk. par cilvēku tirdzn</w:t>
            </w:r>
            <w:r>
              <w:rPr>
                <w:rFonts w:ascii="Times New Roman" w:hAnsi="Times New Roman"/>
                <w:bCs/>
                <w:sz w:val="20"/>
                <w:szCs w:val="20"/>
              </w:rPr>
              <w:t>iecības jautājumiem piedalījās:</w:t>
            </w:r>
          </w:p>
          <w:p w:rsidR="0028134E" w:rsidRPr="0028134E" w:rsidRDefault="0028134E" w:rsidP="0028134E">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2014.gadā</w:t>
            </w:r>
            <w:proofErr w:type="gramEnd"/>
            <w:r>
              <w:rPr>
                <w:rFonts w:ascii="Times New Roman" w:hAnsi="Times New Roman"/>
                <w:bCs/>
                <w:sz w:val="20"/>
                <w:szCs w:val="20"/>
              </w:rPr>
              <w:t xml:space="preserve"> – 870 dalībnieki;</w:t>
            </w:r>
          </w:p>
          <w:p w:rsidR="0028134E" w:rsidRPr="0028134E" w:rsidRDefault="0028134E" w:rsidP="0028134E">
            <w:pPr>
              <w:spacing w:after="0" w:line="240" w:lineRule="auto"/>
              <w:jc w:val="both"/>
              <w:rPr>
                <w:rFonts w:ascii="Times New Roman" w:hAnsi="Times New Roman"/>
                <w:bCs/>
                <w:sz w:val="20"/>
                <w:szCs w:val="20"/>
              </w:rPr>
            </w:pPr>
            <w:proofErr w:type="gramStart"/>
            <w:r>
              <w:rPr>
                <w:rFonts w:ascii="Times New Roman" w:hAnsi="Times New Roman"/>
                <w:bCs/>
                <w:sz w:val="20"/>
                <w:szCs w:val="20"/>
              </w:rPr>
              <w:t>2015.gadā</w:t>
            </w:r>
            <w:proofErr w:type="gramEnd"/>
            <w:r>
              <w:rPr>
                <w:rFonts w:ascii="Times New Roman" w:hAnsi="Times New Roman"/>
                <w:bCs/>
                <w:sz w:val="20"/>
                <w:szCs w:val="20"/>
              </w:rPr>
              <w:t xml:space="preserve"> – 354 dalībnieki;</w:t>
            </w:r>
          </w:p>
          <w:p w:rsidR="0036160A" w:rsidRPr="0036160A" w:rsidRDefault="0028134E" w:rsidP="0028134E">
            <w:pPr>
              <w:spacing w:after="0" w:line="240" w:lineRule="auto"/>
              <w:jc w:val="both"/>
              <w:rPr>
                <w:rFonts w:ascii="Times New Roman" w:hAnsi="Times New Roman"/>
                <w:bCs/>
                <w:sz w:val="20"/>
                <w:szCs w:val="20"/>
              </w:rPr>
            </w:pPr>
            <w:proofErr w:type="gramStart"/>
            <w:r w:rsidRPr="0028134E">
              <w:rPr>
                <w:rFonts w:ascii="Times New Roman" w:hAnsi="Times New Roman"/>
                <w:bCs/>
                <w:sz w:val="20"/>
                <w:szCs w:val="20"/>
              </w:rPr>
              <w:t>2016.gadā</w:t>
            </w:r>
            <w:proofErr w:type="gramEnd"/>
            <w:r w:rsidRPr="0028134E">
              <w:rPr>
                <w:rFonts w:ascii="Times New Roman" w:hAnsi="Times New Roman"/>
                <w:bCs/>
                <w:sz w:val="20"/>
                <w:szCs w:val="20"/>
              </w:rPr>
              <w:t xml:space="preserve"> – 1748 dalībnieki.</w:t>
            </w:r>
          </w:p>
        </w:tc>
      </w:tr>
      <w:tr w:rsidR="003A7FF2" w:rsidRPr="002F1F37" w:rsidTr="00466F0A">
        <w:trPr>
          <w:trHeight w:val="105"/>
        </w:trPr>
        <w:tc>
          <w:tcPr>
            <w:tcW w:w="1600" w:type="pct"/>
            <w:gridSpan w:val="2"/>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bCs/>
                <w:i/>
                <w:sz w:val="24"/>
                <w:szCs w:val="24"/>
              </w:rPr>
              <w:t>Darbības rezultāts A3.:</w:t>
            </w:r>
            <w:r w:rsidRPr="002F1F37">
              <w:rPr>
                <w:rFonts w:ascii="Times New Roman" w:hAnsi="Times New Roman"/>
                <w:sz w:val="24"/>
                <w:szCs w:val="24"/>
              </w:rPr>
              <w:t xml:space="preserve"> uzlabota starpinstitucionālā sadarbība cilvēku tirdzniecības upuru atpazīšanā</w:t>
            </w:r>
          </w:p>
        </w:tc>
        <w:tc>
          <w:tcPr>
            <w:tcW w:w="1458" w:type="pct"/>
            <w:tcBorders>
              <w:top w:val="single" w:sz="6" w:space="0" w:color="auto"/>
              <w:left w:val="single" w:sz="4"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
                <w:i/>
                <w:sz w:val="24"/>
                <w:szCs w:val="24"/>
              </w:rPr>
            </w:pPr>
            <w:r w:rsidRPr="002F1F37">
              <w:rPr>
                <w:rFonts w:ascii="Times New Roman" w:hAnsi="Times New Roman"/>
                <w:b/>
                <w:i/>
                <w:sz w:val="24"/>
                <w:szCs w:val="24"/>
              </w:rPr>
              <w:t>Rezultatīvais rādītājs</w:t>
            </w:r>
            <w:r w:rsidRPr="002F1F37">
              <w:rPr>
                <w:rFonts w:ascii="Times New Roman" w:hAnsi="Times New Roman"/>
                <w:i/>
                <w:sz w:val="24"/>
                <w:szCs w:val="24"/>
              </w:rPr>
              <w:t>:</w:t>
            </w:r>
            <w:r w:rsidRPr="002F1F37">
              <w:rPr>
                <w:rFonts w:ascii="Times New Roman" w:hAnsi="Times New Roman"/>
                <w:sz w:val="24"/>
                <w:szCs w:val="24"/>
              </w:rPr>
              <w:t xml:space="preserve"> konsultācijas saņēmušo personu skaits</w:t>
            </w: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118</w:t>
            </w: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bCs/>
                <w:sz w:val="24"/>
                <w:szCs w:val="24"/>
              </w:rPr>
            </w:pPr>
            <w:r w:rsidRPr="002F1F37">
              <w:rPr>
                <w:rFonts w:ascii="Times New Roman" w:hAnsi="Times New Roman"/>
                <w:bCs/>
                <w:sz w:val="24"/>
                <w:szCs w:val="24"/>
              </w:rPr>
              <w:t>120</w:t>
            </w: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22103D" w:rsidRDefault="0022103D" w:rsidP="00423F2F">
            <w:pPr>
              <w:spacing w:after="0" w:line="240" w:lineRule="auto"/>
              <w:jc w:val="center"/>
              <w:rPr>
                <w:rFonts w:ascii="Times New Roman" w:hAnsi="Times New Roman"/>
                <w:b/>
                <w:bCs/>
                <w:sz w:val="24"/>
                <w:szCs w:val="24"/>
              </w:rPr>
            </w:pPr>
            <w:r w:rsidRPr="0022103D">
              <w:rPr>
                <w:rFonts w:ascii="Times New Roman" w:hAnsi="Times New Roman"/>
                <w:b/>
                <w:bCs/>
                <w:sz w:val="24"/>
                <w:szCs w:val="24"/>
              </w:rPr>
              <w:t>200</w:t>
            </w:r>
          </w:p>
        </w:tc>
        <w:tc>
          <w:tcPr>
            <w:tcW w:w="485" w:type="pct"/>
            <w:tcBorders>
              <w:top w:val="single" w:sz="6" w:space="0" w:color="auto"/>
              <w:left w:val="single" w:sz="6" w:space="0" w:color="auto"/>
              <w:bottom w:val="single" w:sz="6" w:space="0" w:color="auto"/>
            </w:tcBorders>
            <w:shd w:val="clear" w:color="auto" w:fill="FFF2CC" w:themeFill="accent4" w:themeFillTint="33"/>
          </w:tcPr>
          <w:p w:rsidR="00FF73D9" w:rsidRPr="0070686D" w:rsidRDefault="000928CC" w:rsidP="0070686D">
            <w:pPr>
              <w:jc w:val="center"/>
              <w:rPr>
                <w:rFonts w:ascii="Times New Roman" w:hAnsi="Times New Roman"/>
                <w:b/>
                <w:color w:val="8496B0" w:themeColor="text2" w:themeTint="99"/>
              </w:rPr>
            </w:pPr>
            <w:r w:rsidRPr="00CE49EA">
              <w:rPr>
                <w:rFonts w:ascii="Times New Roman" w:hAnsi="Times New Roman"/>
                <w:b/>
                <w:color w:val="008000"/>
              </w:rPr>
              <w:sym w:font="Symbol" w:char="F0AD"/>
            </w:r>
          </w:p>
        </w:tc>
      </w:tr>
      <w:tr w:rsidR="003A7FF2" w:rsidRPr="002F1F37" w:rsidTr="00466F0A">
        <w:trPr>
          <w:trHeight w:val="518"/>
        </w:trPr>
        <w:tc>
          <w:tcPr>
            <w:tcW w:w="1600" w:type="pct"/>
            <w:gridSpan w:val="2"/>
            <w:vMerge/>
            <w:tcBorders>
              <w:top w:val="single" w:sz="4" w:space="0" w:color="auto"/>
              <w:left w:val="single" w:sz="4" w:space="0" w:color="auto"/>
              <w:bottom w:val="single" w:sz="4" w:space="0" w:color="auto"/>
              <w:right w:val="single" w:sz="4" w:space="0" w:color="auto"/>
            </w:tcBorders>
            <w:shd w:val="clear" w:color="auto" w:fill="auto"/>
          </w:tcPr>
          <w:p w:rsidR="00FF73D9" w:rsidRPr="002F1F37" w:rsidRDefault="00FF73D9" w:rsidP="00423F2F">
            <w:pPr>
              <w:spacing w:after="0" w:line="240" w:lineRule="auto"/>
              <w:rPr>
                <w:rFonts w:ascii="Times New Roman" w:hAnsi="Times New Roman"/>
                <w:b/>
                <w:bCs/>
                <w:i/>
                <w:sz w:val="24"/>
                <w:szCs w:val="24"/>
              </w:rPr>
            </w:pPr>
          </w:p>
        </w:tc>
        <w:tc>
          <w:tcPr>
            <w:tcW w:w="1458" w:type="pct"/>
            <w:tcBorders>
              <w:top w:val="single" w:sz="6" w:space="0" w:color="auto"/>
              <w:left w:val="single" w:sz="4"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
                <w:i/>
                <w:sz w:val="24"/>
                <w:szCs w:val="24"/>
              </w:rPr>
            </w:pPr>
            <w:r w:rsidRPr="002F1F37">
              <w:rPr>
                <w:rFonts w:ascii="Times New Roman" w:hAnsi="Times New Roman"/>
                <w:b/>
                <w:bCs/>
                <w:i/>
                <w:sz w:val="24"/>
                <w:szCs w:val="24"/>
              </w:rPr>
              <w:t>Rezultatīvais rādītājs:</w:t>
            </w:r>
            <w:r w:rsidRPr="002F1F37">
              <w:rPr>
                <w:rFonts w:ascii="Times New Roman" w:hAnsi="Times New Roman"/>
                <w:b/>
                <w:sz w:val="24"/>
                <w:szCs w:val="24"/>
              </w:rPr>
              <w:t xml:space="preserve"> </w:t>
            </w:r>
            <w:r w:rsidRPr="002F1F37">
              <w:rPr>
                <w:rFonts w:ascii="Times New Roman" w:hAnsi="Times New Roman"/>
                <w:sz w:val="24"/>
                <w:szCs w:val="24"/>
              </w:rPr>
              <w:t>nogaidīšanas periodu saņēmušo personu skaits</w:t>
            </w:r>
          </w:p>
        </w:tc>
        <w:tc>
          <w:tcPr>
            <w:tcW w:w="389"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5"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w:t>
            </w:r>
          </w:p>
        </w:tc>
        <w:tc>
          <w:tcPr>
            <w:tcW w:w="533" w:type="pct"/>
            <w:tcBorders>
              <w:top w:val="single" w:sz="6" w:space="0" w:color="auto"/>
              <w:left w:val="single" w:sz="6" w:space="0" w:color="auto"/>
            </w:tcBorders>
            <w:shd w:val="clear" w:color="auto" w:fill="FFF2CC" w:themeFill="accent4" w:themeFillTint="33"/>
          </w:tcPr>
          <w:p w:rsidR="00FF73D9" w:rsidRPr="00995D1D" w:rsidRDefault="00995D1D" w:rsidP="00423F2F">
            <w:pPr>
              <w:spacing w:after="0" w:line="240" w:lineRule="auto"/>
              <w:jc w:val="center"/>
              <w:rPr>
                <w:rFonts w:ascii="Times New Roman" w:hAnsi="Times New Roman"/>
                <w:b/>
                <w:sz w:val="24"/>
                <w:szCs w:val="24"/>
              </w:rPr>
            </w:pPr>
            <w:r w:rsidRPr="00995D1D">
              <w:rPr>
                <w:rFonts w:ascii="Times New Roman" w:hAnsi="Times New Roman"/>
                <w:b/>
                <w:sz w:val="24"/>
                <w:szCs w:val="24"/>
              </w:rPr>
              <w:t>0</w:t>
            </w:r>
          </w:p>
        </w:tc>
        <w:tc>
          <w:tcPr>
            <w:tcW w:w="485" w:type="pct"/>
            <w:tcBorders>
              <w:top w:val="single" w:sz="6" w:space="0" w:color="auto"/>
              <w:left w:val="single" w:sz="6" w:space="0" w:color="auto"/>
            </w:tcBorders>
            <w:shd w:val="clear" w:color="auto" w:fill="FFF2CC" w:themeFill="accent4" w:themeFillTint="33"/>
          </w:tcPr>
          <w:p w:rsidR="00FF73D9" w:rsidRPr="00C56E1B" w:rsidRDefault="00C56E1B" w:rsidP="00C56E1B">
            <w:pPr>
              <w:jc w:val="center"/>
              <w:rPr>
                <w:rFonts w:ascii="Times New Roman" w:hAnsi="Times New Roman"/>
                <w:b/>
                <w:color w:val="FF0000"/>
              </w:rPr>
            </w:pPr>
            <w:r w:rsidRPr="00CE49EA">
              <w:rPr>
                <w:rFonts w:ascii="Times New Roman" w:hAnsi="Times New Roman"/>
                <w:b/>
                <w:color w:val="FF0000"/>
              </w:rPr>
              <w:sym w:font="Symbol" w:char="F0AF"/>
            </w:r>
          </w:p>
        </w:tc>
      </w:tr>
      <w:tr w:rsidR="00E917D6" w:rsidRPr="002F1F37" w:rsidTr="00466F0A">
        <w:trPr>
          <w:trHeight w:val="518"/>
        </w:trPr>
        <w:tc>
          <w:tcPr>
            <w:tcW w:w="5000" w:type="pct"/>
            <w:gridSpan w:val="7"/>
            <w:tcBorders>
              <w:top w:val="single" w:sz="4" w:space="0" w:color="auto"/>
              <w:left w:val="single" w:sz="4" w:space="0" w:color="auto"/>
              <w:bottom w:val="single" w:sz="4" w:space="0" w:color="auto"/>
            </w:tcBorders>
            <w:shd w:val="clear" w:color="auto" w:fill="auto"/>
          </w:tcPr>
          <w:p w:rsidR="0022103D" w:rsidRDefault="0022103D" w:rsidP="00027610">
            <w:pPr>
              <w:spacing w:after="0" w:line="240" w:lineRule="auto"/>
              <w:jc w:val="both"/>
              <w:rPr>
                <w:rFonts w:ascii="Times New Roman" w:hAnsi="Times New Roman"/>
                <w:sz w:val="20"/>
                <w:szCs w:val="20"/>
              </w:rPr>
            </w:pPr>
            <w:r>
              <w:rPr>
                <w:rFonts w:ascii="Times New Roman" w:hAnsi="Times New Roman"/>
                <w:sz w:val="20"/>
                <w:szCs w:val="20"/>
              </w:rPr>
              <w:t xml:space="preserve">Biedrība “Patvērums “Drošā māja”” nodrošina </w:t>
            </w:r>
            <w:r w:rsidRPr="0022103D">
              <w:rPr>
                <w:rFonts w:ascii="Times New Roman" w:hAnsi="Times New Roman"/>
                <w:sz w:val="20"/>
                <w:szCs w:val="20"/>
              </w:rPr>
              <w:t>Uzticības tālruņa cilvēku tirdzniecības mazināšanai darbību. Visbiežāk zvanītāji ir vēlējušies saņem</w:t>
            </w:r>
            <w:r>
              <w:rPr>
                <w:rFonts w:ascii="Times New Roman" w:hAnsi="Times New Roman"/>
                <w:sz w:val="20"/>
                <w:szCs w:val="20"/>
              </w:rPr>
              <w:t>t informāciju par dažādiem ar cilvēku tirdzniecības</w:t>
            </w:r>
            <w:r w:rsidRPr="0022103D">
              <w:rPr>
                <w:rFonts w:ascii="Times New Roman" w:hAnsi="Times New Roman"/>
                <w:sz w:val="20"/>
                <w:szCs w:val="20"/>
              </w:rPr>
              <w:t xml:space="preserve"> riskiem saistītiem jautājumiem; par fiktīvām laulībām/to novēršanu; par piespiedu darbu vai darba tiesību pārkāpumiem.</w:t>
            </w:r>
            <w:r>
              <w:rPr>
                <w:rFonts w:ascii="Times New Roman" w:hAnsi="Times New Roman"/>
                <w:sz w:val="20"/>
                <w:szCs w:val="20"/>
              </w:rPr>
              <w:t xml:space="preserve"> </w:t>
            </w:r>
            <w:r w:rsidRPr="0022103D">
              <w:rPr>
                <w:rFonts w:ascii="Times New Roman" w:hAnsi="Times New Roman"/>
                <w:sz w:val="20"/>
                <w:szCs w:val="20"/>
              </w:rPr>
              <w:t>Sa</w:t>
            </w:r>
            <w:r>
              <w:rPr>
                <w:rFonts w:ascii="Times New Roman" w:hAnsi="Times New Roman"/>
                <w:sz w:val="20"/>
                <w:szCs w:val="20"/>
              </w:rPr>
              <w:t>režģītu gadījumu risināšanā tiek</w:t>
            </w:r>
            <w:r w:rsidRPr="0022103D">
              <w:rPr>
                <w:rFonts w:ascii="Times New Roman" w:hAnsi="Times New Roman"/>
                <w:sz w:val="20"/>
                <w:szCs w:val="20"/>
              </w:rPr>
              <w:t xml:space="preserve"> piesaistīta Valsts policija, pašvaldību sociālie dienesti, krīžu centri, patversme, tāpat notiek reg</w:t>
            </w:r>
            <w:r>
              <w:rPr>
                <w:rFonts w:ascii="Times New Roman" w:hAnsi="Times New Roman"/>
                <w:sz w:val="20"/>
                <w:szCs w:val="20"/>
              </w:rPr>
              <w:t>ulāra informācijas apmaiņa ar Valsts policiju un Iekšlietu ministrijas</w:t>
            </w:r>
            <w:r w:rsidR="00783ED1">
              <w:rPr>
                <w:rFonts w:ascii="Times New Roman" w:hAnsi="Times New Roman"/>
                <w:sz w:val="20"/>
                <w:szCs w:val="20"/>
              </w:rPr>
              <w:t xml:space="preserve"> </w:t>
            </w:r>
            <w:r>
              <w:rPr>
                <w:rFonts w:ascii="Times New Roman" w:hAnsi="Times New Roman"/>
                <w:sz w:val="20"/>
                <w:szCs w:val="20"/>
              </w:rPr>
              <w:t xml:space="preserve">vadītās darba grupas pārstāvjiem. Biedrība gadā nodrošina vidēji 200 konsultācijas. </w:t>
            </w:r>
            <w:r w:rsidRPr="0022103D">
              <w:rPr>
                <w:rFonts w:ascii="Times New Roman" w:hAnsi="Times New Roman"/>
                <w:sz w:val="20"/>
                <w:szCs w:val="20"/>
              </w:rPr>
              <w:t xml:space="preserve">Uzticības tālruņa darbība ir pierādījusi, ka regulāra </w:t>
            </w:r>
            <w:proofErr w:type="spellStart"/>
            <w:r w:rsidRPr="0022103D">
              <w:rPr>
                <w:rFonts w:ascii="Times New Roman" w:hAnsi="Times New Roman"/>
                <w:sz w:val="20"/>
                <w:szCs w:val="20"/>
              </w:rPr>
              <w:t>prevence</w:t>
            </w:r>
            <w:proofErr w:type="spellEnd"/>
            <w:r w:rsidRPr="0022103D">
              <w:rPr>
                <w:rFonts w:ascii="Times New Roman" w:hAnsi="Times New Roman"/>
                <w:sz w:val="20"/>
                <w:szCs w:val="20"/>
              </w:rPr>
              <w:t xml:space="preserve"> dod labus rezultātus. </w:t>
            </w:r>
            <w:proofErr w:type="gramStart"/>
            <w:r w:rsidR="00027610" w:rsidRPr="00027610">
              <w:rPr>
                <w:rFonts w:ascii="Times New Roman" w:hAnsi="Times New Roman"/>
                <w:sz w:val="20"/>
                <w:szCs w:val="20"/>
              </w:rPr>
              <w:t>2014.gada</w:t>
            </w:r>
            <w:proofErr w:type="gramEnd"/>
            <w:r w:rsidR="00027610" w:rsidRPr="00027610">
              <w:rPr>
                <w:rFonts w:ascii="Times New Roman" w:hAnsi="Times New Roman"/>
                <w:sz w:val="20"/>
                <w:szCs w:val="20"/>
              </w:rPr>
              <w:t xml:space="preserve"> laikā informācija telefoniski un elektroniski sniegta 220 reizes, no tām:</w:t>
            </w:r>
            <w:r w:rsidR="00027610">
              <w:rPr>
                <w:rFonts w:ascii="Times New Roman" w:hAnsi="Times New Roman"/>
                <w:sz w:val="20"/>
                <w:szCs w:val="20"/>
              </w:rPr>
              <w:t xml:space="preserve"> </w:t>
            </w:r>
            <w:r w:rsidR="00027610" w:rsidRPr="00027610">
              <w:rPr>
                <w:rFonts w:ascii="Times New Roman" w:hAnsi="Times New Roman"/>
                <w:sz w:val="20"/>
                <w:szCs w:val="20"/>
              </w:rPr>
              <w:t>telefoniski – 214, bet elektroniski – 6 reizes.</w:t>
            </w:r>
            <w:r w:rsidR="00027610">
              <w:rPr>
                <w:rFonts w:ascii="Times New Roman" w:hAnsi="Times New Roman"/>
                <w:sz w:val="20"/>
                <w:szCs w:val="20"/>
              </w:rPr>
              <w:t xml:space="preserve"> </w:t>
            </w:r>
            <w:r w:rsidR="00027610" w:rsidRPr="00027610">
              <w:rPr>
                <w:rFonts w:ascii="Times New Roman" w:hAnsi="Times New Roman"/>
                <w:sz w:val="20"/>
                <w:szCs w:val="20"/>
              </w:rPr>
              <w:t xml:space="preserve">Visbiežāk zvanītāji vēlējušies saņemt informāciju par dažādiem </w:t>
            </w:r>
            <w:r w:rsidR="00027610">
              <w:rPr>
                <w:rFonts w:ascii="Times New Roman" w:hAnsi="Times New Roman"/>
                <w:sz w:val="20"/>
                <w:szCs w:val="20"/>
              </w:rPr>
              <w:t>ar cilvēku tirdzniecības</w:t>
            </w:r>
            <w:r w:rsidR="00027610" w:rsidRPr="00027610">
              <w:rPr>
                <w:rFonts w:ascii="Times New Roman" w:hAnsi="Times New Roman"/>
                <w:sz w:val="20"/>
                <w:szCs w:val="20"/>
              </w:rPr>
              <w:t xml:space="preserve"> riskiem saistītiem jautājumiem – 140 reizes; par fiktīvām laulībām/to novēršanu/ir sniegta informācija par fiktīvo laulību gadījumiem u.c. – 63 reizes; par piespiedu darbu vai darba tiesību pārkāpumiem ziņots vai sniegtas atbildes – 14 gadījumos; 3 gadījumos informācija sniegta seksuālās ekspluatācijas gadījumos.</w:t>
            </w:r>
            <w:r w:rsidR="00027610">
              <w:rPr>
                <w:rFonts w:ascii="Times New Roman" w:hAnsi="Times New Roman"/>
                <w:sz w:val="20"/>
                <w:szCs w:val="20"/>
              </w:rPr>
              <w:t xml:space="preserve"> </w:t>
            </w:r>
            <w:r w:rsidRPr="0022103D">
              <w:rPr>
                <w:rFonts w:ascii="Times New Roman" w:hAnsi="Times New Roman"/>
                <w:sz w:val="20"/>
                <w:szCs w:val="20"/>
              </w:rPr>
              <w:t>2016.gadā</w:t>
            </w:r>
            <w:r>
              <w:rPr>
                <w:rFonts w:ascii="Times New Roman" w:hAnsi="Times New Roman"/>
                <w:sz w:val="20"/>
                <w:szCs w:val="20"/>
              </w:rPr>
              <w:t xml:space="preserve"> pēc telefoniskām konsultācijām sekojušas</w:t>
            </w:r>
            <w:r w:rsidRPr="0022103D">
              <w:rPr>
                <w:rFonts w:ascii="Times New Roman" w:hAnsi="Times New Roman"/>
                <w:sz w:val="20"/>
                <w:szCs w:val="20"/>
              </w:rPr>
              <w:t xml:space="preserve">7 konsultācijas klātienē no tām sešas konsultācijas tika sniegtas klientiem, divas speciālistiem (vienā gadījumā klients bija ieradies kopā ar sociālo darbinieku), kas liecina, ka sabiedrībā paaugstinās izpratnes līmenis par </w:t>
            </w:r>
            <w:r>
              <w:rPr>
                <w:rFonts w:ascii="Times New Roman" w:hAnsi="Times New Roman"/>
                <w:sz w:val="20"/>
                <w:szCs w:val="20"/>
              </w:rPr>
              <w:t>cilvēku tirdzniecības</w:t>
            </w:r>
            <w:r w:rsidRPr="0022103D">
              <w:rPr>
                <w:rFonts w:ascii="Times New Roman" w:hAnsi="Times New Roman"/>
                <w:sz w:val="20"/>
                <w:szCs w:val="20"/>
              </w:rPr>
              <w:t xml:space="preserve"> riskiem un uzticēšanās </w:t>
            </w:r>
            <w:r>
              <w:rPr>
                <w:rFonts w:ascii="Times New Roman" w:hAnsi="Times New Roman"/>
                <w:sz w:val="20"/>
                <w:szCs w:val="20"/>
              </w:rPr>
              <w:t>biedrības</w:t>
            </w:r>
            <w:r w:rsidRPr="0022103D">
              <w:rPr>
                <w:rFonts w:ascii="Times New Roman" w:hAnsi="Times New Roman"/>
                <w:sz w:val="20"/>
                <w:szCs w:val="20"/>
              </w:rPr>
              <w:t xml:space="preserve"> speciālistiem.</w:t>
            </w:r>
          </w:p>
          <w:p w:rsidR="004512A2" w:rsidRPr="004512A2" w:rsidRDefault="004512A2" w:rsidP="004512A2">
            <w:pPr>
              <w:spacing w:after="0" w:line="240" w:lineRule="auto"/>
              <w:jc w:val="both"/>
              <w:rPr>
                <w:rFonts w:ascii="Times New Roman" w:hAnsi="Times New Roman"/>
                <w:sz w:val="20"/>
                <w:szCs w:val="20"/>
              </w:rPr>
            </w:pPr>
            <w:proofErr w:type="gramStart"/>
            <w:r>
              <w:rPr>
                <w:rFonts w:ascii="Times New Roman" w:hAnsi="Times New Roman"/>
                <w:sz w:val="20"/>
                <w:szCs w:val="20"/>
              </w:rPr>
              <w:t>2016.</w:t>
            </w:r>
            <w:r w:rsidRPr="004512A2">
              <w:rPr>
                <w:rFonts w:ascii="Times New Roman" w:hAnsi="Times New Roman"/>
                <w:sz w:val="20"/>
                <w:szCs w:val="20"/>
              </w:rPr>
              <w:t>gada</w:t>
            </w:r>
            <w:proofErr w:type="gramEnd"/>
            <w:r w:rsidRPr="004512A2">
              <w:rPr>
                <w:rFonts w:ascii="Times New Roman" w:hAnsi="Times New Roman"/>
                <w:sz w:val="20"/>
                <w:szCs w:val="20"/>
              </w:rPr>
              <w:t xml:space="preserve"> </w:t>
            </w:r>
            <w:r>
              <w:rPr>
                <w:rFonts w:ascii="Times New Roman" w:hAnsi="Times New Roman"/>
                <w:sz w:val="20"/>
                <w:szCs w:val="20"/>
              </w:rPr>
              <w:t xml:space="preserve">biedrība “Par brīvu Vidzemi no cilvēku tirdzniecības” </w:t>
            </w:r>
            <w:r w:rsidRPr="004512A2">
              <w:rPr>
                <w:rFonts w:ascii="Times New Roman" w:hAnsi="Times New Roman"/>
                <w:sz w:val="20"/>
                <w:szCs w:val="20"/>
              </w:rPr>
              <w:t>telefoniski pēc</w:t>
            </w:r>
            <w:r>
              <w:rPr>
                <w:rFonts w:ascii="Times New Roman" w:hAnsi="Times New Roman"/>
                <w:sz w:val="20"/>
                <w:szCs w:val="20"/>
              </w:rPr>
              <w:t xml:space="preserve"> konsultatīvas palīdzības vērsušās vairākas</w:t>
            </w:r>
            <w:r w:rsidRPr="004512A2">
              <w:rPr>
                <w:rFonts w:ascii="Times New Roman" w:hAnsi="Times New Roman"/>
                <w:sz w:val="20"/>
                <w:szCs w:val="20"/>
              </w:rPr>
              <w:t xml:space="preserve"> persona</w:t>
            </w:r>
            <w:r>
              <w:rPr>
                <w:rFonts w:ascii="Times New Roman" w:hAnsi="Times New Roman"/>
                <w:sz w:val="20"/>
                <w:szCs w:val="20"/>
              </w:rPr>
              <w:t>s</w:t>
            </w:r>
            <w:r w:rsidRPr="004512A2">
              <w:rPr>
                <w:rFonts w:ascii="Times New Roman" w:hAnsi="Times New Roman"/>
                <w:sz w:val="20"/>
                <w:szCs w:val="20"/>
              </w:rPr>
              <w:t xml:space="preserve"> vai to radinieki</w:t>
            </w:r>
            <w:r>
              <w:rPr>
                <w:rFonts w:ascii="Times New Roman" w:hAnsi="Times New Roman"/>
                <w:sz w:val="20"/>
                <w:szCs w:val="20"/>
              </w:rPr>
              <w:t xml:space="preserve"> (par iespējamu personu ekspluatāciju darbaspēka ekspluatācijas un fiktīvo laulību nolūkā), sniegta arī informācija par </w:t>
            </w:r>
            <w:r w:rsidRPr="004512A2">
              <w:rPr>
                <w:rFonts w:ascii="Times New Roman" w:hAnsi="Times New Roman"/>
                <w:sz w:val="20"/>
                <w:szCs w:val="20"/>
              </w:rPr>
              <w:t>sociālās rehabilitācijas pakalpojumu par valsts budžeta līdzekļiem sniedzēju.</w:t>
            </w:r>
          </w:p>
          <w:p w:rsidR="0022103D" w:rsidRDefault="00E27035" w:rsidP="00D81856">
            <w:pPr>
              <w:spacing w:after="0" w:line="240" w:lineRule="auto"/>
              <w:jc w:val="both"/>
              <w:rPr>
                <w:rFonts w:ascii="Times New Roman" w:hAnsi="Times New Roman"/>
                <w:sz w:val="20"/>
                <w:szCs w:val="20"/>
              </w:rPr>
            </w:pPr>
            <w:r>
              <w:rPr>
                <w:rFonts w:ascii="Times New Roman" w:hAnsi="Times New Roman"/>
                <w:sz w:val="20"/>
                <w:szCs w:val="20"/>
              </w:rPr>
              <w:t xml:space="preserve">Biedrība “Centrs Marta” nodrošina konsultācijas gan personām, gan speciālistiem, taču </w:t>
            </w:r>
            <w:r w:rsidR="00915DEF" w:rsidRPr="00915DEF">
              <w:rPr>
                <w:rFonts w:ascii="Times New Roman" w:hAnsi="Times New Roman"/>
                <w:sz w:val="20"/>
                <w:szCs w:val="20"/>
              </w:rPr>
              <w:t>netiek izdalīts u</w:t>
            </w:r>
            <w:r w:rsidR="008C2927">
              <w:rPr>
                <w:rFonts w:ascii="Times New Roman" w:hAnsi="Times New Roman"/>
                <w:sz w:val="20"/>
                <w:szCs w:val="20"/>
              </w:rPr>
              <w:t xml:space="preserve">n </w:t>
            </w:r>
            <w:proofErr w:type="gramStart"/>
            <w:r w:rsidR="008C2927">
              <w:rPr>
                <w:rFonts w:ascii="Times New Roman" w:hAnsi="Times New Roman"/>
                <w:sz w:val="20"/>
                <w:szCs w:val="20"/>
              </w:rPr>
              <w:t>apkopots sniegto konsultāciju</w:t>
            </w:r>
            <w:proofErr w:type="gramEnd"/>
            <w:r w:rsidR="00915DEF" w:rsidRPr="00915DEF">
              <w:rPr>
                <w:rFonts w:ascii="Times New Roman" w:hAnsi="Times New Roman"/>
                <w:sz w:val="20"/>
                <w:szCs w:val="20"/>
              </w:rPr>
              <w:t xml:space="preserve"> (klātienes, telefoniski, elektroniski) skaits.</w:t>
            </w:r>
          </w:p>
          <w:p w:rsidR="00915DEF" w:rsidRDefault="00915DEF" w:rsidP="00D81856">
            <w:pPr>
              <w:spacing w:after="0" w:line="240" w:lineRule="auto"/>
              <w:jc w:val="both"/>
              <w:rPr>
                <w:rFonts w:ascii="Times New Roman" w:hAnsi="Times New Roman"/>
                <w:sz w:val="20"/>
                <w:szCs w:val="20"/>
              </w:rPr>
            </w:pPr>
          </w:p>
          <w:p w:rsidR="00E917D6" w:rsidRPr="00E917D6" w:rsidRDefault="00D81856" w:rsidP="00D81856">
            <w:pPr>
              <w:spacing w:after="0" w:line="240" w:lineRule="auto"/>
              <w:jc w:val="both"/>
              <w:rPr>
                <w:rFonts w:ascii="Times New Roman" w:hAnsi="Times New Roman"/>
                <w:sz w:val="20"/>
                <w:szCs w:val="20"/>
              </w:rPr>
            </w:pPr>
            <w:r>
              <w:rPr>
                <w:rFonts w:ascii="Times New Roman" w:hAnsi="Times New Roman"/>
                <w:sz w:val="20"/>
                <w:szCs w:val="20"/>
              </w:rPr>
              <w:t xml:space="preserve">Ņemot vērā, ka pārskata periodā no </w:t>
            </w:r>
            <w:proofErr w:type="gramStart"/>
            <w:r>
              <w:rPr>
                <w:rFonts w:ascii="Times New Roman" w:hAnsi="Times New Roman"/>
                <w:sz w:val="20"/>
                <w:szCs w:val="20"/>
              </w:rPr>
              <w:t>2014.gada</w:t>
            </w:r>
            <w:proofErr w:type="gramEnd"/>
            <w:r>
              <w:rPr>
                <w:rFonts w:ascii="Times New Roman" w:hAnsi="Times New Roman"/>
                <w:sz w:val="20"/>
                <w:szCs w:val="20"/>
              </w:rPr>
              <w:t xml:space="preserve"> līdz 2016.gadam netika identificēti cilvēku tirdzniecības upuri – ārzemnieki, kas nav Eiropas Savienības pilsoņi, nogaidīšanas periods atbilstoši likuma “Par cilvēku tirdzniecības upura uzturēšanos Latvijas Republikā” nosacījumiem netika piešķirts.</w:t>
            </w:r>
          </w:p>
        </w:tc>
      </w:tr>
      <w:tr w:rsidR="003A7FF2" w:rsidRPr="002F1F37" w:rsidTr="00466F0A">
        <w:trPr>
          <w:trHeight w:val="809"/>
        </w:trPr>
        <w:tc>
          <w:tcPr>
            <w:tcW w:w="1600" w:type="pct"/>
            <w:gridSpan w:val="2"/>
            <w:tcBorders>
              <w:top w:val="single" w:sz="4"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Darbības rezultāts A4.</w:t>
            </w:r>
            <w:r w:rsidRPr="002F1F37">
              <w:rPr>
                <w:rFonts w:ascii="Times New Roman" w:hAnsi="Times New Roman"/>
                <w:b/>
                <w:i/>
                <w:sz w:val="24"/>
                <w:szCs w:val="24"/>
              </w:rPr>
              <w:t xml:space="preserve">: </w:t>
            </w:r>
            <w:r w:rsidRPr="002F1F37">
              <w:rPr>
                <w:rFonts w:ascii="Times New Roman" w:hAnsi="Times New Roman"/>
                <w:sz w:val="24"/>
                <w:szCs w:val="24"/>
              </w:rPr>
              <w:t>izstrādātas un ieviestas cilvēku tirdzniecības upuru reintegrācijas vadlīnijas</w:t>
            </w:r>
          </w:p>
        </w:tc>
        <w:tc>
          <w:tcPr>
            <w:tcW w:w="1458"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t>Rezultatīvais rādītājs</w:t>
            </w:r>
            <w:r w:rsidRPr="002F1F37">
              <w:rPr>
                <w:rFonts w:ascii="Times New Roman" w:hAnsi="Times New Roman"/>
                <w:i/>
                <w:sz w:val="24"/>
                <w:szCs w:val="24"/>
              </w:rPr>
              <w:t xml:space="preserve">: </w:t>
            </w:r>
            <w:r w:rsidRPr="002F1F37">
              <w:rPr>
                <w:rFonts w:ascii="Times New Roman" w:hAnsi="Times New Roman"/>
                <w:sz w:val="24"/>
                <w:szCs w:val="24"/>
              </w:rPr>
              <w:t>izstrādātas un ieviestas vadlīnijas</w:t>
            </w:r>
          </w:p>
        </w:tc>
        <w:tc>
          <w:tcPr>
            <w:tcW w:w="389"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5"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3D72CD" w:rsidP="00423F2F">
            <w:pPr>
              <w:spacing w:after="0" w:line="240" w:lineRule="auto"/>
              <w:jc w:val="center"/>
              <w:rPr>
                <w:rFonts w:ascii="Times New Roman" w:hAnsi="Times New Roman"/>
                <w:sz w:val="24"/>
                <w:szCs w:val="24"/>
              </w:rPr>
            </w:pPr>
            <w:r>
              <w:rPr>
                <w:rFonts w:ascii="Times New Roman" w:hAnsi="Times New Roman"/>
                <w:sz w:val="24"/>
                <w:szCs w:val="24"/>
              </w:rPr>
              <w:t>0</w:t>
            </w:r>
          </w:p>
        </w:tc>
        <w:tc>
          <w:tcPr>
            <w:tcW w:w="533" w:type="pct"/>
            <w:tcBorders>
              <w:top w:val="single" w:sz="6" w:space="0" w:color="auto"/>
              <w:left w:val="single" w:sz="6" w:space="0" w:color="auto"/>
            </w:tcBorders>
            <w:shd w:val="clear" w:color="auto" w:fill="FFF2CC" w:themeFill="accent4" w:themeFillTint="33"/>
          </w:tcPr>
          <w:p w:rsidR="00FF73D9" w:rsidRPr="00995D1D" w:rsidRDefault="00FF73D9" w:rsidP="00423F2F">
            <w:pPr>
              <w:spacing w:after="0" w:line="240" w:lineRule="auto"/>
              <w:jc w:val="center"/>
              <w:rPr>
                <w:rFonts w:ascii="Times New Roman" w:hAnsi="Times New Roman"/>
                <w:b/>
                <w:sz w:val="24"/>
                <w:szCs w:val="24"/>
              </w:rPr>
            </w:pPr>
            <w:r w:rsidRPr="00995D1D">
              <w:rPr>
                <w:rFonts w:ascii="Times New Roman" w:hAnsi="Times New Roman"/>
                <w:b/>
                <w:sz w:val="24"/>
                <w:szCs w:val="24"/>
              </w:rPr>
              <w:t>0</w:t>
            </w:r>
          </w:p>
        </w:tc>
        <w:tc>
          <w:tcPr>
            <w:tcW w:w="485" w:type="pct"/>
            <w:tcBorders>
              <w:top w:val="single" w:sz="6" w:space="0" w:color="auto"/>
              <w:left w:val="single" w:sz="6" w:space="0" w:color="auto"/>
            </w:tcBorders>
            <w:shd w:val="clear" w:color="auto" w:fill="FFF2CC" w:themeFill="accent4" w:themeFillTint="33"/>
          </w:tcPr>
          <w:p w:rsidR="00FF73D9" w:rsidRPr="002F1F37" w:rsidRDefault="000928CC" w:rsidP="00423F2F">
            <w:pPr>
              <w:spacing w:after="0" w:line="240" w:lineRule="auto"/>
              <w:jc w:val="center"/>
              <w:rPr>
                <w:rFonts w:ascii="Times New Roman" w:hAnsi="Times New Roman"/>
                <w:sz w:val="24"/>
                <w:szCs w:val="24"/>
              </w:rPr>
            </w:pPr>
            <w:r>
              <w:rPr>
                <w:rFonts w:ascii="Times New Roman" w:hAnsi="Times New Roman"/>
                <w:sz w:val="24"/>
                <w:szCs w:val="24"/>
              </w:rPr>
              <w:t>-</w:t>
            </w:r>
          </w:p>
        </w:tc>
      </w:tr>
      <w:tr w:rsidR="00751D37" w:rsidRPr="003D72CD" w:rsidTr="00466F0A">
        <w:trPr>
          <w:trHeight w:val="384"/>
        </w:trPr>
        <w:tc>
          <w:tcPr>
            <w:tcW w:w="5000" w:type="pct"/>
            <w:gridSpan w:val="7"/>
            <w:tcBorders>
              <w:top w:val="single" w:sz="6" w:space="0" w:color="auto"/>
            </w:tcBorders>
            <w:shd w:val="clear" w:color="auto" w:fill="auto"/>
          </w:tcPr>
          <w:p w:rsidR="00751D37" w:rsidRPr="003D72CD" w:rsidRDefault="003D72CD" w:rsidP="00751D37">
            <w:pPr>
              <w:spacing w:after="0" w:line="240" w:lineRule="auto"/>
              <w:jc w:val="both"/>
              <w:rPr>
                <w:rFonts w:ascii="Times New Roman" w:hAnsi="Times New Roman"/>
                <w:sz w:val="20"/>
                <w:szCs w:val="20"/>
              </w:rPr>
            </w:pPr>
            <w:r>
              <w:rPr>
                <w:rFonts w:ascii="Times New Roman" w:hAnsi="Times New Roman"/>
                <w:sz w:val="20"/>
                <w:szCs w:val="20"/>
              </w:rPr>
              <w:t xml:space="preserve">Pamatnostādņu paredzēto uzdevumu un pasākumu plāna 18.uzdevuma “Izstrādāt un ieviest cilvēku tirdzniecības upuru reintegrācijas vadlīnijas” izpilde paredzēta </w:t>
            </w:r>
            <w:proofErr w:type="gramStart"/>
            <w:r>
              <w:rPr>
                <w:rFonts w:ascii="Times New Roman" w:hAnsi="Times New Roman"/>
                <w:sz w:val="20"/>
                <w:szCs w:val="20"/>
              </w:rPr>
              <w:t>2017.gadā</w:t>
            </w:r>
            <w:proofErr w:type="gramEnd"/>
            <w:r>
              <w:rPr>
                <w:rFonts w:ascii="Times New Roman" w:hAnsi="Times New Roman"/>
                <w:sz w:val="20"/>
                <w:szCs w:val="20"/>
              </w:rPr>
              <w:t>.</w:t>
            </w:r>
          </w:p>
        </w:tc>
      </w:tr>
      <w:tr w:rsidR="003A7FF2" w:rsidRPr="002F1F37" w:rsidTr="00466F0A">
        <w:trPr>
          <w:trHeight w:val="105"/>
        </w:trPr>
        <w:tc>
          <w:tcPr>
            <w:tcW w:w="1600" w:type="pct"/>
            <w:gridSpan w:val="2"/>
            <w:tcBorders>
              <w:top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Darbības rezultāts A5.:</w:t>
            </w:r>
            <w:r w:rsidRPr="002F1F37">
              <w:rPr>
                <w:rFonts w:ascii="Times New Roman" w:hAnsi="Times New Roman"/>
                <w:b/>
                <w:bCs/>
                <w:sz w:val="24"/>
                <w:szCs w:val="24"/>
              </w:rPr>
              <w:t xml:space="preserve"> i</w:t>
            </w:r>
            <w:r w:rsidRPr="002F1F37">
              <w:rPr>
                <w:rFonts w:ascii="Times New Roman" w:hAnsi="Times New Roman"/>
                <w:sz w:val="24"/>
                <w:szCs w:val="24"/>
              </w:rPr>
              <w:t>zstrādāti un ieviesti pasākumi veselības risku mazināšanai prostitūcijā nodarbinātām personām</w:t>
            </w:r>
          </w:p>
        </w:tc>
        <w:tc>
          <w:tcPr>
            <w:tcW w:w="1458"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t>Rezultatīvais rādītājs</w:t>
            </w:r>
            <w:r w:rsidRPr="002F1F37">
              <w:rPr>
                <w:rFonts w:ascii="Times New Roman" w:hAnsi="Times New Roman"/>
                <w:i/>
                <w:sz w:val="24"/>
                <w:szCs w:val="24"/>
              </w:rPr>
              <w:t>:</w:t>
            </w:r>
            <w:r w:rsidRPr="002F1F37">
              <w:rPr>
                <w:rFonts w:ascii="Times New Roman" w:hAnsi="Times New Roman"/>
                <w:sz w:val="24"/>
                <w:szCs w:val="24"/>
              </w:rPr>
              <w:t xml:space="preserve"> izstrādāts pasākuma plāns</w:t>
            </w:r>
          </w:p>
          <w:p w:rsidR="00FF73D9" w:rsidRPr="002F1F37" w:rsidRDefault="00FF73D9" w:rsidP="00423F2F">
            <w:pPr>
              <w:spacing w:after="0" w:line="240" w:lineRule="auto"/>
              <w:jc w:val="both"/>
              <w:rPr>
                <w:rFonts w:ascii="Times New Roman" w:hAnsi="Times New Roman"/>
                <w:sz w:val="24"/>
                <w:szCs w:val="24"/>
              </w:rPr>
            </w:pPr>
          </w:p>
        </w:tc>
        <w:tc>
          <w:tcPr>
            <w:tcW w:w="389"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5" w:type="pct"/>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3" w:type="pct"/>
            <w:tcBorders>
              <w:top w:val="single" w:sz="6" w:space="0" w:color="auto"/>
              <w:left w:val="single" w:sz="6" w:space="0" w:color="auto"/>
              <w:bottom w:val="single" w:sz="6" w:space="0" w:color="auto"/>
            </w:tcBorders>
            <w:shd w:val="clear" w:color="auto" w:fill="FFF2CC" w:themeFill="accent4" w:themeFillTint="33"/>
          </w:tcPr>
          <w:p w:rsidR="00FF73D9" w:rsidRPr="00504156" w:rsidRDefault="00751D37" w:rsidP="00423F2F">
            <w:pPr>
              <w:tabs>
                <w:tab w:val="left" w:pos="675"/>
                <w:tab w:val="center" w:pos="757"/>
              </w:tabs>
              <w:spacing w:after="0" w:line="240" w:lineRule="auto"/>
              <w:jc w:val="center"/>
              <w:rPr>
                <w:rFonts w:ascii="Times New Roman" w:hAnsi="Times New Roman"/>
                <w:b/>
                <w:sz w:val="24"/>
                <w:szCs w:val="24"/>
              </w:rPr>
            </w:pPr>
            <w:r w:rsidRPr="00504156">
              <w:rPr>
                <w:rFonts w:ascii="Times New Roman" w:hAnsi="Times New Roman"/>
                <w:b/>
                <w:sz w:val="24"/>
                <w:szCs w:val="24"/>
              </w:rPr>
              <w:t>0</w:t>
            </w:r>
          </w:p>
        </w:tc>
        <w:tc>
          <w:tcPr>
            <w:tcW w:w="485" w:type="pct"/>
            <w:tcBorders>
              <w:top w:val="single" w:sz="6" w:space="0" w:color="auto"/>
              <w:left w:val="single" w:sz="6" w:space="0" w:color="auto"/>
              <w:bottom w:val="single" w:sz="6" w:space="0" w:color="auto"/>
            </w:tcBorders>
            <w:shd w:val="clear" w:color="auto" w:fill="FFF2CC" w:themeFill="accent4" w:themeFillTint="33"/>
          </w:tcPr>
          <w:p w:rsidR="00FF73D9" w:rsidRPr="002F1F37" w:rsidRDefault="000928CC" w:rsidP="00423F2F">
            <w:pPr>
              <w:tabs>
                <w:tab w:val="left" w:pos="675"/>
                <w:tab w:val="center" w:pos="757"/>
              </w:tabs>
              <w:spacing w:after="0" w:line="240" w:lineRule="auto"/>
              <w:jc w:val="center"/>
              <w:rPr>
                <w:rFonts w:ascii="Times New Roman" w:hAnsi="Times New Roman"/>
                <w:sz w:val="24"/>
                <w:szCs w:val="24"/>
              </w:rPr>
            </w:pPr>
            <w:r>
              <w:rPr>
                <w:rFonts w:ascii="Times New Roman" w:hAnsi="Times New Roman"/>
                <w:sz w:val="24"/>
                <w:szCs w:val="24"/>
              </w:rPr>
              <w:t>-</w:t>
            </w:r>
          </w:p>
        </w:tc>
      </w:tr>
      <w:tr w:rsidR="004E16B9" w:rsidRPr="003D72CD" w:rsidTr="00466F0A">
        <w:trPr>
          <w:trHeight w:val="809"/>
        </w:trPr>
        <w:tc>
          <w:tcPr>
            <w:tcW w:w="5000" w:type="pct"/>
            <w:gridSpan w:val="7"/>
            <w:tcBorders>
              <w:top w:val="single" w:sz="6" w:space="0" w:color="auto"/>
            </w:tcBorders>
            <w:shd w:val="clear" w:color="auto" w:fill="auto"/>
          </w:tcPr>
          <w:p w:rsidR="004E16B9" w:rsidRPr="003D72CD" w:rsidRDefault="004E16B9" w:rsidP="00D91932">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Pamatnostādņu paredzēto uzdevumu un pasākumu plāna </w:t>
            </w:r>
            <w:r w:rsidR="00DF0648">
              <w:rPr>
                <w:rFonts w:ascii="Times New Roman" w:hAnsi="Times New Roman"/>
                <w:sz w:val="20"/>
                <w:szCs w:val="20"/>
              </w:rPr>
              <w:t>22</w:t>
            </w:r>
            <w:r>
              <w:rPr>
                <w:rFonts w:ascii="Times New Roman" w:hAnsi="Times New Roman"/>
                <w:sz w:val="20"/>
                <w:szCs w:val="20"/>
              </w:rPr>
              <w:t>.uzdevuma “</w:t>
            </w:r>
            <w:r w:rsidR="00DF0648" w:rsidRPr="00DF0648">
              <w:rPr>
                <w:rFonts w:ascii="Times New Roman" w:hAnsi="Times New Roman"/>
                <w:sz w:val="20"/>
                <w:szCs w:val="20"/>
              </w:rPr>
              <w:t>Apzināt riskus, kas ietekmē prostitūcijā iesaistīto personu veselību, un izstrādāt pasākumus šo risku mazināšanai</w:t>
            </w:r>
            <w:r>
              <w:rPr>
                <w:rFonts w:ascii="Times New Roman" w:hAnsi="Times New Roman"/>
                <w:sz w:val="20"/>
                <w:szCs w:val="20"/>
              </w:rPr>
              <w:t>”</w:t>
            </w:r>
            <w:r w:rsidR="00DF0648">
              <w:rPr>
                <w:rFonts w:ascii="Times New Roman" w:hAnsi="Times New Roman"/>
                <w:sz w:val="20"/>
                <w:szCs w:val="20"/>
              </w:rPr>
              <w:t xml:space="preserve"> izpilde paredzēta </w:t>
            </w:r>
            <w:proofErr w:type="gramStart"/>
            <w:r w:rsidR="00DF0648">
              <w:rPr>
                <w:rFonts w:ascii="Times New Roman" w:hAnsi="Times New Roman"/>
                <w:sz w:val="20"/>
                <w:szCs w:val="20"/>
              </w:rPr>
              <w:t>2018.gadā</w:t>
            </w:r>
            <w:proofErr w:type="gramEnd"/>
            <w:r w:rsidR="00DF0648">
              <w:rPr>
                <w:rFonts w:ascii="Times New Roman" w:hAnsi="Times New Roman"/>
                <w:sz w:val="20"/>
                <w:szCs w:val="20"/>
              </w:rPr>
              <w:t xml:space="preserve">, taču uzdevums uzskatāms daļēji izpildīts, ņemot vērā, ka </w:t>
            </w:r>
            <w:r w:rsidR="00DF0648" w:rsidRPr="00DF0648">
              <w:rPr>
                <w:rFonts w:ascii="Times New Roman" w:hAnsi="Times New Roman"/>
                <w:sz w:val="20"/>
                <w:szCs w:val="20"/>
              </w:rPr>
              <w:t>2017.gada 31.oktobrī Ministru kabineta sēdē tika apstiprināts Veselības ministrijas izstrādātais “HIV infekcijas (HIV), seksuālās transmisijas infekciju (STI), B un C hepatīta izplatības ierobežošanas rīcības plāns 2018.-2020.gadam”, kurā ietverts rīcības virziens – darbs ar riska grupām.</w:t>
            </w:r>
          </w:p>
        </w:tc>
      </w:tr>
      <w:tr w:rsidR="003A7FF2" w:rsidRPr="002F1F37" w:rsidTr="00466F0A">
        <w:trPr>
          <w:trHeight w:val="690"/>
        </w:trPr>
        <w:tc>
          <w:tcPr>
            <w:tcW w:w="1600" w:type="pct"/>
            <w:gridSpan w:val="2"/>
            <w:tcBorders>
              <w:top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bCs/>
                <w:i/>
                <w:sz w:val="24"/>
                <w:szCs w:val="24"/>
              </w:rPr>
              <w:t xml:space="preserve">Darbības rezultāts A6.: </w:t>
            </w:r>
            <w:r w:rsidRPr="002F1F37">
              <w:rPr>
                <w:rFonts w:ascii="Times New Roman" w:hAnsi="Times New Roman"/>
                <w:bCs/>
                <w:sz w:val="24"/>
                <w:szCs w:val="24"/>
              </w:rPr>
              <w:t>izveidots nacionālais konsultēšanas mehānisms cilvēku tirdzniecības upuru identificēšanai un nodrošināta tā darbība</w:t>
            </w:r>
          </w:p>
        </w:tc>
        <w:tc>
          <w:tcPr>
            <w:tcW w:w="1458"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i/>
                <w:sz w:val="24"/>
                <w:szCs w:val="24"/>
              </w:rPr>
              <w:t>Rezultatīvais rādītājs:</w:t>
            </w:r>
            <w:r w:rsidRPr="002F1F37">
              <w:rPr>
                <w:rFonts w:ascii="Times New Roman" w:hAnsi="Times New Roman"/>
                <w:sz w:val="24"/>
                <w:szCs w:val="24"/>
              </w:rPr>
              <w:t xml:space="preserve"> izveidots sadarbības mehānisms (normatīvais akts)</w:t>
            </w:r>
          </w:p>
        </w:tc>
        <w:tc>
          <w:tcPr>
            <w:tcW w:w="389"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5" w:type="pct"/>
            <w:tcBorders>
              <w:top w:val="single" w:sz="6"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w:t>
            </w:r>
          </w:p>
        </w:tc>
        <w:tc>
          <w:tcPr>
            <w:tcW w:w="533" w:type="pct"/>
            <w:tcBorders>
              <w:top w:val="single" w:sz="6" w:space="0" w:color="auto"/>
              <w:left w:val="single" w:sz="6" w:space="0" w:color="auto"/>
            </w:tcBorders>
            <w:shd w:val="clear" w:color="auto" w:fill="FFF2CC" w:themeFill="accent4" w:themeFillTint="33"/>
          </w:tcPr>
          <w:p w:rsidR="00FF73D9" w:rsidRPr="00995D1D" w:rsidRDefault="00D1174C" w:rsidP="00423F2F">
            <w:pPr>
              <w:tabs>
                <w:tab w:val="left" w:pos="675"/>
                <w:tab w:val="center" w:pos="757"/>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485" w:type="pct"/>
            <w:tcBorders>
              <w:top w:val="single" w:sz="6" w:space="0" w:color="auto"/>
              <w:left w:val="single" w:sz="6" w:space="0" w:color="auto"/>
            </w:tcBorders>
            <w:shd w:val="clear" w:color="auto" w:fill="FFF2CC" w:themeFill="accent4" w:themeFillTint="33"/>
          </w:tcPr>
          <w:p w:rsidR="000928CC" w:rsidRPr="00CE49EA" w:rsidRDefault="000928CC" w:rsidP="000928CC">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tabs>
                <w:tab w:val="left" w:pos="675"/>
                <w:tab w:val="center" w:pos="757"/>
              </w:tabs>
              <w:spacing w:after="0" w:line="240" w:lineRule="auto"/>
              <w:jc w:val="center"/>
              <w:rPr>
                <w:rFonts w:ascii="Times New Roman" w:hAnsi="Times New Roman"/>
                <w:sz w:val="24"/>
                <w:szCs w:val="24"/>
              </w:rPr>
            </w:pPr>
          </w:p>
        </w:tc>
      </w:tr>
      <w:tr w:rsidR="00D1174C" w:rsidRPr="002F1F37" w:rsidTr="00466F0A">
        <w:trPr>
          <w:trHeight w:val="690"/>
        </w:trPr>
        <w:tc>
          <w:tcPr>
            <w:tcW w:w="5000" w:type="pct"/>
            <w:gridSpan w:val="7"/>
            <w:tcBorders>
              <w:top w:val="single" w:sz="6" w:space="0" w:color="auto"/>
            </w:tcBorders>
            <w:shd w:val="clear" w:color="auto" w:fill="auto"/>
          </w:tcPr>
          <w:p w:rsidR="00D1174C" w:rsidRPr="00D1174C" w:rsidRDefault="00935752" w:rsidP="00D1174C">
            <w:pPr>
              <w:tabs>
                <w:tab w:val="left" w:pos="675"/>
                <w:tab w:val="center" w:pos="757"/>
              </w:tabs>
              <w:spacing w:after="0" w:line="240" w:lineRule="auto"/>
              <w:jc w:val="both"/>
              <w:rPr>
                <w:rFonts w:ascii="Times New Roman" w:hAnsi="Times New Roman"/>
                <w:sz w:val="20"/>
                <w:szCs w:val="20"/>
              </w:rPr>
            </w:pPr>
            <w:proofErr w:type="gramStart"/>
            <w:r w:rsidRPr="00935752">
              <w:rPr>
                <w:rFonts w:ascii="Times New Roman" w:hAnsi="Times New Roman"/>
                <w:sz w:val="20"/>
                <w:szCs w:val="20"/>
              </w:rPr>
              <w:t>2017.gada</w:t>
            </w:r>
            <w:proofErr w:type="gramEnd"/>
            <w:r w:rsidRPr="00935752">
              <w:rPr>
                <w:rFonts w:ascii="Times New Roman" w:hAnsi="Times New Roman"/>
                <w:sz w:val="20"/>
                <w:szCs w:val="20"/>
              </w:rPr>
              <w:t xml:space="preserve"> 13.decembrī interneta vietnē “Valsts informatīvais resurss par cilvēktirdzniecības mazināšanas tēmu un aktualitātēm Latvijā – </w:t>
            </w:r>
            <w:proofErr w:type="spellStart"/>
            <w:r w:rsidRPr="00935752">
              <w:rPr>
                <w:rFonts w:ascii="Times New Roman" w:hAnsi="Times New Roman"/>
                <w:sz w:val="20"/>
                <w:szCs w:val="20"/>
              </w:rPr>
              <w:t>www.cilvektirdznieciba.lv</w:t>
            </w:r>
            <w:proofErr w:type="spellEnd"/>
            <w:r w:rsidRPr="00935752">
              <w:rPr>
                <w:rFonts w:ascii="Times New Roman" w:hAnsi="Times New Roman"/>
                <w:sz w:val="20"/>
                <w:szCs w:val="20"/>
              </w:rPr>
              <w:t>” tika publicēts informatīvais materiāls par starpinstitūciju sadarbību cilvēku tirdzniecības upuru atpazīšanā un identificēšanā, kas ir “Vispārējā modeļa: starpinstitūciju sadarbības mehānismā iesaistīto institūciju darbības funkcionālā analīze un rīcība cilvēku tirdzniecības upuru atpazīšanā, identificēšanā, palīdzības un atbalsta nodrošināšanā” pirmā daļa. Tiks turpināts darbs pie informatīvā materiāla sagatavošanas par starpinstitūciju sadarbību palīdzības un atbalsta pakalpojumu cilvēku tirdzniecības upuriem nodrošināšanā.</w:t>
            </w:r>
          </w:p>
        </w:tc>
      </w:tr>
      <w:tr w:rsidR="005F3A72" w:rsidRPr="005F3A72" w:rsidTr="00466F0A">
        <w:tblPrEx>
          <w:tblBorders>
            <w:top w:val="single" w:sz="6" w:space="0" w:color="000000"/>
            <w:left w:val="single" w:sz="6" w:space="0" w:color="000000"/>
            <w:bottom w:val="single" w:sz="6" w:space="0" w:color="000000"/>
            <w:right w:val="single" w:sz="6" w:space="0" w:color="000000"/>
          </w:tblBorders>
        </w:tblPrEx>
        <w:trPr>
          <w:trHeight w:val="765"/>
        </w:trPr>
        <w:tc>
          <w:tcPr>
            <w:tcW w:w="5000" w:type="pct"/>
            <w:gridSpan w:val="7"/>
            <w:tcBorders>
              <w:top w:val="single" w:sz="6" w:space="0" w:color="000000"/>
              <w:bottom w:val="single" w:sz="6" w:space="0" w:color="000000"/>
            </w:tcBorders>
            <w:shd w:val="clear" w:color="auto" w:fill="FBE4D5" w:themeFill="accent2" w:themeFillTint="33"/>
            <w:vAlign w:val="center"/>
          </w:tcPr>
          <w:p w:rsidR="005F3A72" w:rsidRPr="005F3A72" w:rsidRDefault="005F3A72" w:rsidP="00423F2F">
            <w:pPr>
              <w:spacing w:after="0" w:line="240" w:lineRule="auto"/>
              <w:rPr>
                <w:rFonts w:ascii="Times New Roman" w:hAnsi="Times New Roman"/>
                <w:b/>
                <w:bCs/>
                <w:i/>
                <w:sz w:val="24"/>
                <w:szCs w:val="24"/>
              </w:rPr>
            </w:pPr>
            <w:r w:rsidRPr="005F3A72">
              <w:rPr>
                <w:rFonts w:ascii="Times New Roman" w:hAnsi="Times New Roman"/>
                <w:b/>
                <w:bCs/>
                <w:i/>
                <w:sz w:val="24"/>
                <w:szCs w:val="24"/>
              </w:rPr>
              <w:t>Politikas definētais mērķis</w:t>
            </w:r>
            <w:r w:rsidRPr="005F3A72">
              <w:rPr>
                <w:rFonts w:ascii="Times New Roman" w:hAnsi="Times New Roman"/>
                <w:i/>
                <w:sz w:val="24"/>
                <w:szCs w:val="24"/>
              </w:rPr>
              <w:t xml:space="preserve">: </w:t>
            </w:r>
            <w:r w:rsidRPr="005F3A72">
              <w:rPr>
                <w:rFonts w:ascii="Times New Roman" w:hAnsi="Times New Roman"/>
                <w:b/>
                <w:i/>
                <w:sz w:val="24"/>
                <w:szCs w:val="24"/>
              </w:rPr>
              <w:t>Panākt cilvēku tirdzniecības latentuma samazināšanos un attīstīt tiesībaizsardzības iestāžu un kompetento partneru kapacitāti cilvēku tirdzniecības gadījumu apkarošanai.</w:t>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616"/>
        </w:trPr>
        <w:tc>
          <w:tcPr>
            <w:tcW w:w="1216" w:type="pct"/>
            <w:vMerge w:val="restart"/>
            <w:tcBorders>
              <w:top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Politikas rezultāts B1:</w:t>
            </w:r>
            <w:r w:rsidRPr="002F1F37">
              <w:rPr>
                <w:rFonts w:ascii="Times New Roman" w:hAnsi="Times New Roman"/>
                <w:bCs/>
                <w:sz w:val="24"/>
                <w:szCs w:val="24"/>
              </w:rPr>
              <w:t xml:space="preserve"> pastiprinās kompetento valsts institūciju aktivitāte, lai vērstos pret cilvēku tirdzniecību un veicinātu ar cilvēku tirdzniecību saistīto noziedzīgo nodarījumu apkarošanu</w:t>
            </w:r>
          </w:p>
        </w:tc>
        <w:tc>
          <w:tcPr>
            <w:tcW w:w="1842" w:type="pct"/>
            <w:gridSpan w:val="2"/>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 xml:space="preserve">Rezultatīvais rādītājs: </w:t>
            </w:r>
            <w:r w:rsidRPr="002F1F37">
              <w:rPr>
                <w:rFonts w:ascii="Times New Roman" w:hAnsi="Times New Roman"/>
                <w:bCs/>
                <w:sz w:val="24"/>
                <w:szCs w:val="24"/>
              </w:rPr>
              <w:t>ar cilvēku tirdzniecību saistīto atklāto (uzsākts kriminālprocess) noziedzīgo nodarījumu skaits</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30</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31</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A42D35" w:rsidRDefault="008261A3" w:rsidP="00423F2F">
            <w:pPr>
              <w:spacing w:after="0" w:line="240" w:lineRule="auto"/>
              <w:jc w:val="center"/>
              <w:rPr>
                <w:rFonts w:ascii="Times New Roman" w:hAnsi="Times New Roman"/>
                <w:b/>
                <w:sz w:val="24"/>
                <w:szCs w:val="24"/>
              </w:rPr>
            </w:pPr>
            <w:r>
              <w:rPr>
                <w:rFonts w:ascii="Times New Roman" w:hAnsi="Times New Roman"/>
                <w:b/>
                <w:sz w:val="24"/>
                <w:szCs w:val="24"/>
              </w:rPr>
              <w:t>37</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FF73D9" w:rsidRPr="002F1F37" w:rsidRDefault="008261A3" w:rsidP="00423F2F">
            <w:pPr>
              <w:spacing w:after="0" w:line="240" w:lineRule="auto"/>
              <w:jc w:val="center"/>
              <w:rPr>
                <w:rFonts w:ascii="Times New Roman" w:hAnsi="Times New Roman"/>
                <w:sz w:val="24"/>
                <w:szCs w:val="24"/>
              </w:rPr>
            </w:pPr>
            <w:r w:rsidRPr="00CE49EA">
              <w:rPr>
                <w:rFonts w:ascii="Times New Roman" w:hAnsi="Times New Roman"/>
                <w:b/>
                <w:color w:val="008000"/>
              </w:rPr>
              <w:sym w:font="Symbol" w:char="F0AD"/>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673"/>
        </w:trPr>
        <w:tc>
          <w:tcPr>
            <w:tcW w:w="1216" w:type="pct"/>
            <w:vMerge/>
            <w:tcBorders>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p>
        </w:tc>
        <w:tc>
          <w:tcPr>
            <w:tcW w:w="1842" w:type="pct"/>
            <w:gridSpan w:val="2"/>
            <w:tcBorders>
              <w:top w:val="single" w:sz="6" w:space="0" w:color="000000"/>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Rezultatīvais rādītājs:</w:t>
            </w:r>
            <w:r w:rsidRPr="002F1F37">
              <w:rPr>
                <w:rFonts w:ascii="Times New Roman" w:hAnsi="Times New Roman"/>
                <w:bCs/>
                <w:sz w:val="24"/>
                <w:szCs w:val="24"/>
              </w:rPr>
              <w:t xml:space="preserve"> ar cilvēku tirdzniecību saistīto uzsākto kriminālprocesu, kas nosūtīti iztiesāšanai, skaits</w:t>
            </w:r>
          </w:p>
        </w:tc>
        <w:tc>
          <w:tcPr>
            <w:tcW w:w="389" w:type="pct"/>
            <w:tcBorders>
              <w:top w:val="single" w:sz="6" w:space="0" w:color="000000"/>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19</w:t>
            </w:r>
          </w:p>
        </w:tc>
        <w:tc>
          <w:tcPr>
            <w:tcW w:w="535" w:type="pct"/>
            <w:tcBorders>
              <w:top w:val="single" w:sz="6" w:space="0" w:color="000000"/>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20</w:t>
            </w:r>
          </w:p>
        </w:tc>
        <w:tc>
          <w:tcPr>
            <w:tcW w:w="533" w:type="pct"/>
            <w:tcBorders>
              <w:top w:val="single" w:sz="6" w:space="0" w:color="000000"/>
              <w:left w:val="single" w:sz="6" w:space="0" w:color="000000"/>
              <w:bottom w:val="single" w:sz="4" w:space="0" w:color="auto"/>
            </w:tcBorders>
            <w:shd w:val="clear" w:color="auto" w:fill="FFF2CC" w:themeFill="accent4" w:themeFillTint="33"/>
          </w:tcPr>
          <w:p w:rsidR="00FF73D9" w:rsidRPr="00954157" w:rsidRDefault="006F29B9" w:rsidP="00423F2F">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485" w:type="pct"/>
            <w:tcBorders>
              <w:top w:val="single" w:sz="6" w:space="0" w:color="000000"/>
              <w:left w:val="single" w:sz="6" w:space="0" w:color="000000"/>
              <w:bottom w:val="single" w:sz="4" w:space="0" w:color="auto"/>
            </w:tcBorders>
            <w:shd w:val="clear" w:color="auto" w:fill="FFF2CC" w:themeFill="accent4" w:themeFillTint="33"/>
          </w:tcPr>
          <w:p w:rsidR="008261A3" w:rsidRPr="00CE49EA" w:rsidRDefault="008261A3" w:rsidP="008261A3">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spacing w:after="0" w:line="240" w:lineRule="auto"/>
              <w:jc w:val="center"/>
              <w:rPr>
                <w:rFonts w:ascii="Times New Roman" w:hAnsi="Times New Roman"/>
                <w:sz w:val="24"/>
                <w:szCs w:val="24"/>
              </w:rPr>
            </w:pPr>
          </w:p>
        </w:tc>
      </w:tr>
      <w:tr w:rsidR="00954157" w:rsidRPr="002F1F37" w:rsidTr="00466F0A">
        <w:tblPrEx>
          <w:tblBorders>
            <w:top w:val="single" w:sz="6" w:space="0" w:color="000000"/>
            <w:left w:val="single" w:sz="6" w:space="0" w:color="000000"/>
            <w:bottom w:val="single" w:sz="6" w:space="0" w:color="000000"/>
            <w:right w:val="single" w:sz="6" w:space="0" w:color="000000"/>
          </w:tblBorders>
        </w:tblPrEx>
        <w:trPr>
          <w:trHeight w:val="673"/>
        </w:trPr>
        <w:tc>
          <w:tcPr>
            <w:tcW w:w="5000" w:type="pct"/>
            <w:gridSpan w:val="7"/>
            <w:tcBorders>
              <w:bottom w:val="single" w:sz="6" w:space="0" w:color="000000"/>
            </w:tcBorders>
            <w:shd w:val="clear" w:color="auto" w:fill="auto"/>
          </w:tcPr>
          <w:p w:rsidR="006F29B9" w:rsidRDefault="00F26CCF" w:rsidP="00954157">
            <w:pPr>
              <w:spacing w:after="0" w:line="240" w:lineRule="auto"/>
              <w:jc w:val="both"/>
              <w:rPr>
                <w:rFonts w:ascii="Times New Roman" w:hAnsi="Times New Roman"/>
                <w:sz w:val="20"/>
                <w:szCs w:val="20"/>
              </w:rPr>
            </w:pPr>
            <w:r>
              <w:rPr>
                <w:rFonts w:ascii="Times New Roman" w:hAnsi="Times New Roman"/>
                <w:sz w:val="20"/>
                <w:szCs w:val="20"/>
              </w:rPr>
              <w:t xml:space="preserve">Valsts policijas uzsāktie kriminālprocesi pēc Krimināllikuma </w:t>
            </w:r>
            <w:r w:rsidRPr="00F26CCF">
              <w:rPr>
                <w:rFonts w:ascii="Times New Roman" w:hAnsi="Times New Roman"/>
                <w:sz w:val="20"/>
                <w:szCs w:val="20"/>
              </w:rPr>
              <w:t>154.</w:t>
            </w:r>
            <w:proofErr w:type="gramStart"/>
            <w:r w:rsidRPr="00F26CCF">
              <w:rPr>
                <w:rFonts w:ascii="Times New Roman" w:hAnsi="Times New Roman"/>
                <w:sz w:val="20"/>
                <w:szCs w:val="20"/>
                <w:vertAlign w:val="superscript"/>
              </w:rPr>
              <w:t>1</w:t>
            </w:r>
            <w:r w:rsidR="00422232">
              <w:rPr>
                <w:rFonts w:ascii="Times New Roman" w:hAnsi="Times New Roman"/>
                <w:sz w:val="20"/>
                <w:szCs w:val="20"/>
              </w:rPr>
              <w:t>pantā</w:t>
            </w:r>
            <w:proofErr w:type="gramEnd"/>
            <w:r w:rsidR="00422232">
              <w:rPr>
                <w:rFonts w:ascii="Times New Roman" w:hAnsi="Times New Roman"/>
                <w:sz w:val="20"/>
                <w:szCs w:val="20"/>
              </w:rPr>
              <w:t xml:space="preserve"> “Cilvēku tirdzniecība”,</w:t>
            </w:r>
            <w:r w:rsidRPr="00F26CCF">
              <w:rPr>
                <w:rFonts w:ascii="Times New Roman" w:hAnsi="Times New Roman"/>
                <w:sz w:val="20"/>
                <w:szCs w:val="20"/>
              </w:rPr>
              <w:t xml:space="preserve"> 165.</w:t>
            </w:r>
            <w:r w:rsidR="00422232">
              <w:rPr>
                <w:rFonts w:ascii="Times New Roman" w:hAnsi="Times New Roman"/>
                <w:sz w:val="20"/>
                <w:szCs w:val="20"/>
              </w:rPr>
              <w:t>pantā “Sutenerisms”</w:t>
            </w:r>
            <w:r w:rsidRPr="00F26CCF">
              <w:rPr>
                <w:rFonts w:ascii="Times New Roman" w:hAnsi="Times New Roman"/>
                <w:sz w:val="20"/>
                <w:szCs w:val="20"/>
              </w:rPr>
              <w:t xml:space="preserve"> un 165.</w:t>
            </w:r>
            <w:r w:rsidRPr="00F26CCF">
              <w:rPr>
                <w:rFonts w:ascii="Times New Roman" w:hAnsi="Times New Roman"/>
                <w:sz w:val="20"/>
                <w:szCs w:val="20"/>
                <w:vertAlign w:val="superscript"/>
              </w:rPr>
              <w:t>1</w:t>
            </w:r>
            <w:r w:rsidRPr="00F26CCF">
              <w:rPr>
                <w:rFonts w:ascii="Times New Roman" w:hAnsi="Times New Roman"/>
                <w:sz w:val="20"/>
                <w:szCs w:val="20"/>
              </w:rPr>
              <w:t xml:space="preserve">pantā </w:t>
            </w:r>
            <w:r w:rsidR="00422232">
              <w:rPr>
                <w:rFonts w:ascii="Times New Roman" w:hAnsi="Times New Roman"/>
                <w:sz w:val="20"/>
                <w:szCs w:val="20"/>
              </w:rPr>
              <w:t xml:space="preserve">“Personas nosūtīšana seksuālai izmantošanai” </w:t>
            </w:r>
            <w:r w:rsidRPr="00F26CCF">
              <w:rPr>
                <w:rFonts w:ascii="Times New Roman" w:hAnsi="Times New Roman"/>
                <w:sz w:val="20"/>
                <w:szCs w:val="20"/>
              </w:rPr>
              <w:t>paredzētājiem noziedzīgajiem nodarījumiem</w:t>
            </w:r>
            <w:r>
              <w:rPr>
                <w:rFonts w:ascii="Times New Roman" w:hAnsi="Times New Roman"/>
                <w:sz w:val="20"/>
                <w:szCs w:val="20"/>
              </w:rPr>
              <w:t xml:space="preserve">: 2014.gadā – </w:t>
            </w:r>
            <w:r w:rsidRPr="00C508DF">
              <w:rPr>
                <w:rFonts w:ascii="Times New Roman" w:hAnsi="Times New Roman"/>
                <w:b/>
                <w:sz w:val="20"/>
                <w:szCs w:val="20"/>
              </w:rPr>
              <w:t>17</w:t>
            </w:r>
            <w:r>
              <w:rPr>
                <w:rFonts w:ascii="Times New Roman" w:hAnsi="Times New Roman"/>
                <w:sz w:val="20"/>
                <w:szCs w:val="20"/>
              </w:rPr>
              <w:t xml:space="preserve"> kriminālprocesi, 2015.gadā – </w:t>
            </w:r>
            <w:r w:rsidRPr="00C508DF">
              <w:rPr>
                <w:rFonts w:ascii="Times New Roman" w:hAnsi="Times New Roman"/>
                <w:b/>
                <w:sz w:val="20"/>
                <w:szCs w:val="20"/>
              </w:rPr>
              <w:t>18</w:t>
            </w:r>
            <w:r>
              <w:rPr>
                <w:rFonts w:ascii="Times New Roman" w:hAnsi="Times New Roman"/>
                <w:sz w:val="20"/>
                <w:szCs w:val="20"/>
              </w:rPr>
              <w:t xml:space="preserve"> kriminālprocesi, 2016.gadā – </w:t>
            </w:r>
            <w:r w:rsidRPr="00C508DF">
              <w:rPr>
                <w:rFonts w:ascii="Times New Roman" w:hAnsi="Times New Roman"/>
                <w:b/>
                <w:sz w:val="20"/>
                <w:szCs w:val="20"/>
              </w:rPr>
              <w:t>22</w:t>
            </w:r>
            <w:r>
              <w:rPr>
                <w:rFonts w:ascii="Times New Roman" w:hAnsi="Times New Roman"/>
                <w:sz w:val="20"/>
                <w:szCs w:val="20"/>
              </w:rPr>
              <w:t xml:space="preserve"> kriminālprocesi.</w:t>
            </w:r>
            <w:r w:rsidR="008261A3">
              <w:rPr>
                <w:rFonts w:ascii="Times New Roman" w:hAnsi="Times New Roman"/>
                <w:sz w:val="20"/>
                <w:szCs w:val="20"/>
              </w:rPr>
              <w:t xml:space="preserve"> Saskaņā ar Valsts policijas sniegto informāciju Valsts policijas</w:t>
            </w:r>
            <w:r w:rsidR="008261A3" w:rsidRPr="000D331B">
              <w:rPr>
                <w:rFonts w:ascii="Times New Roman" w:hAnsi="Times New Roman"/>
                <w:sz w:val="20"/>
                <w:szCs w:val="20"/>
              </w:rPr>
              <w:t xml:space="preserve"> uzsākto kriminālprocesu skaits atspoguļo tikai lie</w:t>
            </w:r>
            <w:r w:rsidR="008261A3">
              <w:rPr>
                <w:rFonts w:ascii="Times New Roman" w:hAnsi="Times New Roman"/>
                <w:sz w:val="20"/>
                <w:szCs w:val="20"/>
              </w:rPr>
              <w:t>tvedības nepieciešamību par savā starpā nesaistītiem cilvēku tirdzniecības</w:t>
            </w:r>
            <w:r w:rsidR="008261A3" w:rsidRPr="000D331B">
              <w:rPr>
                <w:rFonts w:ascii="Times New Roman" w:hAnsi="Times New Roman"/>
                <w:sz w:val="20"/>
                <w:szCs w:val="20"/>
              </w:rPr>
              <w:t xml:space="preserve"> un to riska faktiem, kuru pārbaudei/dokumentēšanai ir nepieciešami kriminālprocesuālie līdzekļi. Piemērām</w:t>
            </w:r>
            <w:r w:rsidR="008261A3">
              <w:rPr>
                <w:rFonts w:ascii="Times New Roman" w:hAnsi="Times New Roman"/>
                <w:sz w:val="20"/>
                <w:szCs w:val="20"/>
              </w:rPr>
              <w:t>, 2016.gadā uzsākto</w:t>
            </w:r>
            <w:r w:rsidR="008261A3" w:rsidRPr="000D331B">
              <w:rPr>
                <w:rFonts w:ascii="Times New Roman" w:hAnsi="Times New Roman"/>
                <w:sz w:val="20"/>
                <w:szCs w:val="20"/>
              </w:rPr>
              <w:t xml:space="preserve"> </w:t>
            </w:r>
            <w:r w:rsidR="008261A3">
              <w:rPr>
                <w:rFonts w:ascii="Times New Roman" w:hAnsi="Times New Roman"/>
                <w:sz w:val="20"/>
                <w:szCs w:val="20"/>
              </w:rPr>
              <w:t>kriminālprocesu kopskaits ir 22</w:t>
            </w:r>
            <w:r w:rsidR="008261A3" w:rsidRPr="000D331B">
              <w:rPr>
                <w:rFonts w:ascii="Times New Roman" w:hAnsi="Times New Roman"/>
                <w:sz w:val="20"/>
                <w:szCs w:val="20"/>
              </w:rPr>
              <w:t xml:space="preserve">, bet reģistrēto </w:t>
            </w:r>
            <w:r w:rsidR="008261A3">
              <w:rPr>
                <w:rFonts w:ascii="Times New Roman" w:hAnsi="Times New Roman"/>
                <w:sz w:val="20"/>
                <w:szCs w:val="20"/>
              </w:rPr>
              <w:t xml:space="preserve">noziedzīgo </w:t>
            </w:r>
            <w:r w:rsidR="008261A3" w:rsidRPr="000D331B">
              <w:rPr>
                <w:rFonts w:ascii="Times New Roman" w:hAnsi="Times New Roman"/>
                <w:sz w:val="20"/>
                <w:szCs w:val="20"/>
              </w:rPr>
              <w:t xml:space="preserve">nodarījumu skaits ir </w:t>
            </w:r>
            <w:r w:rsidR="008261A3" w:rsidRPr="00930C52">
              <w:rPr>
                <w:rFonts w:ascii="Times New Roman" w:hAnsi="Times New Roman"/>
                <w:b/>
                <w:sz w:val="20"/>
                <w:szCs w:val="20"/>
              </w:rPr>
              <w:t>37</w:t>
            </w:r>
            <w:r w:rsidR="008261A3" w:rsidRPr="000D331B">
              <w:rPr>
                <w:rFonts w:ascii="Times New Roman" w:hAnsi="Times New Roman"/>
                <w:sz w:val="20"/>
                <w:szCs w:val="20"/>
              </w:rPr>
              <w:t>.</w:t>
            </w:r>
          </w:p>
          <w:p w:rsidR="00A42D35" w:rsidRPr="008261A3" w:rsidRDefault="00954157" w:rsidP="008261A3">
            <w:pPr>
              <w:spacing w:after="0" w:line="240" w:lineRule="auto"/>
              <w:jc w:val="both"/>
              <w:rPr>
                <w:rFonts w:ascii="Times New Roman" w:hAnsi="Times New Roman"/>
                <w:sz w:val="24"/>
                <w:szCs w:val="24"/>
              </w:rPr>
            </w:pPr>
            <w:r w:rsidRPr="00954157">
              <w:rPr>
                <w:rFonts w:ascii="Times New Roman" w:hAnsi="Times New Roman"/>
                <w:sz w:val="20"/>
                <w:szCs w:val="20"/>
              </w:rPr>
              <w:t>Atbilstoši prokuratūras gada pārskata rādītājiem par Krimināllikuma 154.</w:t>
            </w:r>
            <w:r w:rsidRPr="00954157">
              <w:rPr>
                <w:rFonts w:ascii="Times New Roman" w:hAnsi="Times New Roman"/>
                <w:sz w:val="20"/>
                <w:szCs w:val="20"/>
                <w:vertAlign w:val="superscript"/>
              </w:rPr>
              <w:t>1</w:t>
            </w:r>
            <w:r w:rsidRPr="00954157">
              <w:rPr>
                <w:rFonts w:ascii="Times New Roman" w:hAnsi="Times New Roman"/>
                <w:sz w:val="20"/>
                <w:szCs w:val="20"/>
              </w:rPr>
              <w:t>, 165. un 165.</w:t>
            </w:r>
            <w:proofErr w:type="gramStart"/>
            <w:r w:rsidRPr="00954157">
              <w:rPr>
                <w:rFonts w:ascii="Times New Roman" w:hAnsi="Times New Roman"/>
                <w:sz w:val="20"/>
                <w:szCs w:val="20"/>
                <w:vertAlign w:val="superscript"/>
              </w:rPr>
              <w:t>1</w:t>
            </w:r>
            <w:r w:rsidRPr="00954157">
              <w:rPr>
                <w:rFonts w:ascii="Times New Roman" w:hAnsi="Times New Roman"/>
                <w:sz w:val="20"/>
                <w:szCs w:val="20"/>
              </w:rPr>
              <w:t>pantā</w:t>
            </w:r>
            <w:proofErr w:type="gramEnd"/>
            <w:r w:rsidRPr="00954157">
              <w:rPr>
                <w:rFonts w:ascii="Times New Roman" w:hAnsi="Times New Roman"/>
                <w:sz w:val="20"/>
                <w:szCs w:val="20"/>
              </w:rPr>
              <w:t xml:space="preserve"> paredzētājiem no</w:t>
            </w:r>
            <w:r>
              <w:rPr>
                <w:rFonts w:ascii="Times New Roman" w:hAnsi="Times New Roman"/>
                <w:sz w:val="20"/>
                <w:szCs w:val="20"/>
              </w:rPr>
              <w:t>ziedzīgajiem nodarījumiem 2014.</w:t>
            </w:r>
            <w:r w:rsidRPr="00954157">
              <w:rPr>
                <w:rFonts w:ascii="Times New Roman" w:hAnsi="Times New Roman"/>
                <w:sz w:val="20"/>
                <w:szCs w:val="20"/>
              </w:rPr>
              <w:t>gadā izskatīšanai tiesā kopsummā nos</w:t>
            </w:r>
            <w:r>
              <w:rPr>
                <w:rFonts w:ascii="Times New Roman" w:hAnsi="Times New Roman"/>
                <w:sz w:val="20"/>
                <w:szCs w:val="20"/>
              </w:rPr>
              <w:t xml:space="preserve">ūtītas </w:t>
            </w:r>
            <w:r w:rsidRPr="006F29B9">
              <w:rPr>
                <w:rFonts w:ascii="Times New Roman" w:hAnsi="Times New Roman"/>
                <w:b/>
                <w:sz w:val="20"/>
                <w:szCs w:val="20"/>
              </w:rPr>
              <w:t xml:space="preserve">15 </w:t>
            </w:r>
            <w:r>
              <w:rPr>
                <w:rFonts w:ascii="Times New Roman" w:hAnsi="Times New Roman"/>
                <w:sz w:val="20"/>
                <w:szCs w:val="20"/>
              </w:rPr>
              <w:t>krimināllietas, 2015.</w:t>
            </w:r>
            <w:r w:rsidRPr="00954157">
              <w:rPr>
                <w:rFonts w:ascii="Times New Roman" w:hAnsi="Times New Roman"/>
                <w:sz w:val="20"/>
                <w:szCs w:val="20"/>
              </w:rPr>
              <w:t xml:space="preserve">gadā </w:t>
            </w:r>
            <w:r w:rsidR="00653FD7">
              <w:rPr>
                <w:rFonts w:ascii="Times New Roman" w:hAnsi="Times New Roman"/>
                <w:sz w:val="20"/>
                <w:szCs w:val="20"/>
              </w:rPr>
              <w:t>–</w:t>
            </w:r>
            <w:r w:rsidRPr="00954157">
              <w:rPr>
                <w:rFonts w:ascii="Times New Roman" w:hAnsi="Times New Roman"/>
                <w:sz w:val="20"/>
                <w:szCs w:val="20"/>
              </w:rPr>
              <w:t xml:space="preserve"> </w:t>
            </w:r>
            <w:r w:rsidRPr="006F29B9">
              <w:rPr>
                <w:rFonts w:ascii="Times New Roman" w:hAnsi="Times New Roman"/>
                <w:b/>
                <w:sz w:val="20"/>
                <w:szCs w:val="20"/>
              </w:rPr>
              <w:t>17</w:t>
            </w:r>
            <w:r w:rsidRPr="00954157">
              <w:rPr>
                <w:rFonts w:ascii="Times New Roman" w:hAnsi="Times New Roman"/>
                <w:sz w:val="20"/>
                <w:szCs w:val="20"/>
              </w:rPr>
              <w:t xml:space="preserve"> krimināllietas, 2016</w:t>
            </w:r>
            <w:r>
              <w:rPr>
                <w:rFonts w:ascii="Times New Roman" w:hAnsi="Times New Roman"/>
                <w:sz w:val="20"/>
                <w:szCs w:val="20"/>
              </w:rPr>
              <w:t>.</w:t>
            </w:r>
            <w:r w:rsidRPr="00954157">
              <w:rPr>
                <w:rFonts w:ascii="Times New Roman" w:hAnsi="Times New Roman"/>
                <w:sz w:val="20"/>
                <w:szCs w:val="20"/>
              </w:rPr>
              <w:t xml:space="preserve">gadā – </w:t>
            </w:r>
            <w:r w:rsidRPr="006F29B9">
              <w:rPr>
                <w:rFonts w:ascii="Times New Roman" w:hAnsi="Times New Roman"/>
                <w:b/>
                <w:sz w:val="20"/>
                <w:szCs w:val="20"/>
              </w:rPr>
              <w:t>16</w:t>
            </w:r>
            <w:r w:rsidRPr="00954157">
              <w:rPr>
                <w:rFonts w:ascii="Times New Roman" w:hAnsi="Times New Roman"/>
                <w:sz w:val="20"/>
                <w:szCs w:val="20"/>
              </w:rPr>
              <w:t xml:space="preserve"> krimināllietas</w:t>
            </w:r>
            <w:r w:rsidRPr="00954157">
              <w:rPr>
                <w:rFonts w:ascii="Times New Roman" w:hAnsi="Times New Roman"/>
                <w:sz w:val="24"/>
                <w:szCs w:val="24"/>
              </w:rPr>
              <w:t>.</w:t>
            </w:r>
            <w:r w:rsidR="008261A3">
              <w:rPr>
                <w:rFonts w:ascii="Times New Roman" w:hAnsi="Times New Roman"/>
                <w:sz w:val="20"/>
                <w:szCs w:val="20"/>
              </w:rPr>
              <w:t xml:space="preserve"> </w:t>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105"/>
        </w:trPr>
        <w:tc>
          <w:tcPr>
            <w:tcW w:w="1216" w:type="pct"/>
            <w:vMerge w:val="restart"/>
            <w:tcBorders>
              <w:top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 xml:space="preserve">Politikas rezultāts B2: </w:t>
            </w:r>
            <w:r w:rsidRPr="002F1F37">
              <w:rPr>
                <w:rFonts w:ascii="Times New Roman" w:hAnsi="Times New Roman"/>
                <w:bCs/>
                <w:sz w:val="24"/>
                <w:szCs w:val="24"/>
              </w:rPr>
              <w:t>pieaug kompetento iestāžu darbinieku izpratne par noziedzīgiem nodarījumiem, kas saistīti ar cilvēku tirdzniecību</w:t>
            </w:r>
          </w:p>
        </w:tc>
        <w:tc>
          <w:tcPr>
            <w:tcW w:w="1842" w:type="pct"/>
            <w:gridSpan w:val="2"/>
            <w:tcBorders>
              <w:top w:val="single" w:sz="6" w:space="0" w:color="000000"/>
              <w:left w:val="single" w:sz="6" w:space="0" w:color="auto"/>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 xml:space="preserve">Rezultatīvais rādītājs: </w:t>
            </w:r>
            <w:r w:rsidRPr="002F1F37">
              <w:rPr>
                <w:rFonts w:ascii="Times New Roman" w:hAnsi="Times New Roman"/>
                <w:bCs/>
                <w:sz w:val="24"/>
                <w:szCs w:val="24"/>
              </w:rPr>
              <w:t>valsts un pašvaldības iestāžu darbinieku identificēto cilvēku tirdzniecības upuru skaita īpatsvars (% no visiem identificētajiem cilvēku tirdzniecības upuriem)</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15%</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 xml:space="preserve">+ 2% </w:t>
            </w:r>
            <w:r w:rsidRPr="002F1F37">
              <w:rPr>
                <w:rFonts w:ascii="Times New Roman" w:hAnsi="Times New Roman"/>
                <w:bCs/>
                <w:sz w:val="24"/>
                <w:szCs w:val="24"/>
              </w:rPr>
              <w:t xml:space="preserve">(salīdzinājumā ar </w:t>
            </w:r>
            <w:proofErr w:type="gramStart"/>
            <w:r w:rsidRPr="002F1F37">
              <w:rPr>
                <w:rFonts w:ascii="Times New Roman" w:hAnsi="Times New Roman"/>
                <w:bCs/>
                <w:sz w:val="24"/>
                <w:szCs w:val="24"/>
              </w:rPr>
              <w:t>2012.gadu</w:t>
            </w:r>
            <w:proofErr w:type="gramEnd"/>
            <w:r w:rsidRPr="002F1F37">
              <w:rPr>
                <w:rFonts w:ascii="Times New Roman" w:hAnsi="Times New Roman"/>
                <w:bCs/>
                <w:sz w:val="24"/>
                <w:szCs w:val="24"/>
              </w:rPr>
              <w:t>)</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2F1F37" w:rsidRDefault="0081401C" w:rsidP="00423F2F">
            <w:pPr>
              <w:spacing w:after="0" w:line="240" w:lineRule="auto"/>
              <w:jc w:val="center"/>
              <w:rPr>
                <w:rFonts w:ascii="Times New Roman" w:hAnsi="Times New Roman"/>
                <w:sz w:val="24"/>
                <w:szCs w:val="24"/>
              </w:rPr>
            </w:pPr>
            <w:r>
              <w:rPr>
                <w:rFonts w:ascii="Times New Roman" w:hAnsi="Times New Roman"/>
                <w:sz w:val="24"/>
                <w:szCs w:val="24"/>
              </w:rPr>
              <w:t>19%</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81401C" w:rsidRPr="00CE49EA" w:rsidRDefault="0081401C" w:rsidP="0081401C">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spacing w:after="0" w:line="240" w:lineRule="auto"/>
              <w:jc w:val="center"/>
              <w:rPr>
                <w:rFonts w:ascii="Times New Roman" w:hAnsi="Times New Roman"/>
                <w:sz w:val="24"/>
                <w:szCs w:val="24"/>
              </w:rPr>
            </w:pP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587"/>
        </w:trPr>
        <w:tc>
          <w:tcPr>
            <w:tcW w:w="1216" w:type="pct"/>
            <w:vMerge/>
            <w:tcBorders>
              <w:top w:val="single" w:sz="4" w:space="0" w:color="auto"/>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p>
        </w:tc>
        <w:tc>
          <w:tcPr>
            <w:tcW w:w="1842" w:type="pct"/>
            <w:gridSpan w:val="2"/>
            <w:tcBorders>
              <w:top w:val="single" w:sz="6" w:space="0" w:color="000000"/>
              <w:left w:val="single" w:sz="6" w:space="0" w:color="auto"/>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r w:rsidRPr="002F1F37">
              <w:rPr>
                <w:rFonts w:ascii="Times New Roman" w:hAnsi="Times New Roman"/>
                <w:b/>
                <w:bCs/>
                <w:i/>
                <w:sz w:val="24"/>
                <w:szCs w:val="24"/>
              </w:rPr>
              <w:t xml:space="preserve">Rezultatīvais rādītājs: </w:t>
            </w:r>
            <w:r w:rsidRPr="002F1F37">
              <w:rPr>
                <w:rFonts w:ascii="Times New Roman" w:hAnsi="Times New Roman"/>
                <w:bCs/>
                <w:sz w:val="24"/>
                <w:szCs w:val="24"/>
              </w:rPr>
              <w:t>valsts un pašvaldību iestāžu darbinieku izglītojošo pasākumu skaits</w:t>
            </w:r>
          </w:p>
        </w:tc>
        <w:tc>
          <w:tcPr>
            <w:tcW w:w="389" w:type="pct"/>
            <w:tcBorders>
              <w:top w:val="single" w:sz="6" w:space="0" w:color="000000"/>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4</w:t>
            </w:r>
          </w:p>
        </w:tc>
        <w:tc>
          <w:tcPr>
            <w:tcW w:w="535" w:type="pct"/>
            <w:tcBorders>
              <w:top w:val="single" w:sz="6" w:space="0" w:color="000000"/>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6</w:t>
            </w:r>
          </w:p>
        </w:tc>
        <w:tc>
          <w:tcPr>
            <w:tcW w:w="533" w:type="pct"/>
            <w:tcBorders>
              <w:top w:val="single" w:sz="6" w:space="0" w:color="000000"/>
              <w:left w:val="single" w:sz="6" w:space="0" w:color="000000"/>
              <w:bottom w:val="single" w:sz="4" w:space="0" w:color="auto"/>
            </w:tcBorders>
            <w:shd w:val="clear" w:color="auto" w:fill="FFF2CC" w:themeFill="accent4" w:themeFillTint="33"/>
          </w:tcPr>
          <w:p w:rsidR="00FF73D9" w:rsidRPr="00C362BE" w:rsidRDefault="00C362BE" w:rsidP="00423F2F">
            <w:pPr>
              <w:spacing w:after="0" w:line="240" w:lineRule="auto"/>
              <w:jc w:val="center"/>
              <w:rPr>
                <w:rFonts w:ascii="Times New Roman" w:hAnsi="Times New Roman"/>
                <w:b/>
                <w:sz w:val="24"/>
                <w:szCs w:val="24"/>
              </w:rPr>
            </w:pPr>
            <w:r w:rsidRPr="00C362BE">
              <w:rPr>
                <w:rFonts w:ascii="Times New Roman" w:hAnsi="Times New Roman"/>
                <w:b/>
                <w:sz w:val="24"/>
                <w:szCs w:val="24"/>
              </w:rPr>
              <w:t>9</w:t>
            </w:r>
          </w:p>
        </w:tc>
        <w:tc>
          <w:tcPr>
            <w:tcW w:w="485" w:type="pct"/>
            <w:tcBorders>
              <w:top w:val="single" w:sz="6" w:space="0" w:color="000000"/>
              <w:left w:val="single" w:sz="6" w:space="0" w:color="000000"/>
              <w:bottom w:val="single" w:sz="4" w:space="0" w:color="auto"/>
            </w:tcBorders>
            <w:shd w:val="clear" w:color="auto" w:fill="FFF2CC" w:themeFill="accent4" w:themeFillTint="33"/>
          </w:tcPr>
          <w:p w:rsidR="0081401C" w:rsidRPr="00CE49EA" w:rsidRDefault="0081401C" w:rsidP="0081401C">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spacing w:after="0" w:line="240" w:lineRule="auto"/>
              <w:jc w:val="center"/>
              <w:rPr>
                <w:rFonts w:ascii="Times New Roman" w:hAnsi="Times New Roman"/>
                <w:sz w:val="24"/>
                <w:szCs w:val="24"/>
              </w:rPr>
            </w:pPr>
          </w:p>
        </w:tc>
      </w:tr>
      <w:tr w:rsidR="006F29B9" w:rsidRPr="002F1F37" w:rsidTr="00466F0A">
        <w:tblPrEx>
          <w:tblBorders>
            <w:top w:val="single" w:sz="6" w:space="0" w:color="000000"/>
            <w:left w:val="single" w:sz="6" w:space="0" w:color="000000"/>
            <w:bottom w:val="single" w:sz="6" w:space="0" w:color="000000"/>
            <w:right w:val="single" w:sz="6" w:space="0" w:color="000000"/>
          </w:tblBorders>
        </w:tblPrEx>
        <w:trPr>
          <w:trHeight w:val="587"/>
        </w:trPr>
        <w:tc>
          <w:tcPr>
            <w:tcW w:w="5000" w:type="pct"/>
            <w:gridSpan w:val="7"/>
            <w:tcBorders>
              <w:top w:val="single" w:sz="4" w:space="0" w:color="auto"/>
              <w:bottom w:val="single" w:sz="4" w:space="0" w:color="auto"/>
            </w:tcBorders>
            <w:shd w:val="clear" w:color="auto" w:fill="auto"/>
          </w:tcPr>
          <w:p w:rsidR="006F29B9" w:rsidRDefault="00B20017" w:rsidP="00B20017">
            <w:pPr>
              <w:spacing w:after="0" w:line="240" w:lineRule="auto"/>
              <w:jc w:val="both"/>
              <w:rPr>
                <w:rFonts w:ascii="Times New Roman" w:hAnsi="Times New Roman"/>
                <w:sz w:val="20"/>
                <w:szCs w:val="20"/>
              </w:rPr>
            </w:pPr>
            <w:proofErr w:type="gramStart"/>
            <w:r>
              <w:rPr>
                <w:rFonts w:ascii="Times New Roman" w:hAnsi="Times New Roman"/>
                <w:sz w:val="20"/>
                <w:szCs w:val="20"/>
              </w:rPr>
              <w:t>2014.gadā</w:t>
            </w:r>
            <w:proofErr w:type="gramEnd"/>
            <w:r>
              <w:rPr>
                <w:rFonts w:ascii="Times New Roman" w:hAnsi="Times New Roman"/>
                <w:sz w:val="20"/>
                <w:szCs w:val="20"/>
              </w:rPr>
              <w:t xml:space="preserve"> valsts apmaksātos sociālās rehabilitācijas pakalpojumus cilvēku tirdzniecības upuriem nodrošināja biedrība “Patvērums “Drošā māja”. Saskaņā ar biedrības sniegto informāciju </w:t>
            </w:r>
            <w:r w:rsidRPr="00B20017">
              <w:rPr>
                <w:rFonts w:ascii="Times New Roman" w:hAnsi="Times New Roman"/>
                <w:sz w:val="20"/>
                <w:szCs w:val="20"/>
              </w:rPr>
              <w:t>8 personas pašas (t.sk. personu tuvinieki) vērsās pēc palīdzība</w:t>
            </w:r>
            <w:r>
              <w:rPr>
                <w:rFonts w:ascii="Times New Roman" w:hAnsi="Times New Roman"/>
                <w:sz w:val="20"/>
                <w:szCs w:val="20"/>
              </w:rPr>
              <w:t>s, apzinoties, ka ir cilvēku tirdzniecības</w:t>
            </w:r>
            <w:r w:rsidRPr="00B20017">
              <w:rPr>
                <w:rFonts w:ascii="Times New Roman" w:hAnsi="Times New Roman"/>
                <w:sz w:val="20"/>
                <w:szCs w:val="20"/>
              </w:rPr>
              <w:t xml:space="preserve"> upuri, 9 perso</w:t>
            </w:r>
            <w:r>
              <w:rPr>
                <w:rFonts w:ascii="Times New Roman" w:hAnsi="Times New Roman"/>
                <w:sz w:val="20"/>
                <w:szCs w:val="20"/>
              </w:rPr>
              <w:t>nas biedrība atpazina kā cilvēku tirdzniecības</w:t>
            </w:r>
            <w:r w:rsidRPr="00B20017">
              <w:rPr>
                <w:rFonts w:ascii="Times New Roman" w:hAnsi="Times New Roman"/>
                <w:sz w:val="20"/>
                <w:szCs w:val="20"/>
              </w:rPr>
              <w:t xml:space="preserve"> upurus savu klientu lokā, 10 personas identificēšanai novirzīja Latvijas valsts un pašvaldību iestādes </w:t>
            </w:r>
            <w:proofErr w:type="gramStart"/>
            <w:r w:rsidRPr="00B20017">
              <w:rPr>
                <w:rFonts w:ascii="Times New Roman" w:hAnsi="Times New Roman"/>
                <w:sz w:val="20"/>
                <w:szCs w:val="20"/>
              </w:rPr>
              <w:t>(</w:t>
            </w:r>
            <w:proofErr w:type="gramEnd"/>
            <w:r w:rsidRPr="00B20017">
              <w:rPr>
                <w:rFonts w:ascii="Times New Roman" w:hAnsi="Times New Roman"/>
                <w:sz w:val="20"/>
                <w:szCs w:val="20"/>
              </w:rPr>
              <w:t>Latvijas</w:t>
            </w:r>
            <w:r>
              <w:rPr>
                <w:rFonts w:ascii="Times New Roman" w:hAnsi="Times New Roman"/>
                <w:sz w:val="20"/>
                <w:szCs w:val="20"/>
              </w:rPr>
              <w:t xml:space="preserve"> diplomātiskās</w:t>
            </w:r>
            <w:r w:rsidRPr="00B20017">
              <w:rPr>
                <w:rFonts w:ascii="Times New Roman" w:hAnsi="Times New Roman"/>
                <w:sz w:val="20"/>
                <w:szCs w:val="20"/>
              </w:rPr>
              <w:t xml:space="preserve"> pārstāvniecības ārzemēs, sociālais dienests, un citas NVO).</w:t>
            </w:r>
          </w:p>
          <w:p w:rsidR="00B20017" w:rsidRDefault="008C2927" w:rsidP="006F29B9">
            <w:pPr>
              <w:spacing w:after="0" w:line="240" w:lineRule="auto"/>
              <w:jc w:val="both"/>
              <w:rPr>
                <w:rFonts w:ascii="Times New Roman" w:hAnsi="Times New Roman"/>
                <w:sz w:val="20"/>
                <w:szCs w:val="20"/>
              </w:rPr>
            </w:pPr>
            <w:r w:rsidRPr="008C2927">
              <w:rPr>
                <w:rFonts w:ascii="Times New Roman" w:hAnsi="Times New Roman"/>
                <w:sz w:val="20"/>
                <w:szCs w:val="20"/>
              </w:rPr>
              <w:lastRenderedPageBreak/>
              <w:t xml:space="preserve">Saskaņā ar biedrības “Centrs Marta” sniegto informāciju: </w:t>
            </w:r>
            <w:proofErr w:type="gramStart"/>
            <w:r w:rsidRPr="008C2927">
              <w:rPr>
                <w:rFonts w:ascii="Times New Roman" w:hAnsi="Times New Roman"/>
                <w:sz w:val="20"/>
                <w:szCs w:val="20"/>
              </w:rPr>
              <w:t>2015.gadā</w:t>
            </w:r>
            <w:proofErr w:type="gramEnd"/>
            <w:r w:rsidRPr="008C2927">
              <w:rPr>
                <w:rFonts w:ascii="Times New Roman" w:hAnsi="Times New Roman"/>
                <w:sz w:val="20"/>
                <w:szCs w:val="20"/>
              </w:rPr>
              <w:t>: 1 upuri novirzīja Valsts policija; 1 –  Latvijas vēstniecība ārvalstī; 1 – Tiesībsarga biroja pārstāvji; 4 gadījumos klientes vērsās Centrā Marta, no kuriem: 1 gadījumā kliente vērsās saistībā ar vardarbību ģimenē, bet Centra Marta speciālistiem atklājās, ka viņa tikusi ekspluatēta,         par 2 personām ziņoja un uz konsultāciju atveda klientes māte; 1 persona vērsās Centrā Marta, pati apzinoties, ka ir cilvēku tirdzniecības upuris. 2016.gadā: 4 upurus sociālās rehabilitācijas pakalpojumu saņemšanai novirzīja Valsts policija; 4 gadījumos informācija saņemta no Latvijas vēstniecībām ārvalstīs; 1 gadījumā klienti novirzīja cita NVO (šajā gadījumā novirzīja saistībā ar vardarbību ģimenē un aizdomām par seksuālu ekspluatāciju); 4 gadījumos cilvēku tirdzniecības upuri atpazina Centra Marta speciālisti, no kuriem par 2 personām (aizdomām, ka notikusi personu ekspluatācija) ziņoja klientes māte, savukārt 2 gadījumos klientes vērsās Centrā Marta saistībā ar vardarbību ģimenē, bet atklājās, ka faktiski viņas tiek ekspluatētas.</w:t>
            </w:r>
          </w:p>
          <w:p w:rsidR="00B20017" w:rsidRPr="00C362BE" w:rsidRDefault="00120D23" w:rsidP="00120D23">
            <w:pPr>
              <w:spacing w:after="0" w:line="240" w:lineRule="auto"/>
              <w:jc w:val="both"/>
              <w:rPr>
                <w:rFonts w:ascii="Times New Roman" w:hAnsi="Times New Roman"/>
                <w:sz w:val="20"/>
                <w:szCs w:val="20"/>
              </w:rPr>
            </w:pPr>
            <w:r w:rsidRPr="00120D23">
              <w:rPr>
                <w:rFonts w:ascii="Times New Roman" w:hAnsi="Times New Roman"/>
                <w:sz w:val="20"/>
                <w:szCs w:val="20"/>
              </w:rPr>
              <w:t>Laika posmā no 2014. līdz 2016. gadam Latvijas Republikas diplomātiskajās pārstāvniecībās identificēto cilvēk</w:t>
            </w:r>
            <w:r>
              <w:rPr>
                <w:rFonts w:ascii="Times New Roman" w:hAnsi="Times New Roman"/>
                <w:sz w:val="20"/>
                <w:szCs w:val="20"/>
              </w:rPr>
              <w:t xml:space="preserve">u </w:t>
            </w:r>
            <w:r w:rsidRPr="00120D23">
              <w:rPr>
                <w:rFonts w:ascii="Times New Roman" w:hAnsi="Times New Roman"/>
                <w:sz w:val="20"/>
                <w:szCs w:val="20"/>
              </w:rPr>
              <w:t>tirdzniecības upuru, tostarp potenciālo cilvēk</w:t>
            </w:r>
            <w:r>
              <w:rPr>
                <w:rFonts w:ascii="Times New Roman" w:hAnsi="Times New Roman"/>
                <w:sz w:val="20"/>
                <w:szCs w:val="20"/>
              </w:rPr>
              <w:t xml:space="preserve">u </w:t>
            </w:r>
            <w:r w:rsidRPr="00120D23">
              <w:rPr>
                <w:rFonts w:ascii="Times New Roman" w:hAnsi="Times New Roman"/>
                <w:sz w:val="20"/>
                <w:szCs w:val="20"/>
              </w:rPr>
              <w:t>tirdzniecības upuru skaits:</w:t>
            </w:r>
            <w:r>
              <w:rPr>
                <w:rFonts w:ascii="Times New Roman" w:hAnsi="Times New Roman"/>
                <w:sz w:val="20"/>
                <w:szCs w:val="20"/>
              </w:rPr>
              <w:t xml:space="preserve"> </w:t>
            </w:r>
            <w:r w:rsidRPr="00120D23">
              <w:rPr>
                <w:rFonts w:ascii="Times New Roman" w:hAnsi="Times New Roman"/>
                <w:sz w:val="20"/>
                <w:szCs w:val="20"/>
              </w:rPr>
              <w:t>2014. gadā – 42,</w:t>
            </w:r>
            <w:r>
              <w:rPr>
                <w:rFonts w:ascii="Times New Roman" w:hAnsi="Times New Roman"/>
                <w:sz w:val="20"/>
                <w:szCs w:val="20"/>
              </w:rPr>
              <w:t xml:space="preserve"> </w:t>
            </w:r>
            <w:r w:rsidRPr="00120D23">
              <w:rPr>
                <w:rFonts w:ascii="Times New Roman" w:hAnsi="Times New Roman"/>
                <w:sz w:val="20"/>
                <w:szCs w:val="20"/>
              </w:rPr>
              <w:t>2015. gadā – 39,</w:t>
            </w:r>
            <w:r>
              <w:rPr>
                <w:rFonts w:ascii="Times New Roman" w:hAnsi="Times New Roman"/>
                <w:sz w:val="20"/>
                <w:szCs w:val="20"/>
              </w:rPr>
              <w:t xml:space="preserve"> </w:t>
            </w:r>
            <w:r w:rsidRPr="00120D23">
              <w:rPr>
                <w:rFonts w:ascii="Times New Roman" w:hAnsi="Times New Roman"/>
                <w:sz w:val="20"/>
                <w:szCs w:val="20"/>
              </w:rPr>
              <w:t>2016. gadā – 18.</w:t>
            </w:r>
          </w:p>
          <w:p w:rsidR="008C2927" w:rsidRDefault="00C95A43" w:rsidP="006F29B9">
            <w:pPr>
              <w:spacing w:after="0" w:line="240" w:lineRule="auto"/>
              <w:jc w:val="both"/>
              <w:rPr>
                <w:rFonts w:ascii="Times New Roman" w:hAnsi="Times New Roman"/>
                <w:sz w:val="20"/>
                <w:szCs w:val="20"/>
              </w:rPr>
            </w:pPr>
            <w:proofErr w:type="gramStart"/>
            <w:r>
              <w:rPr>
                <w:rFonts w:ascii="Times New Roman" w:hAnsi="Times New Roman"/>
                <w:sz w:val="20"/>
                <w:szCs w:val="20"/>
              </w:rPr>
              <w:t>2016.gadā</w:t>
            </w:r>
            <w:proofErr w:type="gramEnd"/>
            <w:r>
              <w:rPr>
                <w:rFonts w:ascii="Times New Roman" w:hAnsi="Times New Roman"/>
                <w:sz w:val="20"/>
                <w:szCs w:val="20"/>
              </w:rPr>
              <w:t xml:space="preserve"> </w:t>
            </w:r>
            <w:r w:rsidRPr="00C95A43">
              <w:rPr>
                <w:rFonts w:ascii="Times New Roman" w:hAnsi="Times New Roman"/>
                <w:sz w:val="20"/>
                <w:szCs w:val="20"/>
              </w:rPr>
              <w:t>Valsts darba inspekcijas kompetenc</w:t>
            </w:r>
            <w:r>
              <w:rPr>
                <w:rFonts w:ascii="Times New Roman" w:hAnsi="Times New Roman"/>
                <w:sz w:val="20"/>
                <w:szCs w:val="20"/>
              </w:rPr>
              <w:t>es ietvaros</w:t>
            </w:r>
            <w:r w:rsidRPr="00C95A43">
              <w:rPr>
                <w:rFonts w:ascii="Times New Roman" w:hAnsi="Times New Roman"/>
                <w:sz w:val="20"/>
                <w:szCs w:val="20"/>
              </w:rPr>
              <w:t xml:space="preserve"> ir konstatēti 5 iespējamie cilvēku tirdzniecības gadījumi, par kuriem tika informētas kompetentās iestādes.</w:t>
            </w:r>
          </w:p>
          <w:p w:rsidR="00C362BE" w:rsidRDefault="00C362BE" w:rsidP="006F29B9">
            <w:pPr>
              <w:spacing w:after="0" w:line="240" w:lineRule="auto"/>
              <w:jc w:val="both"/>
              <w:rPr>
                <w:rFonts w:ascii="Times New Roman" w:hAnsi="Times New Roman"/>
                <w:sz w:val="20"/>
                <w:szCs w:val="20"/>
              </w:rPr>
            </w:pPr>
            <w:r>
              <w:rPr>
                <w:rFonts w:ascii="Times New Roman" w:hAnsi="Times New Roman"/>
                <w:sz w:val="20"/>
                <w:szCs w:val="20"/>
              </w:rPr>
              <w:t xml:space="preserve">Projekta HESTIA ietvaros </w:t>
            </w:r>
            <w:proofErr w:type="gramStart"/>
            <w:r>
              <w:rPr>
                <w:rFonts w:ascii="Times New Roman" w:hAnsi="Times New Roman"/>
                <w:sz w:val="20"/>
                <w:szCs w:val="20"/>
              </w:rPr>
              <w:t>2015.gadā</w:t>
            </w:r>
            <w:proofErr w:type="gramEnd"/>
            <w:r>
              <w:rPr>
                <w:rFonts w:ascii="Times New Roman" w:hAnsi="Times New Roman"/>
                <w:sz w:val="20"/>
                <w:szCs w:val="20"/>
              </w:rPr>
              <w:t xml:space="preserve"> nodrošināti </w:t>
            </w:r>
            <w:r w:rsidRPr="00C362BE">
              <w:rPr>
                <w:rFonts w:ascii="Times New Roman" w:hAnsi="Times New Roman"/>
                <w:b/>
                <w:sz w:val="20"/>
                <w:szCs w:val="20"/>
              </w:rPr>
              <w:t>4</w:t>
            </w:r>
            <w:r>
              <w:rPr>
                <w:rFonts w:ascii="Times New Roman" w:hAnsi="Times New Roman"/>
                <w:sz w:val="20"/>
                <w:szCs w:val="20"/>
              </w:rPr>
              <w:t xml:space="preserve"> semināri un 2016.gadā nodrošināti </w:t>
            </w:r>
            <w:r>
              <w:rPr>
                <w:rFonts w:ascii="Times New Roman" w:hAnsi="Times New Roman"/>
                <w:b/>
                <w:sz w:val="20"/>
                <w:szCs w:val="20"/>
              </w:rPr>
              <w:t>5</w:t>
            </w:r>
            <w:r>
              <w:rPr>
                <w:rFonts w:ascii="Times New Roman" w:hAnsi="Times New Roman"/>
                <w:sz w:val="20"/>
                <w:szCs w:val="20"/>
              </w:rPr>
              <w:t xml:space="preserve"> mācību pasākumi par cilvēku tirdzniecības jautājumiem un par cilvēku tirdzniecības saikni ar fiktīvajām laulībām.</w:t>
            </w:r>
          </w:p>
          <w:p w:rsidR="002F13EA" w:rsidRDefault="002F13EA" w:rsidP="006F29B9">
            <w:pPr>
              <w:spacing w:after="0" w:line="240" w:lineRule="auto"/>
              <w:jc w:val="both"/>
              <w:rPr>
                <w:rFonts w:ascii="Times New Roman" w:hAnsi="Times New Roman"/>
                <w:sz w:val="20"/>
                <w:szCs w:val="20"/>
              </w:rPr>
            </w:pPr>
            <w:proofErr w:type="gramStart"/>
            <w:r>
              <w:rPr>
                <w:rFonts w:ascii="Times New Roman" w:hAnsi="Times New Roman"/>
                <w:sz w:val="20"/>
                <w:szCs w:val="20"/>
              </w:rPr>
              <w:t>2016.gadā</w:t>
            </w:r>
            <w:proofErr w:type="gramEnd"/>
            <w:r>
              <w:rPr>
                <w:rFonts w:ascii="Times New Roman" w:hAnsi="Times New Roman"/>
                <w:sz w:val="20"/>
                <w:szCs w:val="20"/>
              </w:rPr>
              <w:t xml:space="preserve"> uzsākto kriminālprocesu par cilvēku tirdzniecību ietvaros par cietušajām personām tika atzītas 7 personas (2014.gadā – 7, 2015.gadā – 4).</w:t>
            </w:r>
          </w:p>
          <w:p w:rsidR="00C362BE" w:rsidRPr="00C362BE" w:rsidRDefault="00C362BE" w:rsidP="00661D66">
            <w:pPr>
              <w:spacing w:after="0" w:line="240" w:lineRule="auto"/>
              <w:jc w:val="both"/>
              <w:rPr>
                <w:rFonts w:ascii="Times New Roman" w:hAnsi="Times New Roman"/>
                <w:sz w:val="20"/>
                <w:szCs w:val="20"/>
              </w:rPr>
            </w:pPr>
            <w:r>
              <w:rPr>
                <w:rFonts w:ascii="Times New Roman" w:hAnsi="Times New Roman"/>
                <w:sz w:val="20"/>
                <w:szCs w:val="20"/>
              </w:rPr>
              <w:t xml:space="preserve">Projekta STROM II ietvaros </w:t>
            </w:r>
            <w:proofErr w:type="gramStart"/>
            <w:r>
              <w:rPr>
                <w:rFonts w:ascii="Times New Roman" w:hAnsi="Times New Roman"/>
                <w:sz w:val="20"/>
                <w:szCs w:val="20"/>
              </w:rPr>
              <w:t>2016.gadā</w:t>
            </w:r>
            <w:proofErr w:type="gramEnd"/>
            <w:r>
              <w:rPr>
                <w:rFonts w:ascii="Times New Roman" w:hAnsi="Times New Roman"/>
                <w:sz w:val="20"/>
                <w:szCs w:val="20"/>
              </w:rPr>
              <w:t xml:space="preserve"> nodrošināti </w:t>
            </w:r>
            <w:r w:rsidRPr="00C362BE">
              <w:rPr>
                <w:rFonts w:ascii="Times New Roman" w:hAnsi="Times New Roman"/>
                <w:b/>
                <w:sz w:val="20"/>
                <w:szCs w:val="20"/>
              </w:rPr>
              <w:t>4</w:t>
            </w:r>
            <w:r>
              <w:rPr>
                <w:rFonts w:ascii="Times New Roman" w:hAnsi="Times New Roman"/>
                <w:sz w:val="20"/>
                <w:szCs w:val="20"/>
              </w:rPr>
              <w:t xml:space="preserve"> izglītojošie semināri par cilvēku tirdzniecību un starpinstitūciju sadarbību cilvēku tirdzniecības upuru identificēšanā un palīdzības sniegšanā </w:t>
            </w:r>
            <w:r w:rsidR="00661D66">
              <w:rPr>
                <w:rFonts w:ascii="Times New Roman" w:hAnsi="Times New Roman"/>
                <w:sz w:val="20"/>
                <w:szCs w:val="20"/>
              </w:rPr>
              <w:t>Liepājas</w:t>
            </w:r>
            <w:r>
              <w:rPr>
                <w:rFonts w:ascii="Times New Roman" w:hAnsi="Times New Roman"/>
                <w:sz w:val="20"/>
                <w:szCs w:val="20"/>
              </w:rPr>
              <w:t xml:space="preserve"> pilsētas un Valmieras pilsētas pašvaldībās.</w:t>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105"/>
        </w:trPr>
        <w:tc>
          <w:tcPr>
            <w:tcW w:w="1216" w:type="pct"/>
            <w:vMerge w:val="restart"/>
            <w:tcBorders>
              <w:top w:val="single" w:sz="4" w:space="0" w:color="auto"/>
              <w:left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r w:rsidRPr="002F1F37">
              <w:rPr>
                <w:rFonts w:ascii="Times New Roman" w:hAnsi="Times New Roman"/>
                <w:b/>
                <w:bCs/>
                <w:i/>
                <w:sz w:val="24"/>
                <w:szCs w:val="24"/>
              </w:rPr>
              <w:lastRenderedPageBreak/>
              <w:t>Darbības rezultāts</w:t>
            </w:r>
            <w:r w:rsidRPr="002F1F37">
              <w:rPr>
                <w:rFonts w:ascii="Times New Roman" w:hAnsi="Times New Roman"/>
                <w:i/>
                <w:sz w:val="24"/>
                <w:szCs w:val="24"/>
              </w:rPr>
              <w:t xml:space="preserve"> </w:t>
            </w:r>
            <w:r w:rsidRPr="002F1F37">
              <w:rPr>
                <w:rFonts w:ascii="Times New Roman" w:hAnsi="Times New Roman"/>
                <w:b/>
                <w:i/>
                <w:sz w:val="24"/>
                <w:szCs w:val="24"/>
              </w:rPr>
              <w:t>B1.:</w:t>
            </w:r>
            <w:r w:rsidRPr="002F1F37">
              <w:rPr>
                <w:rFonts w:ascii="Times New Roman" w:hAnsi="Times New Roman"/>
                <w:sz w:val="24"/>
                <w:szCs w:val="24"/>
              </w:rPr>
              <w:t xml:space="preserve"> </w:t>
            </w:r>
            <w:r w:rsidRPr="002F1F37">
              <w:rPr>
                <w:rFonts w:ascii="Times New Roman" w:hAnsi="Times New Roman"/>
                <w:bCs/>
                <w:sz w:val="24"/>
                <w:szCs w:val="24"/>
              </w:rPr>
              <w:t>nodrošināti tiesībaizsardzības iestāžu amatpersonu un tiesnešu profesionālās pilnveides kursi un semināri par cilvēku tirdzniecību</w:t>
            </w:r>
          </w:p>
        </w:tc>
        <w:tc>
          <w:tcPr>
            <w:tcW w:w="1842" w:type="pct"/>
            <w:gridSpan w:val="2"/>
            <w:tcBorders>
              <w:top w:val="single" w:sz="4" w:space="0" w:color="auto"/>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i/>
                <w:sz w:val="24"/>
                <w:szCs w:val="24"/>
              </w:rPr>
            </w:pPr>
            <w:r w:rsidRPr="002F1F37">
              <w:rPr>
                <w:rFonts w:ascii="Times New Roman" w:hAnsi="Times New Roman"/>
                <w:b/>
                <w:i/>
                <w:sz w:val="24"/>
                <w:szCs w:val="24"/>
              </w:rPr>
              <w:t>Rezultatīvais rādītājs:</w:t>
            </w:r>
            <w:r w:rsidRPr="002F1F37">
              <w:rPr>
                <w:rFonts w:ascii="Times New Roman" w:hAnsi="Times New Roman"/>
                <w:b/>
                <w:sz w:val="24"/>
                <w:szCs w:val="24"/>
              </w:rPr>
              <w:t xml:space="preserve"> </w:t>
            </w:r>
            <w:r w:rsidRPr="002F1F37">
              <w:rPr>
                <w:rFonts w:ascii="Times New Roman" w:hAnsi="Times New Roman"/>
                <w:sz w:val="24"/>
                <w:szCs w:val="24"/>
              </w:rPr>
              <w:t>profesionālās</w:t>
            </w:r>
            <w:r w:rsidRPr="002F1F37">
              <w:rPr>
                <w:rFonts w:ascii="Times New Roman" w:hAnsi="Times New Roman"/>
                <w:b/>
                <w:sz w:val="24"/>
                <w:szCs w:val="24"/>
              </w:rPr>
              <w:t xml:space="preserve"> </w:t>
            </w:r>
            <w:r w:rsidRPr="002F1F37">
              <w:rPr>
                <w:rFonts w:ascii="Times New Roman" w:hAnsi="Times New Roman"/>
                <w:sz w:val="24"/>
                <w:szCs w:val="24"/>
              </w:rPr>
              <w:t xml:space="preserve">pilnveides kursu un semināru apguvušo </w:t>
            </w:r>
            <w:r w:rsidRPr="008B25B5">
              <w:rPr>
                <w:rFonts w:ascii="Times New Roman" w:hAnsi="Times New Roman"/>
                <w:sz w:val="24"/>
                <w:szCs w:val="24"/>
              </w:rPr>
              <w:t>tiesībaizsardzības iestāžu amatpersonu un tiesnešu</w:t>
            </w:r>
            <w:r w:rsidRPr="002F1F37">
              <w:rPr>
                <w:rFonts w:ascii="Times New Roman" w:hAnsi="Times New Roman"/>
                <w:sz w:val="24"/>
                <w:szCs w:val="24"/>
              </w:rPr>
              <w:t xml:space="preserve"> skaits</w:t>
            </w:r>
          </w:p>
        </w:tc>
        <w:tc>
          <w:tcPr>
            <w:tcW w:w="389" w:type="pct"/>
            <w:tcBorders>
              <w:top w:val="single" w:sz="4" w:space="0" w:color="auto"/>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193</w:t>
            </w:r>
          </w:p>
        </w:tc>
        <w:tc>
          <w:tcPr>
            <w:tcW w:w="535" w:type="pct"/>
            <w:tcBorders>
              <w:top w:val="single" w:sz="4" w:space="0" w:color="auto"/>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200</w:t>
            </w:r>
          </w:p>
        </w:tc>
        <w:tc>
          <w:tcPr>
            <w:tcW w:w="533" w:type="pct"/>
            <w:tcBorders>
              <w:top w:val="single" w:sz="4" w:space="0" w:color="auto"/>
              <w:left w:val="single" w:sz="6" w:space="0" w:color="000000"/>
              <w:bottom w:val="single" w:sz="6" w:space="0" w:color="000000"/>
            </w:tcBorders>
            <w:shd w:val="clear" w:color="auto" w:fill="FFF2CC" w:themeFill="accent4" w:themeFillTint="33"/>
          </w:tcPr>
          <w:p w:rsidR="00FF73D9" w:rsidRPr="001335D7" w:rsidRDefault="00A41C9D" w:rsidP="00423F2F">
            <w:pPr>
              <w:spacing w:after="0" w:line="240" w:lineRule="auto"/>
              <w:jc w:val="center"/>
              <w:rPr>
                <w:rFonts w:ascii="Times New Roman" w:hAnsi="Times New Roman"/>
                <w:b/>
                <w:sz w:val="24"/>
                <w:szCs w:val="24"/>
              </w:rPr>
            </w:pPr>
            <w:r>
              <w:rPr>
                <w:rFonts w:ascii="Times New Roman" w:hAnsi="Times New Roman"/>
                <w:b/>
                <w:sz w:val="24"/>
                <w:szCs w:val="24"/>
              </w:rPr>
              <w:t>103</w:t>
            </w:r>
          </w:p>
        </w:tc>
        <w:tc>
          <w:tcPr>
            <w:tcW w:w="485" w:type="pct"/>
            <w:tcBorders>
              <w:top w:val="single" w:sz="4" w:space="0" w:color="auto"/>
              <w:left w:val="single" w:sz="6" w:space="0" w:color="000000"/>
              <w:bottom w:val="single" w:sz="6" w:space="0" w:color="000000"/>
            </w:tcBorders>
            <w:shd w:val="clear" w:color="auto" w:fill="FFF2CC" w:themeFill="accent4" w:themeFillTint="33"/>
          </w:tcPr>
          <w:p w:rsidR="007F7C39" w:rsidRPr="00CE49EA" w:rsidRDefault="007F7C39" w:rsidP="007F7C39">
            <w:pPr>
              <w:jc w:val="center"/>
              <w:rPr>
                <w:rFonts w:ascii="Times New Roman" w:hAnsi="Times New Roman"/>
                <w:b/>
                <w:color w:val="FF0000"/>
              </w:rPr>
            </w:pPr>
            <w:r w:rsidRPr="00CE49EA">
              <w:rPr>
                <w:rFonts w:ascii="Times New Roman" w:hAnsi="Times New Roman"/>
                <w:b/>
                <w:color w:val="FF0000"/>
              </w:rPr>
              <w:sym w:font="Symbol" w:char="F0AF"/>
            </w:r>
          </w:p>
          <w:p w:rsidR="00FF73D9" w:rsidRPr="001335D7" w:rsidRDefault="00FF73D9" w:rsidP="00423F2F">
            <w:pPr>
              <w:spacing w:after="0" w:line="240" w:lineRule="auto"/>
              <w:jc w:val="center"/>
              <w:rPr>
                <w:rFonts w:ascii="Times New Roman" w:hAnsi="Times New Roman"/>
                <w:b/>
                <w:sz w:val="24"/>
                <w:szCs w:val="24"/>
              </w:rPr>
            </w:pP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105"/>
        </w:trPr>
        <w:tc>
          <w:tcPr>
            <w:tcW w:w="1216" w:type="pct"/>
            <w:vMerge/>
            <w:tcBorders>
              <w:left w:val="single" w:sz="6" w:space="0" w:color="auto"/>
              <w:bottom w:val="single" w:sz="6" w:space="0" w:color="auto"/>
              <w:right w:val="single" w:sz="6" w:space="0" w:color="auto"/>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p>
        </w:tc>
        <w:tc>
          <w:tcPr>
            <w:tcW w:w="1842" w:type="pct"/>
            <w:gridSpan w:val="2"/>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i/>
                <w:sz w:val="24"/>
                <w:szCs w:val="24"/>
              </w:rPr>
            </w:pPr>
            <w:r w:rsidRPr="002F1F37">
              <w:rPr>
                <w:rFonts w:ascii="Times New Roman" w:hAnsi="Times New Roman"/>
                <w:b/>
                <w:i/>
                <w:sz w:val="24"/>
                <w:szCs w:val="24"/>
              </w:rPr>
              <w:t>Rezultatīvais rādītājs:</w:t>
            </w:r>
            <w:r w:rsidRPr="002F1F37">
              <w:rPr>
                <w:rFonts w:ascii="Times New Roman" w:hAnsi="Times New Roman"/>
                <w:sz w:val="24"/>
                <w:szCs w:val="24"/>
              </w:rPr>
              <w:t xml:space="preserve"> kursu un semināru skaits</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15</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15</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1335D7" w:rsidRDefault="004041BB" w:rsidP="00423F2F">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FF73D9" w:rsidRPr="00AC4358" w:rsidRDefault="00AC4358" w:rsidP="00AC4358">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tc>
      </w:tr>
      <w:tr w:rsidR="002160E9" w:rsidRPr="002F1F37" w:rsidTr="00466F0A">
        <w:tblPrEx>
          <w:tblBorders>
            <w:top w:val="single" w:sz="6" w:space="0" w:color="000000"/>
            <w:left w:val="single" w:sz="6" w:space="0" w:color="000000"/>
            <w:bottom w:val="single" w:sz="6" w:space="0" w:color="000000"/>
            <w:right w:val="single" w:sz="6" w:space="0" w:color="000000"/>
          </w:tblBorders>
        </w:tblPrEx>
        <w:trPr>
          <w:trHeight w:val="105"/>
        </w:trPr>
        <w:tc>
          <w:tcPr>
            <w:tcW w:w="5000" w:type="pct"/>
            <w:gridSpan w:val="7"/>
            <w:tcBorders>
              <w:left w:val="single" w:sz="6" w:space="0" w:color="auto"/>
              <w:bottom w:val="single" w:sz="6" w:space="0" w:color="auto"/>
            </w:tcBorders>
            <w:shd w:val="clear" w:color="auto" w:fill="auto"/>
          </w:tcPr>
          <w:p w:rsidR="00F201F9" w:rsidRDefault="002160E9" w:rsidP="006947E9">
            <w:pPr>
              <w:spacing w:after="0" w:line="240" w:lineRule="auto"/>
              <w:jc w:val="both"/>
              <w:rPr>
                <w:rFonts w:ascii="Times New Roman" w:hAnsi="Times New Roman"/>
                <w:sz w:val="20"/>
                <w:szCs w:val="20"/>
              </w:rPr>
            </w:pPr>
            <w:r w:rsidRPr="0053133A">
              <w:rPr>
                <w:rFonts w:ascii="Times New Roman" w:hAnsi="Times New Roman"/>
                <w:sz w:val="20"/>
                <w:szCs w:val="20"/>
              </w:rPr>
              <w:t xml:space="preserve">LTMC laika periodā no </w:t>
            </w:r>
            <w:proofErr w:type="gramStart"/>
            <w:r w:rsidRPr="0053133A">
              <w:rPr>
                <w:rFonts w:ascii="Times New Roman" w:hAnsi="Times New Roman"/>
                <w:sz w:val="20"/>
                <w:szCs w:val="20"/>
              </w:rPr>
              <w:t>2014.gada</w:t>
            </w:r>
            <w:proofErr w:type="gramEnd"/>
            <w:r w:rsidRPr="0053133A">
              <w:rPr>
                <w:rFonts w:ascii="Times New Roman" w:hAnsi="Times New Roman"/>
                <w:sz w:val="20"/>
                <w:szCs w:val="20"/>
              </w:rPr>
              <w:t xml:space="preserve"> līdz 2016.gadam īstenojis 9 mācību pasākumus un piedāvājis apmeklēt 4 starptautisku mācību pasākumus, </w:t>
            </w:r>
            <w:r w:rsidRPr="006476D7">
              <w:rPr>
                <w:rFonts w:ascii="Times New Roman" w:hAnsi="Times New Roman"/>
                <w:sz w:val="20"/>
                <w:szCs w:val="20"/>
              </w:rPr>
              <w:t>kopā 13 mācību pasākumi</w:t>
            </w:r>
            <w:r w:rsidRPr="0053133A">
              <w:rPr>
                <w:rFonts w:ascii="Times New Roman" w:hAnsi="Times New Roman"/>
                <w:sz w:val="20"/>
                <w:szCs w:val="20"/>
              </w:rPr>
              <w:t xml:space="preserve">. Mācībās piedalījušies </w:t>
            </w:r>
            <w:r w:rsidRPr="006476D7">
              <w:rPr>
                <w:rFonts w:ascii="Times New Roman" w:hAnsi="Times New Roman"/>
                <w:sz w:val="20"/>
                <w:szCs w:val="20"/>
              </w:rPr>
              <w:t>369 dalībnieki</w:t>
            </w:r>
            <w:r w:rsidRPr="0053133A">
              <w:rPr>
                <w:rFonts w:ascii="Times New Roman" w:hAnsi="Times New Roman"/>
                <w:sz w:val="20"/>
                <w:szCs w:val="20"/>
              </w:rPr>
              <w:t>, tostarp tiesībaizsardzības iestāžu amatpersonas un tiesneši. Mācības kopā apmeklējis 31 tiesnesis, 18 tiesneša amata kandidāti. Skaitliskie rezultāti par 2014.-</w:t>
            </w:r>
            <w:proofErr w:type="gramStart"/>
            <w:r w:rsidRPr="0053133A">
              <w:rPr>
                <w:rFonts w:ascii="Times New Roman" w:hAnsi="Times New Roman"/>
                <w:sz w:val="20"/>
                <w:szCs w:val="20"/>
              </w:rPr>
              <w:t>2016.gadu</w:t>
            </w:r>
            <w:proofErr w:type="gramEnd"/>
            <w:r w:rsidRPr="0053133A">
              <w:rPr>
                <w:rFonts w:ascii="Times New Roman" w:hAnsi="Times New Roman"/>
                <w:sz w:val="20"/>
                <w:szCs w:val="20"/>
              </w:rPr>
              <w:t xml:space="preserve"> vērtējami pozitīvi. Dalībnieku un pasākumu skaits sasniegts pateicoties apjomīgajam FINEC projektam, kura ietvaros notika mācības starpdisciplinārai juridisko profesiju pārstāvju auditorijai. Valsts finansētajā gada mācību programmā tiek rīkotas vidēji 8 mācību dienas par krimināltiesību tēmām. LTMC lekcijas par cilvēku tirdzniecību iekļauj valsts mācību programmā kopā ar citām semināru tēmām vai organizē mācīb</w:t>
            </w:r>
            <w:r w:rsidR="00F201F9">
              <w:rPr>
                <w:rFonts w:ascii="Times New Roman" w:hAnsi="Times New Roman"/>
                <w:sz w:val="20"/>
                <w:szCs w:val="20"/>
              </w:rPr>
              <w:t>as atsevišķu projektu ietvaros.</w:t>
            </w:r>
          </w:p>
          <w:p w:rsidR="002160E9" w:rsidRDefault="002160E9" w:rsidP="006947E9">
            <w:pPr>
              <w:spacing w:after="0" w:line="240" w:lineRule="auto"/>
              <w:jc w:val="both"/>
              <w:rPr>
                <w:rFonts w:ascii="Times New Roman" w:hAnsi="Times New Roman"/>
                <w:sz w:val="20"/>
                <w:szCs w:val="20"/>
              </w:rPr>
            </w:pPr>
            <w:r w:rsidRPr="0053133A">
              <w:rPr>
                <w:rFonts w:ascii="Times New Roman" w:hAnsi="Times New Roman"/>
                <w:sz w:val="20"/>
                <w:szCs w:val="20"/>
              </w:rPr>
              <w:t>Tiesnešu skaita īpatsvars mācībās par cilvēku tirdzniecības jautājumiem visos mācību pasākumos ir mazāks par prokuroriem, izmeklētājiem vai</w:t>
            </w:r>
            <w:r>
              <w:rPr>
                <w:rFonts w:ascii="Times New Roman" w:hAnsi="Times New Roman"/>
                <w:sz w:val="20"/>
                <w:szCs w:val="20"/>
              </w:rPr>
              <w:t xml:space="preserve"> advokātiem. Tas skaidrojams </w:t>
            </w:r>
            <w:r w:rsidRPr="0053133A">
              <w:rPr>
                <w:rFonts w:ascii="Times New Roman" w:hAnsi="Times New Roman"/>
                <w:sz w:val="20"/>
                <w:szCs w:val="20"/>
              </w:rPr>
              <w:t>ar nelielo krimināllietu skaitu par cilvēku tirdzniecības noziegumiem, kas katru gadu tiek saņemtas tiesā. Jāatzī</w:t>
            </w:r>
            <w:r>
              <w:rPr>
                <w:rFonts w:ascii="Times New Roman" w:hAnsi="Times New Roman"/>
                <w:sz w:val="20"/>
                <w:szCs w:val="20"/>
              </w:rPr>
              <w:t>mē, ka tiesneši iesaka un izvēla</w:t>
            </w:r>
            <w:r w:rsidRPr="0053133A">
              <w:rPr>
                <w:rFonts w:ascii="Times New Roman" w:hAnsi="Times New Roman"/>
                <w:sz w:val="20"/>
                <w:szCs w:val="20"/>
              </w:rPr>
              <w:t>s mācību tēmas par jautājumiem, kas biežāk sastopami ikdienas darbā. Tāpat svarīgi atzīmēt, ka visas LTMC organizētās mācības ir brīvprātīgas un katrs tiesnesis pats var izvēlēties, kurus no semināriem apmeklēt atbilstoši savai līdzšinējai pieredzei, zināšanām un vajadzībām. Norīkošana uz mācībām tiesnešiem ir atšķirīga no citām tiesībaizsardzības iestādēm.</w:t>
            </w:r>
          </w:p>
          <w:p w:rsidR="006476D7" w:rsidRPr="00463EB6" w:rsidRDefault="006476D7" w:rsidP="006947E9">
            <w:pPr>
              <w:spacing w:after="0" w:line="240" w:lineRule="auto"/>
              <w:jc w:val="both"/>
              <w:rPr>
                <w:rFonts w:ascii="Times New Roman" w:hAnsi="Times New Roman"/>
                <w:sz w:val="20"/>
                <w:szCs w:val="20"/>
              </w:rPr>
            </w:pPr>
            <w:proofErr w:type="gramStart"/>
            <w:r>
              <w:rPr>
                <w:rFonts w:ascii="Times New Roman" w:hAnsi="Times New Roman"/>
                <w:sz w:val="20"/>
                <w:szCs w:val="20"/>
              </w:rPr>
              <w:t>2016.gadā</w:t>
            </w:r>
            <w:proofErr w:type="gramEnd"/>
            <w:r>
              <w:rPr>
                <w:rFonts w:ascii="Times New Roman" w:hAnsi="Times New Roman"/>
                <w:sz w:val="20"/>
                <w:szCs w:val="20"/>
              </w:rPr>
              <w:t xml:space="preserve"> </w:t>
            </w:r>
            <w:r w:rsidR="006777B5">
              <w:rPr>
                <w:rFonts w:ascii="Times New Roman" w:hAnsi="Times New Roman"/>
                <w:sz w:val="20"/>
                <w:szCs w:val="20"/>
              </w:rPr>
              <w:t xml:space="preserve">starptautiskos </w:t>
            </w:r>
            <w:r>
              <w:rPr>
                <w:rFonts w:ascii="Times New Roman" w:hAnsi="Times New Roman"/>
                <w:sz w:val="20"/>
                <w:szCs w:val="20"/>
              </w:rPr>
              <w:t>semināros par cilvēku tirdzniecības tēmu piedalījušies 3 tiesneši.</w:t>
            </w:r>
            <w:r w:rsidR="00463EB6">
              <w:rPr>
                <w:rFonts w:ascii="Times New Roman" w:hAnsi="Times New Roman"/>
                <w:sz w:val="20"/>
                <w:szCs w:val="20"/>
              </w:rPr>
              <w:t xml:space="preserve"> </w:t>
            </w:r>
            <w:r w:rsidRPr="00463EB6">
              <w:rPr>
                <w:rFonts w:ascii="Times New Roman" w:hAnsi="Times New Roman"/>
                <w:sz w:val="20"/>
                <w:szCs w:val="20"/>
              </w:rPr>
              <w:t xml:space="preserve">Ņemot vērā FINEC projekta ietvaros organizētās mācības 2015.gadā, tiesnešu un tiesu darbinieku valsts finansētajā mācību programmā tēmas par cilvēku tirdzniecību un ar to saistītiem jautājumiem </w:t>
            </w:r>
            <w:r w:rsidR="004041BB" w:rsidRPr="00463EB6">
              <w:rPr>
                <w:rFonts w:ascii="Times New Roman" w:hAnsi="Times New Roman"/>
                <w:sz w:val="20"/>
                <w:szCs w:val="20"/>
              </w:rPr>
              <w:t xml:space="preserve">2016.gadā </w:t>
            </w:r>
            <w:r w:rsidRPr="00463EB6">
              <w:rPr>
                <w:rFonts w:ascii="Times New Roman" w:hAnsi="Times New Roman"/>
                <w:sz w:val="20"/>
                <w:szCs w:val="20"/>
              </w:rPr>
              <w:t>netika iekļautas.</w:t>
            </w:r>
          </w:p>
          <w:p w:rsidR="00954157" w:rsidRDefault="00954157" w:rsidP="00954157">
            <w:pPr>
              <w:spacing w:after="0" w:line="240" w:lineRule="auto"/>
              <w:jc w:val="both"/>
              <w:rPr>
                <w:rFonts w:ascii="Times New Roman" w:hAnsi="Times New Roman"/>
                <w:sz w:val="20"/>
                <w:szCs w:val="20"/>
              </w:rPr>
            </w:pPr>
            <w:r w:rsidRPr="00954157">
              <w:rPr>
                <w:rFonts w:ascii="Times New Roman" w:hAnsi="Times New Roman"/>
                <w:sz w:val="20"/>
                <w:szCs w:val="20"/>
              </w:rPr>
              <w:t xml:space="preserve">Latvijas un starptautiska līmeņa konferencēs, semināros un apmācību kursos par cilvēku tirdzniecības problemātiku </w:t>
            </w:r>
            <w:proofErr w:type="gramStart"/>
            <w:r w:rsidRPr="00954157">
              <w:rPr>
                <w:rFonts w:ascii="Times New Roman" w:hAnsi="Times New Roman"/>
                <w:sz w:val="20"/>
                <w:szCs w:val="20"/>
              </w:rPr>
              <w:t>2014.gadā</w:t>
            </w:r>
            <w:proofErr w:type="gramEnd"/>
            <w:r>
              <w:rPr>
                <w:rFonts w:ascii="Times New Roman" w:hAnsi="Times New Roman"/>
                <w:sz w:val="20"/>
                <w:szCs w:val="20"/>
              </w:rPr>
              <w:t xml:space="preserve"> piedalījās 27 prokurori, 2015.gadā – 137 prokurori, 2016.</w:t>
            </w:r>
            <w:r w:rsidRPr="00954157">
              <w:rPr>
                <w:rFonts w:ascii="Times New Roman" w:hAnsi="Times New Roman"/>
                <w:sz w:val="20"/>
                <w:szCs w:val="20"/>
              </w:rPr>
              <w:t>gadā – 22 prokurori.</w:t>
            </w:r>
            <w:r w:rsidR="00474947">
              <w:rPr>
                <w:rFonts w:ascii="Times New Roman" w:hAnsi="Times New Roman"/>
                <w:sz w:val="20"/>
                <w:szCs w:val="20"/>
              </w:rPr>
              <w:t xml:space="preserve"> Prokurori </w:t>
            </w:r>
            <w:proofErr w:type="gramStart"/>
            <w:r w:rsidR="00474947">
              <w:rPr>
                <w:rFonts w:ascii="Times New Roman" w:hAnsi="Times New Roman"/>
                <w:sz w:val="20"/>
                <w:szCs w:val="20"/>
              </w:rPr>
              <w:t>2014.</w:t>
            </w:r>
            <w:r w:rsidR="00474947" w:rsidRPr="00474947">
              <w:rPr>
                <w:rFonts w:ascii="Times New Roman" w:hAnsi="Times New Roman"/>
                <w:sz w:val="20"/>
                <w:szCs w:val="20"/>
              </w:rPr>
              <w:t>gadā</w:t>
            </w:r>
            <w:proofErr w:type="gramEnd"/>
            <w:r w:rsidR="00474947" w:rsidRPr="00474947">
              <w:rPr>
                <w:rFonts w:ascii="Times New Roman" w:hAnsi="Times New Roman"/>
                <w:sz w:val="20"/>
                <w:szCs w:val="20"/>
              </w:rPr>
              <w:t xml:space="preserve"> apme</w:t>
            </w:r>
            <w:r w:rsidR="00474947">
              <w:rPr>
                <w:rFonts w:ascii="Times New Roman" w:hAnsi="Times New Roman"/>
                <w:sz w:val="20"/>
                <w:szCs w:val="20"/>
              </w:rPr>
              <w:t>klējuši 8, 2015.gadā 4, 2016.</w:t>
            </w:r>
            <w:r w:rsidR="00474947" w:rsidRPr="00474947">
              <w:rPr>
                <w:rFonts w:ascii="Times New Roman" w:hAnsi="Times New Roman"/>
                <w:sz w:val="20"/>
                <w:szCs w:val="20"/>
              </w:rPr>
              <w:t>gadā - 6 Latvijas un starptautiska līmeņa konferences, seminārus un apmācību kursus par cilvēku tirdzniecības problemātiku.</w:t>
            </w:r>
          </w:p>
          <w:p w:rsidR="00305F2E" w:rsidRDefault="004041BB" w:rsidP="00954157">
            <w:pPr>
              <w:spacing w:after="0" w:line="240" w:lineRule="auto"/>
              <w:jc w:val="both"/>
              <w:rPr>
                <w:rFonts w:ascii="Times New Roman" w:hAnsi="Times New Roman"/>
                <w:sz w:val="20"/>
                <w:szCs w:val="20"/>
              </w:rPr>
            </w:pPr>
            <w:r w:rsidRPr="004041BB">
              <w:rPr>
                <w:rFonts w:ascii="Times New Roman" w:hAnsi="Times New Roman"/>
                <w:sz w:val="20"/>
                <w:szCs w:val="20"/>
              </w:rPr>
              <w:t xml:space="preserve">Laika posmā no </w:t>
            </w:r>
            <w:proofErr w:type="gramStart"/>
            <w:r w:rsidRPr="004041BB">
              <w:rPr>
                <w:rFonts w:ascii="Times New Roman" w:hAnsi="Times New Roman"/>
                <w:sz w:val="20"/>
                <w:szCs w:val="20"/>
              </w:rPr>
              <w:t>2014.gada</w:t>
            </w:r>
            <w:proofErr w:type="gramEnd"/>
            <w:r w:rsidRPr="004041BB">
              <w:rPr>
                <w:rFonts w:ascii="Times New Roman" w:hAnsi="Times New Roman"/>
                <w:sz w:val="20"/>
                <w:szCs w:val="20"/>
              </w:rPr>
              <w:t xml:space="preserve"> līdz 2016.gadam mācību programmu “Cilvēktirdzniecības/sutenerisma gadījumu novēršana, apkarošana un izmeklēšana” Valsts policijas koledžā apmeklējušas 11 Valsts policijas amatpersonas (2014.gadā – 11; 2015.gadā – 0; 2016.gadā – 0).</w:t>
            </w:r>
          </w:p>
          <w:p w:rsidR="00305F2E" w:rsidRPr="0053133A" w:rsidRDefault="00305F2E" w:rsidP="00A132A3">
            <w:pPr>
              <w:spacing w:after="0" w:line="240" w:lineRule="auto"/>
              <w:jc w:val="both"/>
              <w:rPr>
                <w:rFonts w:ascii="Times New Roman" w:hAnsi="Times New Roman"/>
                <w:sz w:val="20"/>
                <w:szCs w:val="20"/>
              </w:rPr>
            </w:pPr>
            <w:r w:rsidRPr="00305F2E">
              <w:rPr>
                <w:rFonts w:ascii="Times New Roman" w:hAnsi="Times New Roman"/>
                <w:sz w:val="20"/>
                <w:szCs w:val="20"/>
              </w:rPr>
              <w:t xml:space="preserve">Kopš </w:t>
            </w:r>
            <w:proofErr w:type="gramStart"/>
            <w:r w:rsidRPr="00305F2E">
              <w:rPr>
                <w:rFonts w:ascii="Times New Roman" w:hAnsi="Times New Roman"/>
                <w:sz w:val="20"/>
                <w:szCs w:val="20"/>
              </w:rPr>
              <w:t>2013.gada</w:t>
            </w:r>
            <w:proofErr w:type="gramEnd"/>
            <w:r w:rsidRPr="00305F2E">
              <w:rPr>
                <w:rFonts w:ascii="Times New Roman" w:hAnsi="Times New Roman"/>
                <w:sz w:val="20"/>
                <w:szCs w:val="20"/>
              </w:rPr>
              <w:t>, kad ar Valsts robežsardzes 2013.gada 12.marta pavēli Nr.307 Valsts robežsardzes koledžā tika ieviesta kvalifikācijas paaugstināšanas programma “Cilvēku tirdzniecības novēršana un apkarošana. Instruktoru apmācības programma”, apliecības par sekmīgu šīs programmas apguvi saņēmu</w:t>
            </w:r>
            <w:r w:rsidR="0087336B">
              <w:rPr>
                <w:rFonts w:ascii="Times New Roman" w:hAnsi="Times New Roman"/>
                <w:sz w:val="20"/>
                <w:szCs w:val="20"/>
              </w:rPr>
              <w:t>šas</w:t>
            </w:r>
            <w:r w:rsidR="00A132A3">
              <w:rPr>
                <w:rFonts w:ascii="Times New Roman" w:hAnsi="Times New Roman"/>
                <w:sz w:val="20"/>
                <w:szCs w:val="20"/>
              </w:rPr>
              <w:t xml:space="preserve"> 66</w:t>
            </w:r>
            <w:r w:rsidRPr="00305F2E">
              <w:rPr>
                <w:rFonts w:ascii="Times New Roman" w:hAnsi="Times New Roman"/>
                <w:sz w:val="20"/>
                <w:szCs w:val="20"/>
              </w:rPr>
              <w:t xml:space="preserve"> amatpersona</w:t>
            </w:r>
            <w:r w:rsidR="0087336B">
              <w:rPr>
                <w:rFonts w:ascii="Times New Roman" w:hAnsi="Times New Roman"/>
                <w:sz w:val="20"/>
                <w:szCs w:val="20"/>
              </w:rPr>
              <w:t>s</w:t>
            </w:r>
            <w:r w:rsidR="00DF21F0">
              <w:rPr>
                <w:rFonts w:ascii="Times New Roman" w:hAnsi="Times New Roman"/>
                <w:sz w:val="20"/>
                <w:szCs w:val="20"/>
              </w:rPr>
              <w:t xml:space="preserve">, no tām 53 amatpersonas pārskata periodā: </w:t>
            </w:r>
            <w:proofErr w:type="gramStart"/>
            <w:r w:rsidR="00DF21F0">
              <w:rPr>
                <w:rFonts w:ascii="Times New Roman" w:hAnsi="Times New Roman"/>
                <w:sz w:val="20"/>
                <w:szCs w:val="20"/>
              </w:rPr>
              <w:t>2014.gadā</w:t>
            </w:r>
            <w:proofErr w:type="gramEnd"/>
            <w:r w:rsidR="00DF21F0">
              <w:rPr>
                <w:rFonts w:ascii="Times New Roman" w:hAnsi="Times New Roman"/>
                <w:sz w:val="20"/>
                <w:szCs w:val="20"/>
              </w:rPr>
              <w:t xml:space="preserve"> – 20, 2015.gadā – 13, 2016.gadā - 20</w:t>
            </w:r>
            <w:r w:rsidRPr="00305F2E">
              <w:rPr>
                <w:rFonts w:ascii="Times New Roman" w:hAnsi="Times New Roman"/>
                <w:sz w:val="20"/>
                <w:szCs w:val="20"/>
              </w:rPr>
              <w:t>.</w:t>
            </w:r>
            <w:r w:rsidR="00A132A3">
              <w:rPr>
                <w:rFonts w:ascii="Times New Roman" w:hAnsi="Times New Roman"/>
                <w:sz w:val="20"/>
                <w:szCs w:val="20"/>
              </w:rPr>
              <w:t xml:space="preserve"> </w:t>
            </w:r>
            <w:r w:rsidRPr="00305F2E">
              <w:rPr>
                <w:rFonts w:ascii="Times New Roman" w:hAnsi="Times New Roman"/>
                <w:sz w:val="20"/>
                <w:szCs w:val="20"/>
              </w:rPr>
              <w:t xml:space="preserve">Ņemot vērā to, ka programma ir paredzēta Valsts robežsardzes amatpersonām, kuras </w:t>
            </w:r>
            <w:r w:rsidR="00A132A3">
              <w:rPr>
                <w:rFonts w:ascii="Times New Roman" w:hAnsi="Times New Roman"/>
                <w:sz w:val="20"/>
                <w:szCs w:val="20"/>
              </w:rPr>
              <w:t>veic</w:t>
            </w:r>
            <w:r w:rsidRPr="00305F2E">
              <w:rPr>
                <w:rFonts w:ascii="Times New Roman" w:hAnsi="Times New Roman"/>
                <w:sz w:val="20"/>
                <w:szCs w:val="20"/>
              </w:rPr>
              <w:t xml:space="preserve"> apmācības cilvēku tirdzniecības novēršanas un apkarošanas jomā robežsargiem, kuri robežšķērsošanas vietās veic tiešās </w:t>
            </w:r>
            <w:proofErr w:type="spellStart"/>
            <w:r w:rsidRPr="00305F2E">
              <w:rPr>
                <w:rFonts w:ascii="Times New Roman" w:hAnsi="Times New Roman"/>
                <w:sz w:val="20"/>
                <w:szCs w:val="20"/>
              </w:rPr>
              <w:t>robežpārbaudes</w:t>
            </w:r>
            <w:proofErr w:type="spellEnd"/>
            <w:r w:rsidRPr="00305F2E">
              <w:rPr>
                <w:rFonts w:ascii="Times New Roman" w:hAnsi="Times New Roman"/>
                <w:sz w:val="20"/>
                <w:szCs w:val="20"/>
              </w:rPr>
              <w:t xml:space="preserve"> un personu intervēšanu 2.līnijā, kopumā ir apmācītas 690 Valsts robežsardzes teritoriālo pārvalžu struktūrvienību amatpersonas.</w:t>
            </w:r>
            <w:r w:rsidR="00DF21F0">
              <w:rPr>
                <w:rFonts w:ascii="Times New Roman" w:hAnsi="Times New Roman"/>
                <w:sz w:val="20"/>
                <w:szCs w:val="20"/>
              </w:rPr>
              <w:t xml:space="preserve"> Attiecīgi </w:t>
            </w:r>
            <w:r w:rsidR="00133F0E">
              <w:rPr>
                <w:rFonts w:ascii="Times New Roman" w:hAnsi="Times New Roman"/>
                <w:sz w:val="20"/>
                <w:szCs w:val="20"/>
              </w:rPr>
              <w:t>ir</w:t>
            </w:r>
            <w:r w:rsidR="00DF21F0">
              <w:rPr>
                <w:rFonts w:ascii="Times New Roman" w:hAnsi="Times New Roman"/>
                <w:sz w:val="20"/>
                <w:szCs w:val="20"/>
              </w:rPr>
              <w:t xml:space="preserve"> nodrošinātas apmācības amatpersonām, kuras</w:t>
            </w:r>
            <w:r w:rsidR="00133F0E">
              <w:rPr>
                <w:rFonts w:ascii="Times New Roman" w:hAnsi="Times New Roman"/>
                <w:sz w:val="20"/>
                <w:szCs w:val="20"/>
              </w:rPr>
              <w:t xml:space="preserve"> strādā robežšķērsošanas vietās: 2014.gadā </w:t>
            </w:r>
            <w:r w:rsidR="00DF21F0">
              <w:rPr>
                <w:rFonts w:ascii="Times New Roman" w:hAnsi="Times New Roman"/>
                <w:sz w:val="20"/>
                <w:szCs w:val="20"/>
              </w:rPr>
              <w:t xml:space="preserve">– 478, 2015.gadā </w:t>
            </w:r>
            <w:r w:rsidR="00A41C9D">
              <w:rPr>
                <w:rFonts w:ascii="Times New Roman" w:hAnsi="Times New Roman"/>
                <w:sz w:val="20"/>
                <w:szCs w:val="20"/>
              </w:rPr>
              <w:lastRenderedPageBreak/>
              <w:t>–</w:t>
            </w:r>
            <w:r w:rsidR="00DF21F0">
              <w:rPr>
                <w:rFonts w:ascii="Times New Roman" w:hAnsi="Times New Roman"/>
                <w:sz w:val="20"/>
                <w:szCs w:val="20"/>
              </w:rPr>
              <w:t xml:space="preserve"> 167</w:t>
            </w:r>
            <w:r w:rsidR="00A41C9D">
              <w:rPr>
                <w:rFonts w:ascii="Times New Roman" w:hAnsi="Times New Roman"/>
                <w:sz w:val="20"/>
                <w:szCs w:val="20"/>
              </w:rPr>
              <w:t>, 2016.gadā – 45.</w:t>
            </w:r>
            <w:r w:rsidR="00133F0E">
              <w:rPr>
                <w:rFonts w:ascii="Times New Roman" w:hAnsi="Times New Roman"/>
                <w:sz w:val="20"/>
                <w:szCs w:val="20"/>
              </w:rPr>
              <w:t xml:space="preserve"> Novadīto nodarbību uzskaite netika veikta. Katru nākamo gadu apmācītajiem robežsargiem tiek nodrošinātas atkārtotas mācības, taču uzskaite par apmācīto robežsargu skaitu un nodarbību skaitu netiek veikta.</w:t>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671"/>
        </w:trPr>
        <w:tc>
          <w:tcPr>
            <w:tcW w:w="1216" w:type="pct"/>
            <w:vMerge w:val="restart"/>
            <w:tcBorders>
              <w:top w:val="single" w:sz="6"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bCs/>
                <w:i/>
                <w:sz w:val="24"/>
                <w:szCs w:val="24"/>
              </w:rPr>
              <w:lastRenderedPageBreak/>
              <w:t>Darbības rezultāts</w:t>
            </w:r>
            <w:r w:rsidRPr="002F1F37">
              <w:rPr>
                <w:rFonts w:ascii="Times New Roman" w:hAnsi="Times New Roman"/>
                <w:i/>
                <w:sz w:val="24"/>
                <w:szCs w:val="24"/>
              </w:rPr>
              <w:t xml:space="preserve"> </w:t>
            </w:r>
            <w:r w:rsidRPr="002F1F37">
              <w:rPr>
                <w:rFonts w:ascii="Times New Roman" w:hAnsi="Times New Roman"/>
                <w:b/>
                <w:i/>
                <w:sz w:val="24"/>
                <w:szCs w:val="24"/>
              </w:rPr>
              <w:t xml:space="preserve">B2.: </w:t>
            </w:r>
            <w:r w:rsidRPr="002F1F37">
              <w:rPr>
                <w:rFonts w:ascii="Times New Roman" w:hAnsi="Times New Roman"/>
                <w:sz w:val="24"/>
                <w:szCs w:val="24"/>
              </w:rPr>
              <w:t>nodrošināta pārrobežu sadarbība noziedzīgo nodarījumu par cilvēku tirdzniecību izmeklēšanā</w:t>
            </w:r>
          </w:p>
        </w:tc>
        <w:tc>
          <w:tcPr>
            <w:tcW w:w="1842" w:type="pct"/>
            <w:gridSpan w:val="2"/>
            <w:tcBorders>
              <w:top w:val="single" w:sz="4" w:space="0" w:color="auto"/>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Rezultatīvais rādītājs:</w:t>
            </w:r>
            <w:r w:rsidRPr="002F1F37">
              <w:rPr>
                <w:rFonts w:ascii="Times New Roman" w:hAnsi="Times New Roman"/>
                <w:b/>
                <w:bCs/>
                <w:sz w:val="24"/>
                <w:szCs w:val="24"/>
              </w:rPr>
              <w:t xml:space="preserve"> </w:t>
            </w:r>
            <w:r w:rsidRPr="002F1F37">
              <w:rPr>
                <w:rFonts w:ascii="Times New Roman" w:hAnsi="Times New Roman"/>
                <w:bCs/>
                <w:sz w:val="24"/>
                <w:szCs w:val="24"/>
              </w:rPr>
              <w:t>izveidoto pārrobežu apvienoto izmeklēšanas grupu skaits</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2</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4E1DBE" w:rsidRDefault="004E1DBE" w:rsidP="00423F2F">
            <w:pPr>
              <w:spacing w:after="0" w:line="240" w:lineRule="auto"/>
              <w:jc w:val="center"/>
              <w:rPr>
                <w:rFonts w:ascii="Times New Roman" w:hAnsi="Times New Roman"/>
                <w:b/>
                <w:sz w:val="24"/>
                <w:szCs w:val="24"/>
              </w:rPr>
            </w:pPr>
            <w:r w:rsidRPr="004E1DBE">
              <w:rPr>
                <w:rFonts w:ascii="Times New Roman" w:hAnsi="Times New Roman"/>
                <w:b/>
                <w:sz w:val="24"/>
                <w:szCs w:val="24"/>
              </w:rPr>
              <w:t>0</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0928CC" w:rsidRPr="00CE49EA" w:rsidRDefault="000928CC" w:rsidP="000928CC">
            <w:pPr>
              <w:jc w:val="center"/>
              <w:rPr>
                <w:rFonts w:ascii="Times New Roman" w:hAnsi="Times New Roman"/>
                <w:b/>
                <w:color w:val="FF0000"/>
              </w:rPr>
            </w:pPr>
            <w:r w:rsidRPr="00CE49EA">
              <w:rPr>
                <w:rFonts w:ascii="Times New Roman" w:hAnsi="Times New Roman"/>
                <w:b/>
                <w:color w:val="FF0000"/>
              </w:rPr>
              <w:sym w:font="Symbol" w:char="F0AF"/>
            </w:r>
          </w:p>
          <w:p w:rsidR="00FF73D9" w:rsidRPr="002F1F37" w:rsidRDefault="00FF73D9" w:rsidP="00423F2F">
            <w:pPr>
              <w:spacing w:after="0" w:line="240" w:lineRule="auto"/>
              <w:jc w:val="center"/>
              <w:rPr>
                <w:rFonts w:ascii="Times New Roman" w:hAnsi="Times New Roman"/>
                <w:sz w:val="24"/>
                <w:szCs w:val="24"/>
              </w:rPr>
            </w:pP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879"/>
        </w:trPr>
        <w:tc>
          <w:tcPr>
            <w:tcW w:w="1216" w:type="pct"/>
            <w:vMerge/>
            <w:tcBorders>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p>
        </w:tc>
        <w:tc>
          <w:tcPr>
            <w:tcW w:w="1842" w:type="pct"/>
            <w:gridSpan w:val="2"/>
            <w:tcBorders>
              <w:top w:val="single" w:sz="4" w:space="0" w:color="auto"/>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bCs/>
                <w:i/>
                <w:sz w:val="24"/>
                <w:szCs w:val="24"/>
              </w:rPr>
              <w:t xml:space="preserve">Rezultatīvais rādītājs: </w:t>
            </w:r>
            <w:r w:rsidRPr="002F1F37">
              <w:rPr>
                <w:rFonts w:ascii="Times New Roman" w:hAnsi="Times New Roman"/>
                <w:bCs/>
                <w:sz w:val="24"/>
                <w:szCs w:val="24"/>
              </w:rPr>
              <w:t>ar citu valstu tiesībaizsardzības iestādēm kopīgi izmeklēto kriminālprocesu īpatsvars (</w:t>
            </w:r>
            <w:r w:rsidRPr="002F1F37">
              <w:rPr>
                <w:rFonts w:ascii="Times New Roman" w:hAnsi="Times New Roman"/>
                <w:color w:val="000000"/>
                <w:sz w:val="24"/>
                <w:szCs w:val="24"/>
              </w:rPr>
              <w:t>% no kopējā ar citām valstīm izmeklēto kriminālprocesu skaita</w:t>
            </w:r>
            <w:r w:rsidRPr="002F1F37">
              <w:rPr>
                <w:rFonts w:ascii="Times New Roman" w:hAnsi="Times New Roman"/>
                <w:bCs/>
                <w:sz w:val="24"/>
                <w:szCs w:val="24"/>
              </w:rPr>
              <w:t>)</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6</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7</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4E1DBE" w:rsidRDefault="004E1DBE" w:rsidP="00423F2F">
            <w:pPr>
              <w:spacing w:after="0" w:line="240" w:lineRule="auto"/>
              <w:jc w:val="center"/>
              <w:rPr>
                <w:rFonts w:ascii="Times New Roman" w:hAnsi="Times New Roman"/>
                <w:b/>
                <w:sz w:val="24"/>
                <w:szCs w:val="24"/>
              </w:rPr>
            </w:pPr>
            <w:r w:rsidRPr="004E1DBE">
              <w:rPr>
                <w:rFonts w:ascii="Times New Roman" w:hAnsi="Times New Roman"/>
                <w:b/>
                <w:sz w:val="24"/>
                <w:szCs w:val="24"/>
              </w:rPr>
              <w:t>1</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0928CC" w:rsidRPr="00CE49EA" w:rsidRDefault="000928CC" w:rsidP="000928CC">
            <w:pPr>
              <w:jc w:val="center"/>
              <w:rPr>
                <w:rFonts w:ascii="Times New Roman" w:hAnsi="Times New Roman"/>
                <w:b/>
                <w:color w:val="FF0000"/>
              </w:rPr>
            </w:pPr>
            <w:r w:rsidRPr="00CE49EA">
              <w:rPr>
                <w:rFonts w:ascii="Times New Roman" w:hAnsi="Times New Roman"/>
                <w:b/>
                <w:color w:val="FF0000"/>
              </w:rPr>
              <w:sym w:font="Symbol" w:char="F0AF"/>
            </w:r>
          </w:p>
          <w:p w:rsidR="00FF73D9" w:rsidRPr="002F1F37" w:rsidRDefault="00FF73D9" w:rsidP="00423F2F">
            <w:pPr>
              <w:spacing w:after="0" w:line="240" w:lineRule="auto"/>
              <w:jc w:val="center"/>
              <w:rPr>
                <w:rFonts w:ascii="Times New Roman" w:hAnsi="Times New Roman"/>
                <w:sz w:val="24"/>
                <w:szCs w:val="24"/>
              </w:rPr>
            </w:pP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879"/>
        </w:trPr>
        <w:tc>
          <w:tcPr>
            <w:tcW w:w="1216" w:type="pct"/>
            <w:vMerge/>
            <w:tcBorders>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p>
        </w:tc>
        <w:tc>
          <w:tcPr>
            <w:tcW w:w="1842" w:type="pct"/>
            <w:gridSpan w:val="2"/>
            <w:tcBorders>
              <w:top w:val="single" w:sz="4" w:space="0" w:color="auto"/>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bCs/>
                <w:i/>
                <w:sz w:val="24"/>
                <w:szCs w:val="24"/>
              </w:rPr>
              <w:t>Rezultatīvais rādītājs:</w:t>
            </w:r>
            <w:r w:rsidRPr="002F1F37">
              <w:rPr>
                <w:rFonts w:ascii="Times New Roman" w:hAnsi="Times New Roman"/>
                <w:bCs/>
                <w:sz w:val="24"/>
                <w:szCs w:val="24"/>
              </w:rPr>
              <w:t xml:space="preserve"> no ārvalstīm saņemto un uz ārvalstīm nosūtīto personas izdošanas lūgumu skaits</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3</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3</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041D27" w:rsidRDefault="003203B8" w:rsidP="00423F2F">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0928CC" w:rsidRPr="00CE49EA" w:rsidRDefault="000928CC" w:rsidP="000928CC">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spacing w:after="0" w:line="240" w:lineRule="auto"/>
              <w:jc w:val="center"/>
              <w:rPr>
                <w:rFonts w:ascii="Times New Roman" w:hAnsi="Times New Roman"/>
                <w:sz w:val="24"/>
                <w:szCs w:val="24"/>
              </w:rPr>
            </w:pP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879"/>
        </w:trPr>
        <w:tc>
          <w:tcPr>
            <w:tcW w:w="1216" w:type="pct"/>
            <w:vMerge/>
            <w:tcBorders>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p>
        </w:tc>
        <w:tc>
          <w:tcPr>
            <w:tcW w:w="1842" w:type="pct"/>
            <w:gridSpan w:val="2"/>
            <w:tcBorders>
              <w:top w:val="single" w:sz="4" w:space="0" w:color="auto"/>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Cs/>
                <w:sz w:val="24"/>
                <w:szCs w:val="24"/>
              </w:rPr>
            </w:pPr>
            <w:r w:rsidRPr="002F1F37">
              <w:rPr>
                <w:rFonts w:ascii="Times New Roman" w:hAnsi="Times New Roman"/>
                <w:b/>
                <w:bCs/>
                <w:i/>
                <w:sz w:val="24"/>
                <w:szCs w:val="24"/>
              </w:rPr>
              <w:t xml:space="preserve">Rezultatīvais rādītājs: </w:t>
            </w:r>
            <w:r w:rsidRPr="002F1F37">
              <w:rPr>
                <w:rFonts w:ascii="Times New Roman" w:hAnsi="Times New Roman"/>
                <w:bCs/>
                <w:sz w:val="24"/>
                <w:szCs w:val="24"/>
              </w:rPr>
              <w:t>no ārvalstīm saņemto un uz ārvalstīm nosūtīto tiesiskās palīdzības lūgumu skaits</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9</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14</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041D27" w:rsidRDefault="00074F32" w:rsidP="00423F2F">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9B3431" w:rsidRPr="00CE49EA" w:rsidRDefault="009B3431" w:rsidP="009B3431">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spacing w:after="0" w:line="240" w:lineRule="auto"/>
              <w:jc w:val="center"/>
              <w:rPr>
                <w:rFonts w:ascii="Times New Roman" w:hAnsi="Times New Roman"/>
                <w:sz w:val="24"/>
                <w:szCs w:val="24"/>
              </w:rPr>
            </w:pPr>
          </w:p>
        </w:tc>
      </w:tr>
      <w:tr w:rsidR="00041D27" w:rsidRPr="002F1F37" w:rsidTr="00466F0A">
        <w:tblPrEx>
          <w:tblBorders>
            <w:top w:val="single" w:sz="6" w:space="0" w:color="000000"/>
            <w:left w:val="single" w:sz="6" w:space="0" w:color="000000"/>
            <w:bottom w:val="single" w:sz="6" w:space="0" w:color="000000"/>
            <w:right w:val="single" w:sz="6" w:space="0" w:color="000000"/>
          </w:tblBorders>
        </w:tblPrEx>
        <w:trPr>
          <w:trHeight w:val="879"/>
        </w:trPr>
        <w:tc>
          <w:tcPr>
            <w:tcW w:w="5000" w:type="pct"/>
            <w:gridSpan w:val="7"/>
            <w:tcBorders>
              <w:bottom w:val="single" w:sz="6" w:space="0" w:color="000000"/>
            </w:tcBorders>
            <w:shd w:val="clear" w:color="auto" w:fill="auto"/>
          </w:tcPr>
          <w:p w:rsidR="00041D27" w:rsidRPr="001D3FE3" w:rsidRDefault="00041D27" w:rsidP="00041D27">
            <w:pPr>
              <w:spacing w:after="0" w:line="240" w:lineRule="auto"/>
              <w:jc w:val="both"/>
              <w:rPr>
                <w:rFonts w:ascii="Times New Roman" w:hAnsi="Times New Roman"/>
                <w:sz w:val="20"/>
                <w:szCs w:val="20"/>
              </w:rPr>
            </w:pPr>
            <w:proofErr w:type="gramStart"/>
            <w:r w:rsidRPr="001D3FE3">
              <w:rPr>
                <w:rFonts w:ascii="Times New Roman" w:hAnsi="Times New Roman"/>
                <w:sz w:val="20"/>
                <w:szCs w:val="20"/>
              </w:rPr>
              <w:t>2014.gadā</w:t>
            </w:r>
            <w:proofErr w:type="gramEnd"/>
            <w:r w:rsidRPr="001D3FE3">
              <w:rPr>
                <w:rFonts w:ascii="Times New Roman" w:hAnsi="Times New Roman"/>
                <w:sz w:val="20"/>
                <w:szCs w:val="20"/>
              </w:rPr>
              <w:t xml:space="preserve"> Latvijas Republika no ārvalstīm saņēma un uz ārvalstīm nosūtīja kopsummā 4, 2015.gadā – 2, 2016.gadā – 3 personas izdošanas lūgumus ar cilvēku tirdzniecību saistītajos kriminālprocesos.</w:t>
            </w:r>
          </w:p>
          <w:p w:rsidR="00041D27" w:rsidRPr="001D3FE3" w:rsidRDefault="00041D27" w:rsidP="00041D27">
            <w:pPr>
              <w:spacing w:after="0" w:line="240" w:lineRule="auto"/>
              <w:jc w:val="both"/>
              <w:rPr>
                <w:rFonts w:ascii="Times New Roman" w:hAnsi="Times New Roman"/>
                <w:sz w:val="20"/>
                <w:szCs w:val="20"/>
              </w:rPr>
            </w:pPr>
            <w:proofErr w:type="gramStart"/>
            <w:r w:rsidRPr="001D3FE3">
              <w:rPr>
                <w:rFonts w:ascii="Times New Roman" w:hAnsi="Times New Roman"/>
                <w:sz w:val="20"/>
                <w:szCs w:val="20"/>
              </w:rPr>
              <w:t>2014.gadā</w:t>
            </w:r>
            <w:proofErr w:type="gramEnd"/>
            <w:r w:rsidRPr="001D3FE3">
              <w:rPr>
                <w:rFonts w:ascii="Times New Roman" w:hAnsi="Times New Roman"/>
                <w:sz w:val="20"/>
                <w:szCs w:val="20"/>
              </w:rPr>
              <w:t xml:space="preserve"> Ģenerālprokuratūras Darbības analīzes un vadības departamenta Starptautiskās sadarbības nodaļa no ārvalstīm saņēma un uz ārvalstīm nosūtīja kopsummā 5, 2015.gadā – 4, 2016.gadā – 3 tiesiskās palīdzības lūgumus ar cilvēku tirdzniecību saistītajos kriminālprocesos.</w:t>
            </w:r>
          </w:p>
          <w:p w:rsidR="00041D27" w:rsidRPr="00041D27" w:rsidRDefault="00074F32" w:rsidP="00041D27">
            <w:pPr>
              <w:spacing w:after="0" w:line="240" w:lineRule="auto"/>
              <w:jc w:val="both"/>
              <w:rPr>
                <w:rFonts w:ascii="Times New Roman" w:hAnsi="Times New Roman"/>
                <w:sz w:val="20"/>
                <w:szCs w:val="20"/>
              </w:rPr>
            </w:pPr>
            <w:r w:rsidRPr="001D3FE3">
              <w:rPr>
                <w:rFonts w:ascii="Times New Roman" w:hAnsi="Times New Roman"/>
                <w:sz w:val="20"/>
                <w:szCs w:val="20"/>
              </w:rPr>
              <w:t xml:space="preserve">Valsts policija </w:t>
            </w:r>
            <w:r w:rsidR="004E1DBE" w:rsidRPr="001D3FE3">
              <w:rPr>
                <w:rFonts w:ascii="Times New Roman" w:hAnsi="Times New Roman"/>
                <w:sz w:val="20"/>
                <w:szCs w:val="20"/>
              </w:rPr>
              <w:t>no ārvalstīm saņēma</w:t>
            </w:r>
            <w:r w:rsidRPr="001D3FE3">
              <w:rPr>
                <w:rFonts w:ascii="Times New Roman" w:hAnsi="Times New Roman"/>
                <w:sz w:val="20"/>
                <w:szCs w:val="20"/>
              </w:rPr>
              <w:t xml:space="preserve"> un uz ārvalstīm nosūtīja personas izdošanas lūgumus: 2014. gadā – 11, </w:t>
            </w:r>
            <w:proofErr w:type="gramStart"/>
            <w:r w:rsidRPr="001D3FE3">
              <w:rPr>
                <w:rFonts w:ascii="Times New Roman" w:hAnsi="Times New Roman"/>
                <w:sz w:val="20"/>
                <w:szCs w:val="20"/>
              </w:rPr>
              <w:t>2015.gadā</w:t>
            </w:r>
            <w:proofErr w:type="gramEnd"/>
            <w:r w:rsidRPr="001D3FE3">
              <w:rPr>
                <w:rFonts w:ascii="Times New Roman" w:hAnsi="Times New Roman"/>
                <w:sz w:val="20"/>
                <w:szCs w:val="20"/>
              </w:rPr>
              <w:t xml:space="preserve"> – 7, 2016.gadā – 8.</w:t>
            </w:r>
            <w:r>
              <w:rPr>
                <w:rFonts w:ascii="Times New Roman" w:hAnsi="Times New Roman"/>
                <w:sz w:val="20"/>
                <w:szCs w:val="20"/>
              </w:rPr>
              <w:t xml:space="preserve"> </w:t>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893"/>
        </w:trPr>
        <w:tc>
          <w:tcPr>
            <w:tcW w:w="1216" w:type="pct"/>
            <w:tcBorders>
              <w:top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Darbības rezultāts B3:</w:t>
            </w:r>
            <w:r w:rsidRPr="002F1F37">
              <w:rPr>
                <w:rFonts w:ascii="Times New Roman" w:hAnsi="Times New Roman"/>
                <w:b/>
                <w:bCs/>
                <w:sz w:val="24"/>
                <w:szCs w:val="24"/>
              </w:rPr>
              <w:t xml:space="preserve"> </w:t>
            </w:r>
            <w:r w:rsidRPr="002F1F37">
              <w:rPr>
                <w:rFonts w:ascii="Times New Roman" w:hAnsi="Times New Roman"/>
                <w:bCs/>
                <w:sz w:val="24"/>
                <w:szCs w:val="24"/>
              </w:rPr>
              <w:t>n</w:t>
            </w:r>
            <w:r w:rsidRPr="002F1F37">
              <w:rPr>
                <w:rFonts w:ascii="Times New Roman" w:hAnsi="Times New Roman"/>
                <w:sz w:val="24"/>
                <w:szCs w:val="24"/>
              </w:rPr>
              <w:t>odrošināta Latvijas pilnvērtīga dalība Eiropas Savienības ikgadējā Operatīvā Rīcības plāna F prioritātes „Cilvēku tirdzniecība” īstenošanā</w:t>
            </w:r>
          </w:p>
        </w:tc>
        <w:tc>
          <w:tcPr>
            <w:tcW w:w="1842" w:type="pct"/>
            <w:gridSpan w:val="2"/>
            <w:tcBorders>
              <w:top w:val="single" w:sz="4" w:space="0" w:color="auto"/>
              <w:left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r w:rsidRPr="002F1F37">
              <w:rPr>
                <w:rFonts w:ascii="Times New Roman" w:hAnsi="Times New Roman"/>
                <w:b/>
                <w:bCs/>
                <w:i/>
                <w:sz w:val="24"/>
                <w:szCs w:val="24"/>
              </w:rPr>
              <w:t>Rezultatīvais rādītājs:</w:t>
            </w:r>
            <w:r w:rsidRPr="002F1F37">
              <w:rPr>
                <w:rFonts w:ascii="Times New Roman" w:hAnsi="Times New Roman"/>
                <w:b/>
                <w:bCs/>
                <w:sz w:val="24"/>
                <w:szCs w:val="24"/>
              </w:rPr>
              <w:t xml:space="preserve"> </w:t>
            </w:r>
            <w:r w:rsidRPr="002F1F37">
              <w:rPr>
                <w:rFonts w:ascii="Times New Roman" w:hAnsi="Times New Roman"/>
                <w:sz w:val="24"/>
                <w:szCs w:val="24"/>
              </w:rPr>
              <w:t>Rīcības plāna aktivitāšu skaits, kurās piedalījušās Latvijas tiesībaizsardzības iestādes</w:t>
            </w:r>
          </w:p>
        </w:tc>
        <w:tc>
          <w:tcPr>
            <w:tcW w:w="389" w:type="pct"/>
            <w:tcBorders>
              <w:top w:val="single" w:sz="6" w:space="0" w:color="000000"/>
              <w:left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5" w:type="pct"/>
            <w:tcBorders>
              <w:top w:val="single" w:sz="6" w:space="0" w:color="000000"/>
              <w:left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5</w:t>
            </w:r>
          </w:p>
        </w:tc>
        <w:tc>
          <w:tcPr>
            <w:tcW w:w="533" w:type="pct"/>
            <w:tcBorders>
              <w:top w:val="single" w:sz="6" w:space="0" w:color="000000"/>
              <w:left w:val="single" w:sz="6" w:space="0" w:color="000000"/>
            </w:tcBorders>
            <w:shd w:val="clear" w:color="auto" w:fill="FFF2CC" w:themeFill="accent4" w:themeFillTint="33"/>
          </w:tcPr>
          <w:p w:rsidR="00FF73D9" w:rsidRPr="00DC3F2A" w:rsidRDefault="00DC3F2A" w:rsidP="00423F2F">
            <w:pPr>
              <w:spacing w:after="0" w:line="240" w:lineRule="auto"/>
              <w:jc w:val="center"/>
              <w:rPr>
                <w:rFonts w:ascii="Times New Roman" w:hAnsi="Times New Roman"/>
                <w:b/>
                <w:sz w:val="24"/>
                <w:szCs w:val="24"/>
              </w:rPr>
            </w:pPr>
            <w:r w:rsidRPr="00DC3F2A">
              <w:rPr>
                <w:rFonts w:ascii="Times New Roman" w:hAnsi="Times New Roman"/>
                <w:b/>
                <w:sz w:val="24"/>
                <w:szCs w:val="24"/>
              </w:rPr>
              <w:t>3</w:t>
            </w:r>
          </w:p>
        </w:tc>
        <w:tc>
          <w:tcPr>
            <w:tcW w:w="485" w:type="pct"/>
            <w:tcBorders>
              <w:top w:val="single" w:sz="6" w:space="0" w:color="000000"/>
              <w:left w:val="single" w:sz="6" w:space="0" w:color="000000"/>
            </w:tcBorders>
            <w:shd w:val="clear" w:color="auto" w:fill="FFF2CC" w:themeFill="accent4" w:themeFillTint="33"/>
          </w:tcPr>
          <w:p w:rsidR="009B3431" w:rsidRPr="00CE49EA" w:rsidRDefault="009B3431" w:rsidP="009B3431">
            <w:pPr>
              <w:jc w:val="center"/>
              <w:rPr>
                <w:rFonts w:ascii="Times New Roman" w:hAnsi="Times New Roman"/>
                <w:b/>
                <w:color w:val="8496B0" w:themeColor="text2" w:themeTint="99"/>
              </w:rPr>
            </w:pPr>
            <w:r w:rsidRPr="00CE49EA">
              <w:rPr>
                <w:rFonts w:ascii="Times New Roman" w:hAnsi="Times New Roman"/>
                <w:b/>
                <w:color w:val="8496B0" w:themeColor="text2" w:themeTint="99"/>
              </w:rPr>
              <w:sym w:font="Symbol" w:char="F0D6"/>
            </w:r>
          </w:p>
          <w:p w:rsidR="00FF73D9" w:rsidRPr="002F1F37" w:rsidRDefault="00FF73D9" w:rsidP="00423F2F">
            <w:pPr>
              <w:spacing w:after="0" w:line="240" w:lineRule="auto"/>
              <w:jc w:val="center"/>
              <w:rPr>
                <w:rFonts w:ascii="Times New Roman" w:hAnsi="Times New Roman"/>
                <w:sz w:val="24"/>
                <w:szCs w:val="24"/>
              </w:rPr>
            </w:pPr>
          </w:p>
        </w:tc>
      </w:tr>
      <w:tr w:rsidR="00C2602B" w:rsidRPr="00C2602B" w:rsidTr="00466F0A">
        <w:tblPrEx>
          <w:tblBorders>
            <w:top w:val="single" w:sz="6" w:space="0" w:color="000000"/>
            <w:left w:val="single" w:sz="6" w:space="0" w:color="000000"/>
            <w:bottom w:val="single" w:sz="6" w:space="0" w:color="000000"/>
            <w:right w:val="single" w:sz="6" w:space="0" w:color="000000"/>
          </w:tblBorders>
        </w:tblPrEx>
        <w:trPr>
          <w:trHeight w:val="562"/>
        </w:trPr>
        <w:tc>
          <w:tcPr>
            <w:tcW w:w="5000" w:type="pct"/>
            <w:gridSpan w:val="7"/>
            <w:tcBorders>
              <w:top w:val="single" w:sz="6" w:space="0" w:color="000000"/>
            </w:tcBorders>
            <w:shd w:val="clear" w:color="auto" w:fill="auto"/>
          </w:tcPr>
          <w:p w:rsidR="00C2602B" w:rsidRPr="00C2602B" w:rsidRDefault="00C2602B" w:rsidP="00C2602B">
            <w:pPr>
              <w:spacing w:after="0" w:line="240" w:lineRule="auto"/>
              <w:jc w:val="both"/>
              <w:rPr>
                <w:rFonts w:ascii="Times New Roman" w:hAnsi="Times New Roman"/>
                <w:sz w:val="20"/>
                <w:szCs w:val="20"/>
              </w:rPr>
            </w:pPr>
            <w:r w:rsidRPr="00C2602B">
              <w:rPr>
                <w:rFonts w:ascii="Times New Roman" w:hAnsi="Times New Roman"/>
                <w:sz w:val="20"/>
                <w:szCs w:val="20"/>
              </w:rPr>
              <w:t xml:space="preserve">Valsts policija </w:t>
            </w:r>
            <w:r>
              <w:rPr>
                <w:rFonts w:ascii="Times New Roman" w:hAnsi="Times New Roman"/>
                <w:sz w:val="20"/>
                <w:szCs w:val="20"/>
              </w:rPr>
              <w:t xml:space="preserve">ir nodrošinājusi dalību </w:t>
            </w:r>
            <w:r w:rsidRPr="00C2602B">
              <w:rPr>
                <w:rFonts w:ascii="Times New Roman" w:hAnsi="Times New Roman"/>
                <w:sz w:val="20"/>
                <w:szCs w:val="20"/>
              </w:rPr>
              <w:t>Eiropas Savienības ikgadējā Operatīvā Rīcības plāna F prioritātes „</w:t>
            </w:r>
            <w:r>
              <w:rPr>
                <w:rFonts w:ascii="Times New Roman" w:hAnsi="Times New Roman"/>
                <w:sz w:val="20"/>
                <w:szCs w:val="20"/>
              </w:rPr>
              <w:t xml:space="preserve">Cilvēku tirdzniecība” aktivitāšu īstenošanā: </w:t>
            </w:r>
            <w:proofErr w:type="gramStart"/>
            <w:r>
              <w:rPr>
                <w:rFonts w:ascii="Times New Roman" w:hAnsi="Times New Roman"/>
                <w:sz w:val="20"/>
                <w:szCs w:val="20"/>
              </w:rPr>
              <w:t>2014.gadā</w:t>
            </w:r>
            <w:proofErr w:type="gramEnd"/>
            <w:r>
              <w:rPr>
                <w:rFonts w:ascii="Times New Roman" w:hAnsi="Times New Roman"/>
                <w:sz w:val="20"/>
                <w:szCs w:val="20"/>
              </w:rPr>
              <w:t xml:space="preserve"> – </w:t>
            </w:r>
            <w:r w:rsidRPr="00DC3F2A">
              <w:rPr>
                <w:rFonts w:ascii="Times New Roman" w:hAnsi="Times New Roman"/>
                <w:b/>
                <w:sz w:val="20"/>
                <w:szCs w:val="20"/>
              </w:rPr>
              <w:t>1</w:t>
            </w:r>
            <w:r>
              <w:rPr>
                <w:rFonts w:ascii="Times New Roman" w:hAnsi="Times New Roman"/>
                <w:sz w:val="20"/>
                <w:szCs w:val="20"/>
              </w:rPr>
              <w:t xml:space="preserve">, 2015.gadā – </w:t>
            </w:r>
            <w:r w:rsidRPr="00DC3F2A">
              <w:rPr>
                <w:rFonts w:ascii="Times New Roman" w:hAnsi="Times New Roman"/>
                <w:b/>
                <w:sz w:val="20"/>
                <w:szCs w:val="20"/>
              </w:rPr>
              <w:t>3</w:t>
            </w:r>
            <w:r>
              <w:rPr>
                <w:rFonts w:ascii="Times New Roman" w:hAnsi="Times New Roman"/>
                <w:sz w:val="20"/>
                <w:szCs w:val="20"/>
              </w:rPr>
              <w:t xml:space="preserve">, 2016.gadā – </w:t>
            </w:r>
            <w:r w:rsidRPr="00DC3F2A">
              <w:rPr>
                <w:rFonts w:ascii="Times New Roman" w:hAnsi="Times New Roman"/>
                <w:b/>
                <w:sz w:val="20"/>
                <w:szCs w:val="20"/>
              </w:rPr>
              <w:t>3</w:t>
            </w:r>
            <w:r>
              <w:rPr>
                <w:rFonts w:ascii="Times New Roman" w:hAnsi="Times New Roman"/>
                <w:sz w:val="20"/>
                <w:szCs w:val="20"/>
              </w:rPr>
              <w:t>.</w:t>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759"/>
        </w:trPr>
        <w:tc>
          <w:tcPr>
            <w:tcW w:w="1216" w:type="pct"/>
            <w:vMerge w:val="restart"/>
            <w:tcBorders>
              <w:top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sz w:val="24"/>
                <w:szCs w:val="24"/>
              </w:rPr>
            </w:pPr>
            <w:r w:rsidRPr="002F1F37">
              <w:rPr>
                <w:rFonts w:ascii="Times New Roman" w:hAnsi="Times New Roman"/>
                <w:b/>
                <w:bCs/>
                <w:i/>
                <w:sz w:val="24"/>
                <w:szCs w:val="24"/>
              </w:rPr>
              <w:t>Darbības rezultāts B4.:</w:t>
            </w:r>
            <w:r w:rsidRPr="002F1F37">
              <w:rPr>
                <w:rFonts w:ascii="Times New Roman" w:hAnsi="Times New Roman"/>
                <w:b/>
                <w:bCs/>
                <w:sz w:val="24"/>
                <w:szCs w:val="24"/>
              </w:rPr>
              <w:t xml:space="preserve"> </w:t>
            </w:r>
            <w:r w:rsidRPr="002F1F37">
              <w:rPr>
                <w:rFonts w:ascii="Times New Roman" w:hAnsi="Times New Roman"/>
                <w:bCs/>
                <w:sz w:val="24"/>
                <w:szCs w:val="24"/>
              </w:rPr>
              <w:t>nodrošināta kontroles pasākumu veikšana cilvēku tirdzniecības gadījumu samazināšanai un cilvēku tirdzniecības upuru identificēšanai</w:t>
            </w:r>
          </w:p>
        </w:tc>
        <w:tc>
          <w:tcPr>
            <w:tcW w:w="1842" w:type="pct"/>
            <w:gridSpan w:val="2"/>
            <w:tcBorders>
              <w:top w:val="single" w:sz="4" w:space="0" w:color="auto"/>
              <w:left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both"/>
              <w:rPr>
                <w:rFonts w:ascii="Times New Roman" w:hAnsi="Times New Roman"/>
                <w:sz w:val="24"/>
                <w:szCs w:val="24"/>
              </w:rPr>
            </w:pPr>
            <w:r w:rsidRPr="002F1F37">
              <w:rPr>
                <w:rFonts w:ascii="Times New Roman" w:hAnsi="Times New Roman"/>
                <w:b/>
                <w:bCs/>
                <w:i/>
                <w:sz w:val="24"/>
                <w:szCs w:val="24"/>
              </w:rPr>
              <w:t>Rezultatīvais rādītājs:</w:t>
            </w:r>
            <w:r w:rsidRPr="002F1F37">
              <w:rPr>
                <w:rFonts w:ascii="Times New Roman" w:hAnsi="Times New Roman"/>
                <w:b/>
                <w:bCs/>
                <w:sz w:val="24"/>
                <w:szCs w:val="24"/>
              </w:rPr>
              <w:t xml:space="preserve"> </w:t>
            </w:r>
            <w:r w:rsidRPr="002F1F37">
              <w:rPr>
                <w:rFonts w:ascii="Times New Roman" w:hAnsi="Times New Roman"/>
                <w:sz w:val="24"/>
                <w:szCs w:val="24"/>
              </w:rPr>
              <w:t xml:space="preserve">VDI kompetences ietvaros veikto pārbaužu laikā konstatēto </w:t>
            </w:r>
            <w:r w:rsidRPr="002F1F37">
              <w:rPr>
                <w:rFonts w:ascii="Times New Roman" w:hAnsi="Times New Roman"/>
                <w:bCs/>
                <w:sz w:val="24"/>
                <w:szCs w:val="24"/>
              </w:rPr>
              <w:t>iespējamo</w:t>
            </w:r>
            <w:r w:rsidRPr="002F1F37">
              <w:rPr>
                <w:rFonts w:ascii="Times New Roman" w:hAnsi="Times New Roman"/>
                <w:sz w:val="24"/>
                <w:szCs w:val="24"/>
              </w:rPr>
              <w:t xml:space="preserve"> cilvēku tirdzniecības gadījumu skaits</w:t>
            </w:r>
          </w:p>
        </w:tc>
        <w:tc>
          <w:tcPr>
            <w:tcW w:w="389" w:type="pct"/>
            <w:tcBorders>
              <w:top w:val="single" w:sz="6" w:space="0" w:color="000000"/>
              <w:left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w:t>
            </w:r>
          </w:p>
        </w:tc>
        <w:tc>
          <w:tcPr>
            <w:tcW w:w="535" w:type="pct"/>
            <w:tcBorders>
              <w:top w:val="single" w:sz="6" w:space="0" w:color="000000"/>
              <w:left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2</w:t>
            </w:r>
          </w:p>
        </w:tc>
        <w:tc>
          <w:tcPr>
            <w:tcW w:w="533" w:type="pct"/>
            <w:tcBorders>
              <w:top w:val="single" w:sz="6" w:space="0" w:color="000000"/>
              <w:left w:val="single" w:sz="6" w:space="0" w:color="000000"/>
            </w:tcBorders>
            <w:shd w:val="clear" w:color="auto" w:fill="FFF2CC" w:themeFill="accent4" w:themeFillTint="33"/>
          </w:tcPr>
          <w:p w:rsidR="00FF73D9" w:rsidRPr="009E7CA9" w:rsidRDefault="00AB10ED" w:rsidP="00423F2F">
            <w:pPr>
              <w:tabs>
                <w:tab w:val="left" w:pos="675"/>
                <w:tab w:val="center" w:pos="757"/>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485" w:type="pct"/>
            <w:tcBorders>
              <w:top w:val="single" w:sz="6" w:space="0" w:color="000000"/>
              <w:left w:val="single" w:sz="6" w:space="0" w:color="000000"/>
            </w:tcBorders>
            <w:shd w:val="clear" w:color="auto" w:fill="FFF2CC" w:themeFill="accent4" w:themeFillTint="33"/>
          </w:tcPr>
          <w:p w:rsidR="00FF73D9" w:rsidRPr="002F1F37" w:rsidRDefault="00D24650" w:rsidP="00423F2F">
            <w:pPr>
              <w:tabs>
                <w:tab w:val="left" w:pos="675"/>
                <w:tab w:val="center" w:pos="757"/>
              </w:tabs>
              <w:spacing w:after="0" w:line="240" w:lineRule="auto"/>
              <w:jc w:val="center"/>
              <w:rPr>
                <w:rFonts w:ascii="Times New Roman" w:hAnsi="Times New Roman"/>
                <w:sz w:val="24"/>
                <w:szCs w:val="24"/>
              </w:rPr>
            </w:pPr>
            <w:r w:rsidRPr="00CE49EA">
              <w:rPr>
                <w:rFonts w:ascii="Times New Roman" w:hAnsi="Times New Roman"/>
                <w:b/>
                <w:color w:val="008000"/>
              </w:rPr>
              <w:sym w:font="Symbol" w:char="F0AD"/>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105"/>
        </w:trPr>
        <w:tc>
          <w:tcPr>
            <w:tcW w:w="1216" w:type="pct"/>
            <w:vMerge/>
            <w:tcBorders>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p>
        </w:tc>
        <w:tc>
          <w:tcPr>
            <w:tcW w:w="1842" w:type="pct"/>
            <w:gridSpan w:val="2"/>
            <w:tcBorders>
              <w:top w:val="single" w:sz="4" w:space="0" w:color="auto"/>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color w:val="000000"/>
                <w:sz w:val="24"/>
                <w:szCs w:val="24"/>
              </w:rPr>
            </w:pPr>
            <w:r w:rsidRPr="002F1F37">
              <w:rPr>
                <w:rFonts w:ascii="Times New Roman" w:hAnsi="Times New Roman"/>
                <w:b/>
                <w:bCs/>
                <w:i/>
                <w:sz w:val="24"/>
                <w:szCs w:val="24"/>
              </w:rPr>
              <w:t>Rezultatīvais rādītājs:</w:t>
            </w:r>
            <w:r w:rsidRPr="002F1F37">
              <w:rPr>
                <w:rFonts w:ascii="Times New Roman" w:hAnsi="Times New Roman"/>
                <w:b/>
                <w:bCs/>
                <w:sz w:val="24"/>
                <w:szCs w:val="24"/>
              </w:rPr>
              <w:t xml:space="preserve"> </w:t>
            </w:r>
            <w:r w:rsidRPr="002F1F37">
              <w:rPr>
                <w:rFonts w:ascii="Times New Roman" w:hAnsi="Times New Roman"/>
                <w:bCs/>
                <w:color w:val="000000"/>
                <w:sz w:val="24"/>
                <w:szCs w:val="24"/>
              </w:rPr>
              <w:t>modeļu aģentūrās</w:t>
            </w:r>
            <w:r w:rsidRPr="002F1F37">
              <w:rPr>
                <w:rFonts w:ascii="Times New Roman" w:hAnsi="Times New Roman"/>
                <w:color w:val="000000"/>
                <w:sz w:val="24"/>
                <w:szCs w:val="24"/>
              </w:rPr>
              <w:t xml:space="preserve"> veikto pārbaužu skaits</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0</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1</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9E7CA9" w:rsidRDefault="009E7CA9" w:rsidP="00423F2F">
            <w:pPr>
              <w:tabs>
                <w:tab w:val="left" w:pos="675"/>
                <w:tab w:val="center" w:pos="757"/>
              </w:tabs>
              <w:spacing w:after="0" w:line="240" w:lineRule="auto"/>
              <w:jc w:val="center"/>
              <w:rPr>
                <w:rFonts w:ascii="Times New Roman" w:hAnsi="Times New Roman"/>
                <w:b/>
                <w:sz w:val="24"/>
                <w:szCs w:val="24"/>
              </w:rPr>
            </w:pPr>
            <w:r w:rsidRPr="009E7CA9">
              <w:rPr>
                <w:rFonts w:ascii="Times New Roman" w:hAnsi="Times New Roman"/>
                <w:b/>
                <w:sz w:val="24"/>
                <w:szCs w:val="24"/>
              </w:rPr>
              <w:t>0</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FF73D9" w:rsidRPr="002F1F37" w:rsidRDefault="009B3431" w:rsidP="00423F2F">
            <w:pPr>
              <w:tabs>
                <w:tab w:val="left" w:pos="675"/>
                <w:tab w:val="center" w:pos="757"/>
              </w:tabs>
              <w:spacing w:after="0" w:line="240" w:lineRule="auto"/>
              <w:jc w:val="center"/>
              <w:rPr>
                <w:rFonts w:ascii="Times New Roman" w:hAnsi="Times New Roman"/>
                <w:sz w:val="24"/>
                <w:szCs w:val="24"/>
              </w:rPr>
            </w:pPr>
            <w:r>
              <w:rPr>
                <w:rFonts w:ascii="Times New Roman" w:hAnsi="Times New Roman"/>
                <w:sz w:val="24"/>
                <w:szCs w:val="24"/>
              </w:rPr>
              <w:t>-</w:t>
            </w:r>
          </w:p>
        </w:tc>
      </w:tr>
      <w:tr w:rsidR="003A7FF2" w:rsidRPr="002F1F37" w:rsidTr="00466F0A">
        <w:tblPrEx>
          <w:tblBorders>
            <w:top w:val="single" w:sz="6" w:space="0" w:color="000000"/>
            <w:left w:val="single" w:sz="6" w:space="0" w:color="000000"/>
            <w:bottom w:val="single" w:sz="6" w:space="0" w:color="000000"/>
            <w:right w:val="single" w:sz="6" w:space="0" w:color="000000"/>
          </w:tblBorders>
        </w:tblPrEx>
        <w:trPr>
          <w:trHeight w:val="105"/>
        </w:trPr>
        <w:tc>
          <w:tcPr>
            <w:tcW w:w="1216" w:type="pct"/>
            <w:vMerge/>
            <w:tcBorders>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sz w:val="24"/>
                <w:szCs w:val="24"/>
              </w:rPr>
            </w:pPr>
          </w:p>
        </w:tc>
        <w:tc>
          <w:tcPr>
            <w:tcW w:w="1842" w:type="pct"/>
            <w:gridSpan w:val="2"/>
            <w:tcBorders>
              <w:top w:val="single" w:sz="4" w:space="0" w:color="auto"/>
              <w:left w:val="single" w:sz="6" w:space="0" w:color="000000"/>
              <w:bottom w:val="single" w:sz="4" w:space="0" w:color="auto"/>
              <w:right w:val="single" w:sz="6" w:space="0" w:color="000000"/>
            </w:tcBorders>
            <w:shd w:val="clear" w:color="auto" w:fill="FFF2CC" w:themeFill="accent4" w:themeFillTint="33"/>
          </w:tcPr>
          <w:p w:rsidR="00FF73D9" w:rsidRPr="002F1F37" w:rsidRDefault="00FF73D9" w:rsidP="00423F2F">
            <w:pPr>
              <w:spacing w:after="0" w:line="240" w:lineRule="auto"/>
              <w:rPr>
                <w:rFonts w:ascii="Times New Roman" w:hAnsi="Times New Roman"/>
                <w:b/>
                <w:bCs/>
                <w:i/>
                <w:sz w:val="24"/>
                <w:szCs w:val="24"/>
              </w:rPr>
            </w:pPr>
            <w:r w:rsidRPr="002F1F37">
              <w:rPr>
                <w:rFonts w:ascii="Times New Roman" w:hAnsi="Times New Roman"/>
                <w:b/>
                <w:bCs/>
                <w:i/>
                <w:sz w:val="24"/>
                <w:szCs w:val="24"/>
              </w:rPr>
              <w:t xml:space="preserve">Rezultatīvais rādītājs: </w:t>
            </w:r>
            <w:r w:rsidRPr="002F1F37">
              <w:rPr>
                <w:rFonts w:ascii="Times New Roman" w:hAnsi="Times New Roman"/>
                <w:bCs/>
                <w:sz w:val="24"/>
                <w:szCs w:val="24"/>
              </w:rPr>
              <w:t>imigrācijas jomā veikto pārbaužu skaits</w:t>
            </w:r>
          </w:p>
        </w:tc>
        <w:tc>
          <w:tcPr>
            <w:tcW w:w="389"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4296</w:t>
            </w:r>
          </w:p>
        </w:tc>
        <w:tc>
          <w:tcPr>
            <w:tcW w:w="535"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FF73D9" w:rsidRPr="002F1F37" w:rsidRDefault="00FF73D9" w:rsidP="00423F2F">
            <w:pPr>
              <w:spacing w:after="0" w:line="240" w:lineRule="auto"/>
              <w:jc w:val="center"/>
              <w:rPr>
                <w:rFonts w:ascii="Times New Roman" w:hAnsi="Times New Roman"/>
                <w:sz w:val="24"/>
                <w:szCs w:val="24"/>
              </w:rPr>
            </w:pPr>
            <w:r w:rsidRPr="002F1F37">
              <w:rPr>
                <w:rFonts w:ascii="Times New Roman" w:hAnsi="Times New Roman"/>
                <w:sz w:val="24"/>
                <w:szCs w:val="24"/>
              </w:rPr>
              <w:t>4300</w:t>
            </w:r>
          </w:p>
        </w:tc>
        <w:tc>
          <w:tcPr>
            <w:tcW w:w="533" w:type="pct"/>
            <w:tcBorders>
              <w:top w:val="single" w:sz="6" w:space="0" w:color="000000"/>
              <w:left w:val="single" w:sz="6" w:space="0" w:color="000000"/>
              <w:bottom w:val="single" w:sz="6" w:space="0" w:color="000000"/>
            </w:tcBorders>
            <w:shd w:val="clear" w:color="auto" w:fill="FFF2CC" w:themeFill="accent4" w:themeFillTint="33"/>
          </w:tcPr>
          <w:p w:rsidR="00FF73D9" w:rsidRPr="009E7CA9" w:rsidRDefault="009E7CA9" w:rsidP="00423F2F">
            <w:pPr>
              <w:tabs>
                <w:tab w:val="left" w:pos="675"/>
                <w:tab w:val="center" w:pos="757"/>
              </w:tabs>
              <w:spacing w:after="0" w:line="240" w:lineRule="auto"/>
              <w:jc w:val="center"/>
              <w:rPr>
                <w:rFonts w:ascii="Times New Roman" w:hAnsi="Times New Roman"/>
                <w:b/>
                <w:sz w:val="24"/>
                <w:szCs w:val="24"/>
              </w:rPr>
            </w:pPr>
            <w:r w:rsidRPr="009E7CA9">
              <w:rPr>
                <w:rFonts w:ascii="Times New Roman" w:hAnsi="Times New Roman"/>
                <w:b/>
                <w:sz w:val="24"/>
                <w:szCs w:val="24"/>
              </w:rPr>
              <w:t>2072</w:t>
            </w:r>
          </w:p>
        </w:tc>
        <w:tc>
          <w:tcPr>
            <w:tcW w:w="485" w:type="pct"/>
            <w:tcBorders>
              <w:top w:val="single" w:sz="6" w:space="0" w:color="000000"/>
              <w:left w:val="single" w:sz="6" w:space="0" w:color="000000"/>
              <w:bottom w:val="single" w:sz="6" w:space="0" w:color="000000"/>
            </w:tcBorders>
            <w:shd w:val="clear" w:color="auto" w:fill="FFF2CC" w:themeFill="accent4" w:themeFillTint="33"/>
          </w:tcPr>
          <w:p w:rsidR="00FF73D9" w:rsidRPr="000928CC" w:rsidRDefault="000928CC" w:rsidP="000928CC">
            <w:pPr>
              <w:jc w:val="center"/>
              <w:rPr>
                <w:rFonts w:ascii="Times New Roman" w:hAnsi="Times New Roman"/>
                <w:b/>
                <w:color w:val="FF0000"/>
              </w:rPr>
            </w:pPr>
            <w:r w:rsidRPr="00CE49EA">
              <w:rPr>
                <w:rFonts w:ascii="Times New Roman" w:hAnsi="Times New Roman"/>
                <w:b/>
                <w:color w:val="FF0000"/>
              </w:rPr>
              <w:sym w:font="Symbol" w:char="F0AF"/>
            </w:r>
          </w:p>
        </w:tc>
      </w:tr>
      <w:tr w:rsidR="00D66460" w:rsidRPr="002F1F37" w:rsidTr="00466F0A">
        <w:tblPrEx>
          <w:tblBorders>
            <w:top w:val="single" w:sz="6" w:space="0" w:color="000000"/>
            <w:left w:val="single" w:sz="6" w:space="0" w:color="000000"/>
            <w:bottom w:val="single" w:sz="6" w:space="0" w:color="000000"/>
            <w:right w:val="single" w:sz="6" w:space="0" w:color="000000"/>
          </w:tblBorders>
        </w:tblPrEx>
        <w:trPr>
          <w:trHeight w:val="105"/>
        </w:trPr>
        <w:tc>
          <w:tcPr>
            <w:tcW w:w="5000" w:type="pct"/>
            <w:gridSpan w:val="7"/>
            <w:tcBorders>
              <w:top w:val="single" w:sz="4" w:space="0" w:color="auto"/>
              <w:bottom w:val="single" w:sz="4" w:space="0" w:color="auto"/>
            </w:tcBorders>
            <w:shd w:val="clear" w:color="auto" w:fill="auto"/>
          </w:tcPr>
          <w:p w:rsidR="00AB10ED" w:rsidRPr="00AB10ED" w:rsidRDefault="003C454E" w:rsidP="00AB10ED">
            <w:pPr>
              <w:tabs>
                <w:tab w:val="left" w:pos="675"/>
                <w:tab w:val="center" w:pos="757"/>
              </w:tabs>
              <w:spacing w:after="0" w:line="240" w:lineRule="auto"/>
              <w:jc w:val="both"/>
              <w:rPr>
                <w:rFonts w:ascii="Times New Roman" w:hAnsi="Times New Roman"/>
                <w:sz w:val="20"/>
                <w:szCs w:val="20"/>
              </w:rPr>
            </w:pPr>
            <w:proofErr w:type="gramStart"/>
            <w:r>
              <w:rPr>
                <w:rFonts w:ascii="Times New Roman" w:hAnsi="Times New Roman"/>
                <w:sz w:val="20"/>
                <w:szCs w:val="20"/>
              </w:rPr>
              <w:lastRenderedPageBreak/>
              <w:t>2014.</w:t>
            </w:r>
            <w:r w:rsidR="00AB10ED" w:rsidRPr="00AB10ED">
              <w:rPr>
                <w:rFonts w:ascii="Times New Roman" w:hAnsi="Times New Roman"/>
                <w:sz w:val="20"/>
                <w:szCs w:val="20"/>
              </w:rPr>
              <w:t>gadā</w:t>
            </w:r>
            <w:proofErr w:type="gramEnd"/>
            <w:r w:rsidR="00AB10ED" w:rsidRPr="00AB10ED">
              <w:rPr>
                <w:rFonts w:ascii="Times New Roman" w:hAnsi="Times New Roman"/>
                <w:sz w:val="20"/>
                <w:szCs w:val="20"/>
              </w:rPr>
              <w:t xml:space="preserve"> Valsts darba inspekcija savas kompetences ietvaros ir veikusi 11500 pārbaudes, pārbaužu laikā nav konstatēti iespējamie cilvēku tirdzniecības gadījumi;</w:t>
            </w:r>
          </w:p>
          <w:p w:rsidR="00AB10ED" w:rsidRPr="00AB10ED" w:rsidRDefault="003C454E" w:rsidP="00AB10ED">
            <w:pPr>
              <w:tabs>
                <w:tab w:val="left" w:pos="675"/>
                <w:tab w:val="center" w:pos="757"/>
              </w:tabs>
              <w:spacing w:after="0" w:line="240" w:lineRule="auto"/>
              <w:jc w:val="both"/>
              <w:rPr>
                <w:rFonts w:ascii="Times New Roman" w:hAnsi="Times New Roman"/>
                <w:sz w:val="20"/>
                <w:szCs w:val="20"/>
              </w:rPr>
            </w:pPr>
            <w:proofErr w:type="gramStart"/>
            <w:r>
              <w:rPr>
                <w:rFonts w:ascii="Times New Roman" w:hAnsi="Times New Roman"/>
                <w:sz w:val="20"/>
                <w:szCs w:val="20"/>
              </w:rPr>
              <w:t>2015.</w:t>
            </w:r>
            <w:r w:rsidR="00AB10ED">
              <w:rPr>
                <w:rFonts w:ascii="Times New Roman" w:hAnsi="Times New Roman"/>
                <w:sz w:val="20"/>
                <w:szCs w:val="20"/>
              </w:rPr>
              <w:t>gadā</w:t>
            </w:r>
            <w:proofErr w:type="gramEnd"/>
            <w:r w:rsidR="00AB10ED">
              <w:rPr>
                <w:rFonts w:ascii="Times New Roman" w:hAnsi="Times New Roman"/>
                <w:sz w:val="20"/>
                <w:szCs w:val="20"/>
              </w:rPr>
              <w:t xml:space="preserve"> Valsts darba inspekcija</w:t>
            </w:r>
            <w:r w:rsidR="00AB10ED" w:rsidRPr="00AB10ED">
              <w:rPr>
                <w:rFonts w:ascii="Times New Roman" w:hAnsi="Times New Roman"/>
                <w:sz w:val="20"/>
                <w:szCs w:val="20"/>
              </w:rPr>
              <w:t xml:space="preserve"> ir veikusi 10021 pārbaudes kompetences ietvaros, pārbaužu laikā nav konstatēti iespējamie cilvēku tirdzniecības gadījumi;</w:t>
            </w:r>
          </w:p>
          <w:p w:rsidR="00D66460" w:rsidRDefault="003C454E" w:rsidP="00AB10ED">
            <w:pPr>
              <w:tabs>
                <w:tab w:val="left" w:pos="675"/>
                <w:tab w:val="center" w:pos="757"/>
              </w:tabs>
              <w:spacing w:after="0" w:line="240" w:lineRule="auto"/>
              <w:jc w:val="both"/>
              <w:rPr>
                <w:rFonts w:ascii="Times New Roman" w:hAnsi="Times New Roman"/>
                <w:sz w:val="20"/>
                <w:szCs w:val="20"/>
              </w:rPr>
            </w:pPr>
            <w:proofErr w:type="gramStart"/>
            <w:r>
              <w:rPr>
                <w:rFonts w:ascii="Times New Roman" w:hAnsi="Times New Roman"/>
                <w:sz w:val="20"/>
                <w:szCs w:val="20"/>
              </w:rPr>
              <w:t>2016.</w:t>
            </w:r>
            <w:r w:rsidR="00AB10ED" w:rsidRPr="00AB10ED">
              <w:rPr>
                <w:rFonts w:ascii="Times New Roman" w:hAnsi="Times New Roman"/>
                <w:sz w:val="20"/>
                <w:szCs w:val="20"/>
              </w:rPr>
              <w:t>gad</w:t>
            </w:r>
            <w:r w:rsidR="00AB10ED">
              <w:rPr>
                <w:rFonts w:ascii="Times New Roman" w:hAnsi="Times New Roman"/>
                <w:sz w:val="20"/>
                <w:szCs w:val="20"/>
              </w:rPr>
              <w:t>ā</w:t>
            </w:r>
            <w:proofErr w:type="gramEnd"/>
            <w:r w:rsidR="00AB10ED">
              <w:rPr>
                <w:rFonts w:ascii="Times New Roman" w:hAnsi="Times New Roman"/>
                <w:sz w:val="20"/>
                <w:szCs w:val="20"/>
              </w:rPr>
              <w:t xml:space="preserve"> ir veiktas 10000 pārbaudes Valsts darba inspekcijas</w:t>
            </w:r>
            <w:r w:rsidR="00AB10ED" w:rsidRPr="00AB10ED">
              <w:rPr>
                <w:rFonts w:ascii="Times New Roman" w:hAnsi="Times New Roman"/>
                <w:sz w:val="20"/>
                <w:szCs w:val="20"/>
              </w:rPr>
              <w:t xml:space="preserve"> kompetences ietvaros, ir konstatēti 5 iespējamie cilvēku tirdzniecības gadījumi</w:t>
            </w:r>
            <w:r w:rsidR="00AB10ED">
              <w:rPr>
                <w:rFonts w:ascii="Times New Roman" w:hAnsi="Times New Roman"/>
                <w:sz w:val="20"/>
                <w:szCs w:val="20"/>
              </w:rPr>
              <w:t>,</w:t>
            </w:r>
            <w:r w:rsidR="00AB10ED" w:rsidRPr="00AB10ED">
              <w:rPr>
                <w:rFonts w:ascii="Times New Roman" w:hAnsi="Times New Roman"/>
                <w:sz w:val="20"/>
                <w:szCs w:val="20"/>
              </w:rPr>
              <w:t xml:space="preserve"> par kuriem tika informētas kompetentās iestādes.</w:t>
            </w:r>
          </w:p>
          <w:p w:rsidR="009E7CA9" w:rsidRDefault="009B3431" w:rsidP="00D66460">
            <w:pPr>
              <w:tabs>
                <w:tab w:val="left" w:pos="675"/>
                <w:tab w:val="center" w:pos="757"/>
              </w:tabs>
              <w:spacing w:after="0" w:line="240" w:lineRule="auto"/>
              <w:jc w:val="both"/>
              <w:rPr>
                <w:rFonts w:ascii="Times New Roman" w:hAnsi="Times New Roman"/>
                <w:sz w:val="20"/>
                <w:szCs w:val="20"/>
              </w:rPr>
            </w:pPr>
            <w:r>
              <w:rPr>
                <w:rFonts w:ascii="Times New Roman" w:hAnsi="Times New Roman"/>
                <w:sz w:val="20"/>
                <w:szCs w:val="20"/>
              </w:rPr>
              <w:t>Rezultatīvie rādītāji par modeļu aģentūrās veikto pārbaužu skaitu nav saņemti.</w:t>
            </w:r>
          </w:p>
          <w:p w:rsidR="009E7CA9" w:rsidRPr="00D66460" w:rsidRDefault="009E7CA9" w:rsidP="00D66460">
            <w:pPr>
              <w:tabs>
                <w:tab w:val="left" w:pos="675"/>
                <w:tab w:val="center" w:pos="757"/>
              </w:tabs>
              <w:spacing w:after="0" w:line="240" w:lineRule="auto"/>
              <w:jc w:val="both"/>
              <w:rPr>
                <w:rFonts w:ascii="Times New Roman" w:hAnsi="Times New Roman"/>
                <w:sz w:val="20"/>
                <w:szCs w:val="20"/>
              </w:rPr>
            </w:pPr>
            <w:r>
              <w:rPr>
                <w:rFonts w:ascii="Times New Roman" w:hAnsi="Times New Roman"/>
                <w:sz w:val="20"/>
                <w:szCs w:val="20"/>
              </w:rPr>
              <w:t xml:space="preserve">Valsts robežsardze gan pastāvīgi, gan sadarbojoties ar Pilsonības un migrācijas lietu pārvaldes, Valsts darba inspekcijas un Valsts policijas amatpersonām </w:t>
            </w:r>
            <w:r w:rsidR="0041665F">
              <w:rPr>
                <w:rFonts w:ascii="Times New Roman" w:hAnsi="Times New Roman"/>
                <w:sz w:val="20"/>
                <w:szCs w:val="20"/>
              </w:rPr>
              <w:t xml:space="preserve">kontrolē ārzemnieku nodarbināšanas tiesību normu ievērošanu uzņēmumos, iestādēs, tūrisma organizācijās, viesnīcās un nodrošina iespējamo cilvēku tirdzniecības gadījumu (piespiedu darba ekspluatācijas jomā) konstatēšanu. </w:t>
            </w:r>
            <w:proofErr w:type="gramStart"/>
            <w:r w:rsidR="0041665F">
              <w:rPr>
                <w:rFonts w:ascii="Times New Roman" w:hAnsi="Times New Roman"/>
                <w:sz w:val="20"/>
                <w:szCs w:val="20"/>
              </w:rPr>
              <w:t>2014.gadā</w:t>
            </w:r>
            <w:proofErr w:type="gramEnd"/>
            <w:r w:rsidR="0041665F">
              <w:rPr>
                <w:rFonts w:ascii="Times New Roman" w:hAnsi="Times New Roman"/>
                <w:sz w:val="20"/>
                <w:szCs w:val="20"/>
              </w:rPr>
              <w:t xml:space="preserve"> tika veiktas 4073 pārbaudes (94,72%), 2015.gadā – 2691 pārbaude (62,58%), 2016.gadā – 2072 pārbaudes (48,18%). </w:t>
            </w:r>
            <w:r w:rsidR="005D0582">
              <w:rPr>
                <w:rFonts w:ascii="Times New Roman" w:hAnsi="Times New Roman"/>
                <w:sz w:val="20"/>
                <w:szCs w:val="20"/>
              </w:rPr>
              <w:t xml:space="preserve">Pārbaužu veikšana slaikā tika konstatēti pārkāpumi: 2014.gadā – 78 gadījumos, 2015.gadā – 99 </w:t>
            </w:r>
            <w:r w:rsidR="00121877">
              <w:rPr>
                <w:rFonts w:ascii="Times New Roman" w:hAnsi="Times New Roman"/>
                <w:sz w:val="20"/>
                <w:szCs w:val="20"/>
              </w:rPr>
              <w:t>gadījumos</w:t>
            </w:r>
            <w:r w:rsidR="005D0582">
              <w:rPr>
                <w:rFonts w:ascii="Times New Roman" w:hAnsi="Times New Roman"/>
                <w:sz w:val="20"/>
                <w:szCs w:val="20"/>
              </w:rPr>
              <w:t xml:space="preserve">, 2016.gadā – 41.gadījumā, neviens no šiem pārkāpumiem nebija saistīts ar piespiedu darba ekspluatāciju vai cita veida cilvēku tirdzniecības formām. </w:t>
            </w:r>
            <w:r w:rsidR="0041665F">
              <w:rPr>
                <w:rFonts w:ascii="Times New Roman" w:hAnsi="Times New Roman"/>
                <w:sz w:val="20"/>
                <w:szCs w:val="20"/>
              </w:rPr>
              <w:t>Veikto pārbaužu skaita samazinājums ir saistīts ar to, ka kopš 2014.gada vidus būtiski ir mainījušās darbības jomas, kurās iesaistās organizētā noziedzība. Noziedzīgās darbības saistītas ar migrantu nelikumīgu pārvietošanu pāri Eiropas Savienības robežai, un kopš 2014.gada vidus būtiski palielinājies Valsts robežsardzes aizturēto nelegālo migrantu un to pārvietotāju skaits. Analizējot aizturēto nelegālo imigrantu aizturēšanas apstā</w:t>
            </w:r>
            <w:r w:rsidR="009B3431">
              <w:rPr>
                <w:rFonts w:ascii="Times New Roman" w:hAnsi="Times New Roman"/>
                <w:sz w:val="20"/>
                <w:szCs w:val="20"/>
              </w:rPr>
              <w:t>kļus un informāciju, kas iegūta</w:t>
            </w:r>
            <w:r w:rsidR="005D0582">
              <w:rPr>
                <w:rFonts w:ascii="Times New Roman" w:hAnsi="Times New Roman"/>
                <w:sz w:val="20"/>
                <w:szCs w:val="20"/>
              </w:rPr>
              <w:t>,</w:t>
            </w:r>
            <w:r w:rsidR="00B0210A">
              <w:rPr>
                <w:rFonts w:ascii="Times New Roman" w:hAnsi="Times New Roman"/>
                <w:sz w:val="20"/>
                <w:szCs w:val="20"/>
              </w:rPr>
              <w:t xml:space="preserve"> </w:t>
            </w:r>
            <w:r w:rsidR="0041665F">
              <w:rPr>
                <w:rFonts w:ascii="Times New Roman" w:hAnsi="Times New Roman"/>
                <w:sz w:val="20"/>
                <w:szCs w:val="20"/>
              </w:rPr>
              <w:t xml:space="preserve">izmeklējot lietas par nelegālo imigrantu pārvietošanu pāri valsts robežai, secināts, ka gandrīz visus nelegālo imigrantu pārvietošanas gadījumus organizē un veic organizētās noziedzības pārstāvji, līdz ar to būtiski tikai mainīta Valsts robežsardzes imigrācijas kontroles funkciju veicošo struktūrvienību darbība, lai lielāku uzmanību pievērstu valsts robežas neaizskaramības nodrošināšanai, īstenojot kontroles pasākumus ārzemnieku ieceļošanas notiekumu ievērošanas jomā. </w:t>
            </w:r>
          </w:p>
        </w:tc>
      </w:tr>
    </w:tbl>
    <w:p w:rsidR="009526EE" w:rsidRDefault="009526EE"/>
    <w:sectPr w:rsidR="009526EE" w:rsidSect="00BD2745">
      <w:footerReference w:type="default" r:id="rId7"/>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2EA" w:rsidRDefault="007612EA" w:rsidP="007612EA">
      <w:pPr>
        <w:spacing w:after="0" w:line="240" w:lineRule="auto"/>
      </w:pPr>
      <w:r>
        <w:separator/>
      </w:r>
    </w:p>
  </w:endnote>
  <w:endnote w:type="continuationSeparator" w:id="0">
    <w:p w:rsidR="007612EA" w:rsidRDefault="007612EA" w:rsidP="0076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144958"/>
      <w:docPartObj>
        <w:docPartGallery w:val="Page Numbers (Bottom of Page)"/>
        <w:docPartUnique/>
      </w:docPartObj>
    </w:sdtPr>
    <w:sdtEndPr>
      <w:rPr>
        <w:rFonts w:ascii="Times New Roman" w:hAnsi="Times New Roman"/>
        <w:noProof/>
      </w:rPr>
    </w:sdtEndPr>
    <w:sdtContent>
      <w:p w:rsidR="007612EA" w:rsidRPr="007612EA" w:rsidRDefault="007612EA">
        <w:pPr>
          <w:pStyle w:val="Footer"/>
          <w:jc w:val="right"/>
          <w:rPr>
            <w:rFonts w:ascii="Times New Roman" w:hAnsi="Times New Roman"/>
          </w:rPr>
        </w:pPr>
        <w:r w:rsidRPr="007612EA">
          <w:rPr>
            <w:rFonts w:ascii="Times New Roman" w:hAnsi="Times New Roman"/>
          </w:rPr>
          <w:fldChar w:fldCharType="begin"/>
        </w:r>
        <w:r w:rsidRPr="007612EA">
          <w:rPr>
            <w:rFonts w:ascii="Times New Roman" w:hAnsi="Times New Roman"/>
          </w:rPr>
          <w:instrText xml:space="preserve"> PAGE   \* MERGEFORMAT </w:instrText>
        </w:r>
        <w:r w:rsidRPr="007612EA">
          <w:rPr>
            <w:rFonts w:ascii="Times New Roman" w:hAnsi="Times New Roman"/>
          </w:rPr>
          <w:fldChar w:fldCharType="separate"/>
        </w:r>
        <w:r w:rsidR="00FF19A7">
          <w:rPr>
            <w:rFonts w:ascii="Times New Roman" w:hAnsi="Times New Roman"/>
            <w:noProof/>
          </w:rPr>
          <w:t>5</w:t>
        </w:r>
        <w:r w:rsidRPr="007612EA">
          <w:rPr>
            <w:rFonts w:ascii="Times New Roman" w:hAnsi="Times New Roman"/>
            <w:noProof/>
          </w:rPr>
          <w:fldChar w:fldCharType="end"/>
        </w:r>
      </w:p>
    </w:sdtContent>
  </w:sdt>
  <w:p w:rsidR="007612EA" w:rsidRDefault="00761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2EA" w:rsidRDefault="007612EA" w:rsidP="007612EA">
      <w:pPr>
        <w:spacing w:after="0" w:line="240" w:lineRule="auto"/>
      </w:pPr>
      <w:r>
        <w:separator/>
      </w:r>
    </w:p>
  </w:footnote>
  <w:footnote w:type="continuationSeparator" w:id="0">
    <w:p w:rsidR="007612EA" w:rsidRDefault="007612EA" w:rsidP="007612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323A2"/>
    <w:multiLevelType w:val="hybridMultilevel"/>
    <w:tmpl w:val="902C8622"/>
    <w:lvl w:ilvl="0" w:tplc="601A2332">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57"/>
    <w:rsid w:val="00027610"/>
    <w:rsid w:val="00041D27"/>
    <w:rsid w:val="00074F32"/>
    <w:rsid w:val="0007684F"/>
    <w:rsid w:val="000928CC"/>
    <w:rsid w:val="000A0219"/>
    <w:rsid w:val="000A0E44"/>
    <w:rsid w:val="000D331B"/>
    <w:rsid w:val="000E2220"/>
    <w:rsid w:val="00120D23"/>
    <w:rsid w:val="00121877"/>
    <w:rsid w:val="00124130"/>
    <w:rsid w:val="0013055A"/>
    <w:rsid w:val="001335D7"/>
    <w:rsid w:val="00133F0E"/>
    <w:rsid w:val="00135C98"/>
    <w:rsid w:val="00143086"/>
    <w:rsid w:val="00155848"/>
    <w:rsid w:val="001567A6"/>
    <w:rsid w:val="00186A08"/>
    <w:rsid w:val="001B7141"/>
    <w:rsid w:val="001D3FE3"/>
    <w:rsid w:val="001F2F09"/>
    <w:rsid w:val="002160E9"/>
    <w:rsid w:val="0022103D"/>
    <w:rsid w:val="0022365B"/>
    <w:rsid w:val="00223791"/>
    <w:rsid w:val="00270C18"/>
    <w:rsid w:val="0028134E"/>
    <w:rsid w:val="002A6657"/>
    <w:rsid w:val="002D7B3E"/>
    <w:rsid w:val="002F13EA"/>
    <w:rsid w:val="00305F2E"/>
    <w:rsid w:val="003203B8"/>
    <w:rsid w:val="0036160A"/>
    <w:rsid w:val="0039074B"/>
    <w:rsid w:val="003A7FF2"/>
    <w:rsid w:val="003B594C"/>
    <w:rsid w:val="003B7865"/>
    <w:rsid w:val="003C454E"/>
    <w:rsid w:val="003D72CD"/>
    <w:rsid w:val="003E1BCF"/>
    <w:rsid w:val="003E3961"/>
    <w:rsid w:val="00402ED7"/>
    <w:rsid w:val="004041BB"/>
    <w:rsid w:val="0041665F"/>
    <w:rsid w:val="00422232"/>
    <w:rsid w:val="00423F2F"/>
    <w:rsid w:val="004512A2"/>
    <w:rsid w:val="00463EB6"/>
    <w:rsid w:val="00466F0A"/>
    <w:rsid w:val="00474947"/>
    <w:rsid w:val="004D061F"/>
    <w:rsid w:val="004D6A92"/>
    <w:rsid w:val="004E16B9"/>
    <w:rsid w:val="004E1DBE"/>
    <w:rsid w:val="00504156"/>
    <w:rsid w:val="0051142E"/>
    <w:rsid w:val="00515052"/>
    <w:rsid w:val="0053133A"/>
    <w:rsid w:val="0058484C"/>
    <w:rsid w:val="00597F77"/>
    <w:rsid w:val="005B1906"/>
    <w:rsid w:val="005D0582"/>
    <w:rsid w:val="005D5AA5"/>
    <w:rsid w:val="005D5CD3"/>
    <w:rsid w:val="005E0601"/>
    <w:rsid w:val="005F3A72"/>
    <w:rsid w:val="00613A86"/>
    <w:rsid w:val="00623492"/>
    <w:rsid w:val="0064432A"/>
    <w:rsid w:val="006476D7"/>
    <w:rsid w:val="00653FD7"/>
    <w:rsid w:val="00661D66"/>
    <w:rsid w:val="00676E7F"/>
    <w:rsid w:val="006777B5"/>
    <w:rsid w:val="0069299B"/>
    <w:rsid w:val="006947E9"/>
    <w:rsid w:val="006A30F7"/>
    <w:rsid w:val="006D2B97"/>
    <w:rsid w:val="006E3B6E"/>
    <w:rsid w:val="006F29B9"/>
    <w:rsid w:val="006F38F9"/>
    <w:rsid w:val="0070686D"/>
    <w:rsid w:val="007366E0"/>
    <w:rsid w:val="00751D37"/>
    <w:rsid w:val="007612EA"/>
    <w:rsid w:val="00783ED1"/>
    <w:rsid w:val="007F4EDE"/>
    <w:rsid w:val="007F7C39"/>
    <w:rsid w:val="0081401C"/>
    <w:rsid w:val="00817AB2"/>
    <w:rsid w:val="008261A3"/>
    <w:rsid w:val="008310B6"/>
    <w:rsid w:val="008606FB"/>
    <w:rsid w:val="0086124C"/>
    <w:rsid w:val="0087336B"/>
    <w:rsid w:val="008B25B5"/>
    <w:rsid w:val="008C2927"/>
    <w:rsid w:val="00915DEF"/>
    <w:rsid w:val="00930C52"/>
    <w:rsid w:val="00935752"/>
    <w:rsid w:val="009526EE"/>
    <w:rsid w:val="00954157"/>
    <w:rsid w:val="00970761"/>
    <w:rsid w:val="00971847"/>
    <w:rsid w:val="00977936"/>
    <w:rsid w:val="00983488"/>
    <w:rsid w:val="00995D1D"/>
    <w:rsid w:val="009A433D"/>
    <w:rsid w:val="009B3431"/>
    <w:rsid w:val="009B4E44"/>
    <w:rsid w:val="009B5FB8"/>
    <w:rsid w:val="009E7CA9"/>
    <w:rsid w:val="00A0023E"/>
    <w:rsid w:val="00A13032"/>
    <w:rsid w:val="00A132A3"/>
    <w:rsid w:val="00A159CC"/>
    <w:rsid w:val="00A31539"/>
    <w:rsid w:val="00A41C9D"/>
    <w:rsid w:val="00A42D35"/>
    <w:rsid w:val="00A92D4B"/>
    <w:rsid w:val="00AB10ED"/>
    <w:rsid w:val="00AC4358"/>
    <w:rsid w:val="00B0210A"/>
    <w:rsid w:val="00B11DFD"/>
    <w:rsid w:val="00B20017"/>
    <w:rsid w:val="00B470BC"/>
    <w:rsid w:val="00B75856"/>
    <w:rsid w:val="00B9026D"/>
    <w:rsid w:val="00B94D26"/>
    <w:rsid w:val="00BD1F68"/>
    <w:rsid w:val="00BD2745"/>
    <w:rsid w:val="00BF47C8"/>
    <w:rsid w:val="00C035FB"/>
    <w:rsid w:val="00C12321"/>
    <w:rsid w:val="00C13534"/>
    <w:rsid w:val="00C2602B"/>
    <w:rsid w:val="00C362BE"/>
    <w:rsid w:val="00C508DF"/>
    <w:rsid w:val="00C56E1B"/>
    <w:rsid w:val="00C71391"/>
    <w:rsid w:val="00C959CA"/>
    <w:rsid w:val="00C95A43"/>
    <w:rsid w:val="00D016B9"/>
    <w:rsid w:val="00D0664F"/>
    <w:rsid w:val="00D1174C"/>
    <w:rsid w:val="00D24650"/>
    <w:rsid w:val="00D52750"/>
    <w:rsid w:val="00D66460"/>
    <w:rsid w:val="00D81856"/>
    <w:rsid w:val="00D86E5A"/>
    <w:rsid w:val="00DC3F2A"/>
    <w:rsid w:val="00DD6187"/>
    <w:rsid w:val="00DF0648"/>
    <w:rsid w:val="00DF21F0"/>
    <w:rsid w:val="00E2167B"/>
    <w:rsid w:val="00E27035"/>
    <w:rsid w:val="00E33960"/>
    <w:rsid w:val="00E75A1E"/>
    <w:rsid w:val="00E832AC"/>
    <w:rsid w:val="00E917D6"/>
    <w:rsid w:val="00EB58CC"/>
    <w:rsid w:val="00F11777"/>
    <w:rsid w:val="00F201F9"/>
    <w:rsid w:val="00F20771"/>
    <w:rsid w:val="00F26CCF"/>
    <w:rsid w:val="00FB36E2"/>
    <w:rsid w:val="00FD7853"/>
    <w:rsid w:val="00FE3BFD"/>
    <w:rsid w:val="00FF19A7"/>
    <w:rsid w:val="00FF2A3F"/>
    <w:rsid w:val="00FF4B00"/>
    <w:rsid w:val="00FF73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E18AB-DC58-4DE6-85CA-3BEF0C81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1A3"/>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53133A"/>
    <w:pPr>
      <w:keepNext/>
      <w:suppressAutoHyphens/>
      <w:spacing w:after="0" w:line="240" w:lineRule="auto"/>
      <w:jc w:val="center"/>
      <w:outlineLvl w:val="0"/>
    </w:pPr>
    <w:rPr>
      <w:rFonts w:ascii="Times New Roman" w:eastAsia="Times New Roman" w:hAnsi="Times New Roman"/>
      <w:b/>
      <w:sz w:val="24"/>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133A"/>
    <w:rPr>
      <w:rFonts w:ascii="Times New Roman" w:eastAsia="Times New Roman" w:hAnsi="Times New Roman" w:cs="Times New Roman"/>
      <w:b/>
      <w:sz w:val="24"/>
      <w:szCs w:val="20"/>
      <w:lang w:val="x-none" w:eastAsia="ar-SA"/>
    </w:rPr>
  </w:style>
  <w:style w:type="paragraph" w:styleId="NormalWeb">
    <w:name w:val="Normal (Web)"/>
    <w:basedOn w:val="Normal"/>
    <w:link w:val="NormalWebChar"/>
    <w:uiPriority w:val="99"/>
    <w:rsid w:val="0053133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locked/>
    <w:rsid w:val="0053133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61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24C"/>
    <w:rPr>
      <w:rFonts w:ascii="Segoe UI" w:eastAsia="Calibri" w:hAnsi="Segoe UI" w:cs="Segoe UI"/>
      <w:sz w:val="18"/>
      <w:szCs w:val="18"/>
    </w:rPr>
  </w:style>
  <w:style w:type="table" w:styleId="TableGrid">
    <w:name w:val="Table Grid"/>
    <w:basedOn w:val="TableNormal"/>
    <w:uiPriority w:val="59"/>
    <w:rsid w:val="0069299B"/>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2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12EA"/>
    <w:rPr>
      <w:rFonts w:ascii="Calibri" w:eastAsia="Calibri" w:hAnsi="Calibri" w:cs="Times New Roman"/>
    </w:rPr>
  </w:style>
  <w:style w:type="paragraph" w:styleId="Footer">
    <w:name w:val="footer"/>
    <w:basedOn w:val="Normal"/>
    <w:link w:val="FooterChar"/>
    <w:uiPriority w:val="99"/>
    <w:unhideWhenUsed/>
    <w:rsid w:val="007612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12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2323</Words>
  <Characters>21799</Characters>
  <Application>Microsoft Office Word</Application>
  <DocSecurity>0</DocSecurity>
  <Lines>1676</Lines>
  <Paragraphs>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Stabiņa</dc:creator>
  <cp:keywords/>
  <dc:description/>
  <cp:lastModifiedBy>Lāsma Stabiņa</cp:lastModifiedBy>
  <cp:revision>3</cp:revision>
  <cp:lastPrinted>2017-12-27T11:50:00Z</cp:lastPrinted>
  <dcterms:created xsi:type="dcterms:W3CDTF">2018-03-07T08:20:00Z</dcterms:created>
  <dcterms:modified xsi:type="dcterms:W3CDTF">2018-03-07T10:35:00Z</dcterms:modified>
</cp:coreProperties>
</file>