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11" w:type="dxa"/>
        <w:tblInd w:w="-147" w:type="dxa"/>
        <w:tblLook w:val="0000" w:firstRow="0" w:lastRow="0" w:firstColumn="0" w:lastColumn="0" w:noHBand="0" w:noVBand="0"/>
      </w:tblPr>
      <w:tblGrid>
        <w:gridCol w:w="3915"/>
        <w:gridCol w:w="4596"/>
      </w:tblGrid>
      <w:tr w:rsidR="00A962B8" w:rsidTr="00C8288F">
        <w:trPr>
          <w:trHeight w:val="558"/>
        </w:trPr>
        <w:tc>
          <w:tcPr>
            <w:tcW w:w="3915" w:type="dxa"/>
          </w:tcPr>
          <w:p w:rsidR="00C8288F" w:rsidRDefault="005F0C00" w:rsidP="00C8288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8288F">
              <w:rPr>
                <w:rFonts w:ascii="Times New Roman" w:hAnsi="Times New Roman" w:cs="Times New Roman"/>
                <w:noProof/>
                <w:sz w:val="28"/>
                <w:szCs w:val="28"/>
              </w:rPr>
              <w:t>08.03.2023</w:t>
            </w:r>
          </w:p>
        </w:tc>
        <w:tc>
          <w:tcPr>
            <w:tcW w:w="4596" w:type="dxa"/>
          </w:tcPr>
          <w:p w:rsidR="00C8288F" w:rsidRDefault="005F0C00" w:rsidP="00C8288F">
            <w:pPr>
              <w:ind w:left="126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288F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Pr="00C8288F">
              <w:rPr>
                <w:rFonts w:ascii="Times New Roman" w:hAnsi="Times New Roman" w:cs="Times New Roman"/>
                <w:noProof/>
                <w:sz w:val="28"/>
                <w:szCs w:val="28"/>
              </w:rPr>
              <w:t>1-49/5</w:t>
            </w:r>
          </w:p>
        </w:tc>
      </w:tr>
    </w:tbl>
    <w:p w:rsidR="003C6562" w:rsidRDefault="003C6562" w:rsidP="00C8288F">
      <w:pPr>
        <w:rPr>
          <w:rFonts w:ascii="Times New Roman" w:hAnsi="Times New Roman" w:cs="Times New Roman"/>
          <w:sz w:val="28"/>
          <w:szCs w:val="28"/>
        </w:rPr>
      </w:pPr>
    </w:p>
    <w:p w:rsidR="005F0C00" w:rsidRDefault="005F0C00" w:rsidP="00C828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907" w:rsidRPr="00DC32E7" w:rsidRDefault="005F0C00" w:rsidP="0061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ZIŅOJUMS (Analītiskais pārskats)</w:t>
      </w:r>
    </w:p>
    <w:p w:rsidR="00611907" w:rsidRPr="008025B6" w:rsidRDefault="005F0C00" w:rsidP="0061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5B6">
        <w:rPr>
          <w:rFonts w:ascii="Times New Roman" w:hAnsi="Times New Roman"/>
          <w:b/>
          <w:sz w:val="28"/>
          <w:szCs w:val="28"/>
        </w:rPr>
        <w:t>par Iekšlietu ministrijas un Iekšlietu ministrijas padotībā esošo iestāžu disciplināro praksi 202</w:t>
      </w:r>
      <w:r>
        <w:rPr>
          <w:rFonts w:ascii="Times New Roman" w:hAnsi="Times New Roman"/>
          <w:b/>
          <w:sz w:val="28"/>
          <w:szCs w:val="28"/>
        </w:rPr>
        <w:t>2</w:t>
      </w:r>
      <w:r w:rsidRPr="008025B6">
        <w:rPr>
          <w:rFonts w:ascii="Times New Roman" w:hAnsi="Times New Roman"/>
          <w:b/>
          <w:sz w:val="28"/>
          <w:szCs w:val="28"/>
        </w:rPr>
        <w:t>. gadā</w:t>
      </w:r>
    </w:p>
    <w:p w:rsidR="00611907" w:rsidRDefault="00611907" w:rsidP="00611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907" w:rsidRDefault="005F0C00" w:rsidP="00611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Pamatojoties uz Iekšlietu ministrijas (turpmāk – IeM) 2017. gada 3. augusta iekšējo </w:t>
      </w:r>
      <w:r>
        <w:rPr>
          <w:rFonts w:ascii="Times New Roman" w:eastAsia="Times New Roman" w:hAnsi="Times New Roman"/>
          <w:sz w:val="28"/>
          <w:szCs w:val="28"/>
        </w:rPr>
        <w:t>noteikumu Nr.1-10/25 “Disciplinārās prakses datu apstrādes kārtība” 27.punktā noteikto, saskaņā ar IeM padotībā esošajās iestādēs apkopotajiem 2022. gada disciplinārās prakses datiem (iesniegtajiem disciplinārās prakses pārskatiem) IeM Personāla vadības un</w:t>
      </w:r>
      <w:r>
        <w:rPr>
          <w:rFonts w:ascii="Times New Roman" w:eastAsia="Times New Roman" w:hAnsi="Times New Roman"/>
          <w:sz w:val="28"/>
          <w:szCs w:val="28"/>
        </w:rPr>
        <w:t xml:space="preserve"> administratīvā departamenta Personāla vadības nodaļa ir sagatavojusi IeM un IeM padotībā esošo iestāžu (iekšlietu resora) 2022. gada disciplinārās prakses pārskatus:</w:t>
      </w:r>
    </w:p>
    <w:p w:rsidR="00611907" w:rsidRDefault="005F0C00" w:rsidP="006119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par </w:t>
      </w:r>
      <w:r w:rsidRPr="000143A6">
        <w:rPr>
          <w:rFonts w:ascii="Times New Roman" w:eastAsia="Times New Roman" w:hAnsi="Times New Roman"/>
          <w:sz w:val="28"/>
          <w:szCs w:val="28"/>
        </w:rPr>
        <w:t>nodarbinātajiem piešķirtajiem apbalvojumiem un piemērotajiem disciplinārsodiem;</w:t>
      </w:r>
    </w:p>
    <w:p w:rsidR="00611907" w:rsidRDefault="005F0C00" w:rsidP="006119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par p</w:t>
      </w:r>
      <w:r>
        <w:rPr>
          <w:rFonts w:ascii="Times New Roman" w:eastAsia="Times New Roman" w:hAnsi="Times New Roman"/>
          <w:sz w:val="28"/>
          <w:szCs w:val="28"/>
        </w:rPr>
        <w:t>ieņemtajiem lēmumiem par disciplinārlietas ierosināšanu, disciplinārlietas izbeigšanu un disciplinārsoda piemērošanu un lēmumu par disciplinārsoda piemērošanu apstrīdēšanu un pārsūdzēšanu;</w:t>
      </w:r>
    </w:p>
    <w:p w:rsidR="00611907" w:rsidRPr="000143A6" w:rsidRDefault="005F0C00" w:rsidP="006119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par konstatētajiem nodarbināto izdarītajiem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disciplinārpārkāpumiem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11907" w:rsidRDefault="00611907" w:rsidP="006119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Minēto pārskatu dati salīdzinājumā ar iepriekšējā pārskata perioda (2021. gads) attiecīgajiem datiem liecina par </w:t>
      </w:r>
      <w:r w:rsidRPr="003B19FD">
        <w:rPr>
          <w:rFonts w:ascii="Times New Roman" w:eastAsia="Times New Roman" w:hAnsi="Times New Roman"/>
          <w:sz w:val="28"/>
          <w:szCs w:val="28"/>
        </w:rPr>
        <w:t>šād</w:t>
      </w:r>
      <w:r>
        <w:rPr>
          <w:rFonts w:ascii="Times New Roman" w:eastAsia="Times New Roman" w:hAnsi="Times New Roman"/>
          <w:sz w:val="28"/>
          <w:szCs w:val="28"/>
        </w:rPr>
        <w:t>iem iekšlietu resora 2022. gada disciplināro praksi raksturojošiem faktiem: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F8207C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Aizdomās par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izdarīšanu pret iekšlietu resorā nodarbinātajiem </w:t>
      </w:r>
      <w:r w:rsidRPr="00E15018">
        <w:rPr>
          <w:rFonts w:ascii="Times New Roman" w:eastAsia="Times New Roman" w:hAnsi="Times New Roman"/>
          <w:b/>
          <w:sz w:val="28"/>
          <w:szCs w:val="28"/>
        </w:rPr>
        <w:t>ierosināto disciplinārlietu skaits: 273 disciplinārlietas, samazinājies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5018">
        <w:rPr>
          <w:rFonts w:ascii="Times New Roman" w:eastAsia="Times New Roman" w:hAnsi="Times New Roman"/>
          <w:b/>
          <w:sz w:val="28"/>
          <w:szCs w:val="28"/>
        </w:rPr>
        <w:t>par 10,2%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304 disciplinārlietas). Savukārt šajā pašā laika posmā </w:t>
      </w:r>
      <w:r w:rsidRPr="00E15018">
        <w:rPr>
          <w:rFonts w:ascii="Times New Roman" w:eastAsia="Times New Roman" w:hAnsi="Times New Roman"/>
          <w:b/>
          <w:sz w:val="28"/>
          <w:szCs w:val="28"/>
        </w:rPr>
        <w:t>izbeigto disciplinārlietu skaits: 74 disciplinārlietas,</w:t>
      </w:r>
      <w:r w:rsidRPr="00E15018">
        <w:rPr>
          <w:rFonts w:ascii="Times New Roman" w:eastAsia="Times New Roman" w:hAnsi="Times New Roman"/>
          <w:b/>
          <w:sz w:val="28"/>
          <w:szCs w:val="28"/>
        </w:rPr>
        <w:t xml:space="preserve">  palielinājies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5018">
        <w:rPr>
          <w:rFonts w:ascii="Times New Roman" w:eastAsia="Times New Roman" w:hAnsi="Times New Roman"/>
          <w:b/>
          <w:sz w:val="28"/>
          <w:szCs w:val="28"/>
        </w:rPr>
        <w:t xml:space="preserve">par 10,44% </w:t>
      </w:r>
      <w:r>
        <w:rPr>
          <w:rFonts w:ascii="Times New Roman" w:eastAsia="Times New Roman" w:hAnsi="Times New Roman"/>
          <w:sz w:val="28"/>
          <w:szCs w:val="28"/>
        </w:rPr>
        <w:t xml:space="preserve">(2021. gadā 67 disciplinārlietas). No kopējā izbeigto disciplinārlietu skaita 20,27% gadījumu </w:t>
      </w:r>
      <w:r w:rsidRPr="00EA6F4F">
        <w:rPr>
          <w:rFonts w:ascii="Times New Roman" w:eastAsia="Times New Roman" w:hAnsi="Times New Roman"/>
          <w:b/>
          <w:sz w:val="28"/>
          <w:szCs w:val="28"/>
        </w:rPr>
        <w:t xml:space="preserve">disciplinārlieta izbeigta, jo netika konstatēts </w:t>
      </w:r>
      <w:proofErr w:type="spellStart"/>
      <w:r w:rsidRPr="00EA6F4F">
        <w:rPr>
          <w:rFonts w:ascii="Times New Roman" w:eastAsia="Times New Roman" w:hAnsi="Times New Roman"/>
          <w:b/>
          <w:sz w:val="28"/>
          <w:szCs w:val="28"/>
        </w:rPr>
        <w:t>disciplinārpārkāpuma</w:t>
      </w:r>
      <w:proofErr w:type="spellEnd"/>
      <w:r w:rsidRPr="00EA6F4F">
        <w:rPr>
          <w:rFonts w:ascii="Times New Roman" w:eastAsia="Times New Roman" w:hAnsi="Times New Roman"/>
          <w:b/>
          <w:sz w:val="28"/>
          <w:szCs w:val="28"/>
        </w:rPr>
        <w:t xml:space="preserve"> sastāvs</w:t>
      </w:r>
      <w:r>
        <w:rPr>
          <w:rFonts w:ascii="Times New Roman" w:eastAsia="Times New Roman" w:hAnsi="Times New Roman"/>
          <w:sz w:val="28"/>
          <w:szCs w:val="28"/>
        </w:rPr>
        <w:t xml:space="preserve">, kas ir </w:t>
      </w:r>
      <w:r w:rsidRPr="00EA6F4F">
        <w:rPr>
          <w:rFonts w:ascii="Times New Roman" w:eastAsia="Times New Roman" w:hAnsi="Times New Roman"/>
          <w:b/>
          <w:sz w:val="28"/>
          <w:szCs w:val="28"/>
        </w:rPr>
        <w:t xml:space="preserve">par 14,06 procentpunktiem mazāk </w:t>
      </w:r>
      <w:r w:rsidRPr="0024101D">
        <w:rPr>
          <w:rFonts w:ascii="Times New Roman" w:eastAsia="Times New Roman" w:hAnsi="Times New Roman"/>
          <w:sz w:val="28"/>
          <w:szCs w:val="28"/>
        </w:rPr>
        <w:t>nekā iepriekšējā p</w:t>
      </w:r>
      <w:r w:rsidRPr="0024101D">
        <w:rPr>
          <w:rFonts w:ascii="Times New Roman" w:eastAsia="Times New Roman" w:hAnsi="Times New Roman"/>
          <w:sz w:val="28"/>
          <w:szCs w:val="28"/>
        </w:rPr>
        <w:t>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34,33% gadījumu disciplinārlieta izbeigta, jo netika konstatēts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sastāvs). </w:t>
      </w:r>
    </w:p>
    <w:p w:rsidR="00611907" w:rsidRPr="003F297F" w:rsidRDefault="00611907" w:rsidP="00611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42104D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Kopējais konstatēto </w:t>
      </w:r>
      <w:proofErr w:type="spellStart"/>
      <w:r w:rsidRPr="002C5A5A">
        <w:rPr>
          <w:rFonts w:ascii="Times New Roman" w:eastAsia="Times New Roman" w:hAnsi="Times New Roman"/>
          <w:b/>
          <w:sz w:val="28"/>
          <w:szCs w:val="28"/>
        </w:rPr>
        <w:t>disciplinārpārkāpumu</w:t>
      </w:r>
      <w:proofErr w:type="spellEnd"/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5018">
        <w:rPr>
          <w:rFonts w:ascii="Times New Roman" w:eastAsia="Times New Roman" w:hAnsi="Times New Roman"/>
          <w:b/>
          <w:sz w:val="28"/>
          <w:szCs w:val="28"/>
        </w:rPr>
        <w:t xml:space="preserve">902 </w:t>
      </w:r>
      <w:proofErr w:type="spellStart"/>
      <w:r w:rsidRPr="00E15018">
        <w:rPr>
          <w:rFonts w:ascii="Times New Roman" w:eastAsia="Times New Roman" w:hAnsi="Times New Roman"/>
          <w:b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no kuriem  767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(85%) izdarīti, pild</w:t>
      </w:r>
      <w:r>
        <w:rPr>
          <w:rFonts w:ascii="Times New Roman" w:eastAsia="Times New Roman" w:hAnsi="Times New Roman"/>
          <w:sz w:val="28"/>
          <w:szCs w:val="28"/>
        </w:rPr>
        <w:t xml:space="preserve">ot dienesta pienākumus, bet 135 – nepildot dienesta pienākumus, </w:t>
      </w:r>
      <w:r>
        <w:rPr>
          <w:rFonts w:ascii="Times New Roman" w:eastAsia="Times New Roman" w:hAnsi="Times New Roman"/>
          <w:b/>
          <w:sz w:val="28"/>
          <w:szCs w:val="28"/>
        </w:rPr>
        <w:t>p</w:t>
      </w:r>
      <w:r w:rsidRPr="008D3DBD">
        <w:rPr>
          <w:rFonts w:ascii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eastAsia="Times New Roman" w:hAnsi="Times New Roman"/>
          <w:b/>
          <w:sz w:val="28"/>
          <w:szCs w:val="28"/>
        </w:rPr>
        <w:t>lielinā</w:t>
      </w:r>
      <w:r w:rsidRPr="008D3DBD">
        <w:rPr>
          <w:rFonts w:ascii="Times New Roman" w:eastAsia="Times New Roman" w:hAnsi="Times New Roman"/>
          <w:b/>
          <w:sz w:val="28"/>
          <w:szCs w:val="28"/>
        </w:rPr>
        <w:t xml:space="preserve">jies par </w:t>
      </w:r>
      <w:r>
        <w:rPr>
          <w:rFonts w:ascii="Times New Roman" w:eastAsia="Times New Roman" w:hAnsi="Times New Roman"/>
          <w:b/>
          <w:sz w:val="28"/>
          <w:szCs w:val="28"/>
        </w:rPr>
        <w:t>6,75</w:t>
      </w:r>
      <w:r w:rsidRPr="008D3DBD">
        <w:rPr>
          <w:rFonts w:ascii="Times New Roman" w:eastAsia="Times New Roman" w:hAnsi="Times New Roman"/>
          <w:b/>
          <w:sz w:val="28"/>
          <w:szCs w:val="28"/>
        </w:rPr>
        <w:t>%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42104D">
        <w:rPr>
          <w:rFonts w:ascii="Times New Roman" w:eastAsia="Times New Roman" w:hAnsi="Times New Roman"/>
          <w:sz w:val="28"/>
          <w:szCs w:val="28"/>
        </w:rPr>
        <w:t>. gadā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845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2104D"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no kuriem 712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(84,26%) izdarīti, pildot dienesta pienākumus, bet 133 – nepildot dienesta pienākumus</w:t>
      </w:r>
      <w:r w:rsidRPr="0042104D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).  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DB1FD0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Kopējais a</w:t>
      </w:r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preibinošo vielu iespaidā izdarīto </w:t>
      </w:r>
      <w:proofErr w:type="spellStart"/>
      <w:r w:rsidRPr="002C5A5A">
        <w:rPr>
          <w:rFonts w:ascii="Times New Roman" w:eastAsia="Times New Roman" w:hAnsi="Times New Roman"/>
          <w:b/>
          <w:sz w:val="28"/>
          <w:szCs w:val="28"/>
        </w:rPr>
        <w:t>disciplinārpārkāpumu</w:t>
      </w:r>
      <w:proofErr w:type="spellEnd"/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1FD0">
        <w:rPr>
          <w:rFonts w:ascii="Times New Roman" w:eastAsia="Times New Roman" w:hAnsi="Times New Roman"/>
          <w:b/>
          <w:sz w:val="28"/>
          <w:szCs w:val="28"/>
        </w:rPr>
        <w:t xml:space="preserve">34 </w:t>
      </w:r>
      <w:proofErr w:type="spellStart"/>
      <w:r w:rsidRPr="00DB1FD0">
        <w:rPr>
          <w:rFonts w:ascii="Times New Roman" w:eastAsia="Times New Roman" w:hAnsi="Times New Roman"/>
          <w:b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 sastāda 3,78%,  kas ir nedaudz – </w:t>
      </w:r>
      <w:r w:rsidRPr="004A6B77">
        <w:rPr>
          <w:rFonts w:ascii="Times New Roman" w:eastAsia="Times New Roman" w:hAnsi="Times New Roman"/>
          <w:b/>
          <w:sz w:val="28"/>
          <w:szCs w:val="28"/>
        </w:rPr>
        <w:t>par 0,7 procentpunktiem, vairāk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1FD0">
        <w:rPr>
          <w:rFonts w:ascii="Times New Roman" w:eastAsia="Times New Roman" w:hAnsi="Times New Roman"/>
          <w:b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</w:t>
      </w:r>
      <w:r>
        <w:rPr>
          <w:rFonts w:ascii="Times New Roman" w:eastAsia="Times New Roman" w:hAnsi="Times New Roman"/>
          <w:sz w:val="28"/>
          <w:szCs w:val="28"/>
        </w:rPr>
        <w:t xml:space="preserve">dā – 26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; 3,08%). Tomēr </w:t>
      </w:r>
      <w:r w:rsidRPr="008E0E7F">
        <w:rPr>
          <w:rFonts w:ascii="Times New Roman" w:eastAsia="Times New Roman" w:hAnsi="Times New Roman"/>
          <w:b/>
          <w:sz w:val="28"/>
          <w:szCs w:val="28"/>
        </w:rPr>
        <w:t xml:space="preserve">ievērojami palielinājies šādu </w:t>
      </w:r>
      <w:proofErr w:type="spellStart"/>
      <w:r w:rsidRPr="008E0E7F">
        <w:rPr>
          <w:rFonts w:ascii="Times New Roman" w:eastAsia="Times New Roman" w:hAnsi="Times New Roman"/>
          <w:b/>
          <w:sz w:val="28"/>
          <w:szCs w:val="28"/>
        </w:rPr>
        <w:t>disciplinārpārkāpumu</w:t>
      </w:r>
      <w:proofErr w:type="spellEnd"/>
      <w:r w:rsidRPr="008E0E7F">
        <w:rPr>
          <w:rFonts w:ascii="Times New Roman" w:eastAsia="Times New Roman" w:hAnsi="Times New Roman"/>
          <w:b/>
          <w:sz w:val="28"/>
          <w:szCs w:val="28"/>
        </w:rPr>
        <w:t xml:space="preserve"> skaits, kas izdarīti, pildot dienesta pienākumus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B1FD0">
        <w:rPr>
          <w:rFonts w:ascii="Times New Roman" w:eastAsia="Times New Roman" w:hAnsi="Times New Roman"/>
          <w:b/>
          <w:sz w:val="28"/>
          <w:szCs w:val="28"/>
        </w:rPr>
        <w:t xml:space="preserve">– 8 </w:t>
      </w:r>
      <w:proofErr w:type="spellStart"/>
      <w:r w:rsidRPr="00DB1FD0">
        <w:rPr>
          <w:rFonts w:ascii="Times New Roman" w:eastAsia="Times New Roman" w:hAnsi="Times New Roman"/>
          <w:b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(2021. gadā – 1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disciplinārpārkāpums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), bet šādu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skaits, kas izdarī</w:t>
      </w:r>
      <w:r>
        <w:rPr>
          <w:rFonts w:ascii="Times New Roman" w:eastAsia="Times New Roman" w:hAnsi="Times New Roman"/>
          <w:sz w:val="28"/>
          <w:szCs w:val="28"/>
        </w:rPr>
        <w:t xml:space="preserve">ti, nepildot dienesta pienākumus – 26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palielinājies minimāli (2021. gadā – 25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652B8B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01D">
        <w:rPr>
          <w:rFonts w:ascii="Times New Roman" w:eastAsia="Times New Roman" w:hAnsi="Times New Roman"/>
          <w:b/>
          <w:sz w:val="28"/>
          <w:szCs w:val="28"/>
        </w:rPr>
        <w:t xml:space="preserve">Par </w:t>
      </w:r>
      <w:proofErr w:type="spellStart"/>
      <w:r w:rsidRPr="0024101D">
        <w:rPr>
          <w:rFonts w:ascii="Times New Roman" w:eastAsia="Times New Roman" w:hAnsi="Times New Roman"/>
          <w:b/>
          <w:sz w:val="28"/>
          <w:szCs w:val="28"/>
        </w:rPr>
        <w:t>disciplinārpārkāpuma</w:t>
      </w:r>
      <w:proofErr w:type="spellEnd"/>
      <w:r w:rsidRPr="0024101D">
        <w:rPr>
          <w:rFonts w:ascii="Times New Roman" w:eastAsia="Times New Roman" w:hAnsi="Times New Roman"/>
          <w:b/>
          <w:sz w:val="28"/>
          <w:szCs w:val="28"/>
        </w:rPr>
        <w:t xml:space="preserve"> izdarīšanu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611907" w:rsidRDefault="005F0C00" w:rsidP="00611907">
      <w:pPr>
        <w:pStyle w:val="ListParagraph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57A3A">
        <w:rPr>
          <w:rFonts w:ascii="Times New Roman" w:eastAsia="Times New Roman" w:hAnsi="Times New Roman"/>
          <w:b/>
          <w:sz w:val="28"/>
          <w:szCs w:val="28"/>
        </w:rPr>
        <w:t>310 gadījumos piemērots disciplinārsods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 sastāda 34,27% un ir </w:t>
      </w:r>
      <w:r w:rsidRPr="00C57A3A">
        <w:rPr>
          <w:rFonts w:ascii="Times New Roman" w:eastAsia="Times New Roman" w:hAnsi="Times New Roman"/>
          <w:b/>
          <w:sz w:val="28"/>
          <w:szCs w:val="28"/>
        </w:rPr>
        <w:t xml:space="preserve">par 3,03 procentpunktiem mazāk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316 disciplinārsodi; 37,4%);</w:t>
      </w:r>
    </w:p>
    <w:p w:rsidR="00611907" w:rsidRDefault="005F0C00" w:rsidP="00611907">
      <w:pPr>
        <w:pStyle w:val="ListParagraph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57A3A">
        <w:rPr>
          <w:rFonts w:ascii="Times New Roman" w:eastAsia="Times New Roman" w:hAnsi="Times New Roman"/>
          <w:b/>
          <w:sz w:val="28"/>
          <w:szCs w:val="28"/>
        </w:rPr>
        <w:t>557 gadījumos izteikts aizrādījums</w:t>
      </w:r>
      <w:r>
        <w:rPr>
          <w:rFonts w:ascii="Times New Roman" w:eastAsia="Times New Roman" w:hAnsi="Times New Roman"/>
          <w:sz w:val="28"/>
          <w:szCs w:val="28"/>
        </w:rPr>
        <w:t xml:space="preserve"> (529 gadījumos aizrādījums izteikts, neierosinot disciplinārlietu un 28 gadījumos – </w:t>
      </w:r>
      <w:r>
        <w:rPr>
          <w:rFonts w:ascii="Times New Roman" w:eastAsia="Times New Roman" w:hAnsi="Times New Roman"/>
          <w:sz w:val="28"/>
          <w:szCs w:val="28"/>
        </w:rPr>
        <w:t xml:space="preserve">izbeidzot disciplinārlietu), kas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 sastāda 61,75% un ir </w:t>
      </w:r>
      <w:r w:rsidRPr="00C57A3A">
        <w:rPr>
          <w:rFonts w:ascii="Times New Roman" w:eastAsia="Times New Roman" w:hAnsi="Times New Roman"/>
          <w:b/>
          <w:sz w:val="28"/>
          <w:szCs w:val="28"/>
        </w:rPr>
        <w:t xml:space="preserve">par 0,75 procentpunktiem vairāk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515 aizrādījumi; 61%);</w:t>
      </w:r>
    </w:p>
    <w:p w:rsidR="00611907" w:rsidRPr="00F8207C" w:rsidRDefault="005F0C00" w:rsidP="00611907">
      <w:pPr>
        <w:pStyle w:val="ListParagraph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35 gadījumos disciplinārās ietekmēšanas līdzeklis </w:t>
      </w:r>
      <w:r>
        <w:rPr>
          <w:rFonts w:ascii="Times New Roman" w:eastAsia="Times New Roman" w:hAnsi="Times New Roman"/>
          <w:b/>
          <w:sz w:val="28"/>
          <w:szCs w:val="28"/>
        </w:rPr>
        <w:t>nav piemērots</w:t>
      </w:r>
      <w:r>
        <w:rPr>
          <w:rFonts w:ascii="Times New Roman" w:eastAsia="Times New Roman" w:hAnsi="Times New Roman"/>
          <w:sz w:val="28"/>
          <w:szCs w:val="28"/>
        </w:rPr>
        <w:t xml:space="preserve"> (31 gadījumā sakarā ar dienesta (darba) attiecību izbeigšanos)), kas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 sastāda 3,88% un ir </w:t>
      </w:r>
      <w:r w:rsidRPr="00C57A3A">
        <w:rPr>
          <w:rFonts w:ascii="Times New Roman" w:eastAsia="Times New Roman" w:hAnsi="Times New Roman"/>
          <w:b/>
          <w:sz w:val="28"/>
          <w:szCs w:val="28"/>
        </w:rPr>
        <w:t xml:space="preserve">par </w:t>
      </w:r>
      <w:r>
        <w:rPr>
          <w:rFonts w:ascii="Times New Roman" w:eastAsia="Times New Roman" w:hAnsi="Times New Roman"/>
          <w:b/>
          <w:sz w:val="28"/>
          <w:szCs w:val="28"/>
        </w:rPr>
        <w:t>2,22</w:t>
      </w:r>
      <w:r w:rsidRPr="00C57A3A">
        <w:rPr>
          <w:rFonts w:ascii="Times New Roman" w:eastAsia="Times New Roman" w:hAnsi="Times New Roman"/>
          <w:b/>
          <w:sz w:val="28"/>
          <w:szCs w:val="28"/>
        </w:rPr>
        <w:t xml:space="preserve"> procentpunktiem vairāk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14 gadījumi; 1,66%).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802C83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b/>
          <w:sz w:val="28"/>
          <w:szCs w:val="28"/>
        </w:rPr>
        <w:t>Di</w:t>
      </w:r>
      <w:r w:rsidRPr="00E9134E">
        <w:rPr>
          <w:rFonts w:ascii="Times New Roman" w:eastAsia="Times New Roman" w:hAnsi="Times New Roman"/>
          <w:b/>
          <w:sz w:val="28"/>
          <w:szCs w:val="28"/>
        </w:rPr>
        <w:t>sciplinārsodi piemēroti</w:t>
      </w:r>
      <w:r>
        <w:rPr>
          <w:rFonts w:ascii="Times New Roman" w:eastAsia="Times New Roman" w:hAnsi="Times New Roman"/>
          <w:sz w:val="28"/>
          <w:szCs w:val="28"/>
        </w:rPr>
        <w:t xml:space="preserve"> šādām nodarbināto kategorijām</w:t>
      </w:r>
      <w:r w:rsidRPr="00802C83">
        <w:rPr>
          <w:rFonts w:ascii="Times New Roman" w:eastAsia="Times New Roman" w:hAnsi="Times New Roman"/>
          <w:sz w:val="28"/>
          <w:szCs w:val="28"/>
        </w:rPr>
        <w:t>:</w:t>
      </w:r>
    </w:p>
    <w:p w:rsidR="00611907" w:rsidRPr="00C86101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b/>
          <w:sz w:val="28"/>
          <w:szCs w:val="28"/>
        </w:rPr>
        <w:t>amatpersonām ar speciālajām dienesta pakāpēm – 288 gadījumos</w:t>
      </w:r>
      <w:r w:rsidRPr="00802C83">
        <w:rPr>
          <w:rFonts w:ascii="Times New Roman" w:eastAsia="Times New Roman" w:hAnsi="Times New Roman"/>
          <w:sz w:val="28"/>
          <w:szCs w:val="28"/>
        </w:rPr>
        <w:t>, t.sk., instruktoriem – 1</w:t>
      </w:r>
      <w:r>
        <w:rPr>
          <w:rFonts w:ascii="Times New Roman" w:eastAsia="Times New Roman" w:hAnsi="Times New Roman"/>
          <w:sz w:val="28"/>
          <w:szCs w:val="28"/>
        </w:rPr>
        <w:t>47</w:t>
      </w:r>
      <w:r w:rsidRPr="00802C83">
        <w:rPr>
          <w:rFonts w:ascii="Times New Roman" w:eastAsia="Times New Roman" w:hAnsi="Times New Roman"/>
          <w:sz w:val="28"/>
          <w:szCs w:val="28"/>
        </w:rPr>
        <w:t xml:space="preserve"> gadījumos, un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virsniekiem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C8610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41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gadījumā, </w:t>
      </w:r>
      <w:r w:rsidRPr="00C86101">
        <w:rPr>
          <w:rFonts w:ascii="Times New Roman" w:eastAsia="Times New Roman" w:hAnsi="Times New Roman"/>
          <w:sz w:val="28"/>
          <w:szCs w:val="28"/>
        </w:rPr>
        <w:t>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298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gadījumos, t.sk.,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instruktoriem </w:t>
      </w:r>
      <w:r>
        <w:rPr>
          <w:rFonts w:ascii="Times New Roman" w:eastAsia="Times New Roman" w:hAnsi="Times New Roman"/>
          <w:sz w:val="28"/>
          <w:szCs w:val="28"/>
        </w:rPr>
        <w:t>– 153 gadījumos,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un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virsniekiem </w:t>
      </w:r>
      <w:r>
        <w:rPr>
          <w:rFonts w:ascii="Times New Roman" w:eastAsia="Times New Roman" w:hAnsi="Times New Roman"/>
          <w:sz w:val="28"/>
          <w:szCs w:val="28"/>
        </w:rPr>
        <w:t>– 145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>);</w:t>
      </w:r>
    </w:p>
    <w:p w:rsidR="00611907" w:rsidRPr="00C86101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b/>
          <w:sz w:val="28"/>
          <w:szCs w:val="28"/>
        </w:rPr>
        <w:t>darbiniekiem, ar kuriem noslēgts darba līgums – 19 gadījumos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. gadā – 17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>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b/>
          <w:sz w:val="28"/>
          <w:szCs w:val="28"/>
        </w:rPr>
        <w:t>valsts civildienesta ierēdņiem – 3 gadījumos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86101">
        <w:rPr>
          <w:rFonts w:ascii="Times New Roman" w:eastAsia="Times New Roman" w:hAnsi="Times New Roman"/>
          <w:sz w:val="28"/>
          <w:szCs w:val="28"/>
        </w:rPr>
        <w:t>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C86101">
        <w:rPr>
          <w:rFonts w:ascii="Times New Roman" w:eastAsia="Times New Roman" w:hAnsi="Times New Roman"/>
          <w:sz w:val="28"/>
          <w:szCs w:val="28"/>
        </w:rPr>
        <w:t>. gadā –</w:t>
      </w:r>
      <w:r>
        <w:rPr>
          <w:rFonts w:ascii="Times New Roman" w:eastAsia="Times New Roman" w:hAnsi="Times New Roman"/>
          <w:sz w:val="28"/>
          <w:szCs w:val="28"/>
        </w:rPr>
        <w:t xml:space="preserve"> 1 gadījumā).</w:t>
      </w:r>
    </w:p>
    <w:p w:rsidR="00611907" w:rsidRDefault="00611907" w:rsidP="00611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 piemērotajiem d</w:t>
      </w:r>
      <w:r w:rsidRPr="0051079B">
        <w:rPr>
          <w:rFonts w:ascii="Times New Roman" w:eastAsia="Times New Roman" w:hAnsi="Times New Roman"/>
          <w:sz w:val="28"/>
          <w:szCs w:val="28"/>
        </w:rPr>
        <w:t>isciplinārsod</w:t>
      </w:r>
      <w:r>
        <w:rPr>
          <w:rFonts w:ascii="Times New Roman" w:eastAsia="Times New Roman" w:hAnsi="Times New Roman"/>
          <w:sz w:val="28"/>
          <w:szCs w:val="28"/>
        </w:rPr>
        <w:t>iem</w:t>
      </w:r>
      <w:r w:rsidRPr="0051079B">
        <w:rPr>
          <w:rFonts w:ascii="Times New Roman" w:eastAsia="Times New Roman" w:hAnsi="Times New Roman"/>
          <w:sz w:val="28"/>
          <w:szCs w:val="28"/>
        </w:rPr>
        <w:t>: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t>disciplinārsods</w:t>
      </w:r>
      <w:r w:rsidRPr="00FC2C86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 w:rsidRPr="00FC2C86">
        <w:rPr>
          <w:rFonts w:ascii="Times New Roman" w:eastAsia="Times New Roman" w:hAnsi="Times New Roman"/>
          <w:b/>
          <w:i/>
          <w:sz w:val="28"/>
          <w:szCs w:val="28"/>
        </w:rPr>
        <w:t>piezīme</w:t>
      </w:r>
      <w:r w:rsidRPr="00FC2C86">
        <w:rPr>
          <w:rFonts w:ascii="Times New Roman" w:eastAsia="Times New Roman" w:hAnsi="Times New Roman"/>
          <w:b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piemērots </w:t>
      </w:r>
      <w:r w:rsidRPr="00AC4D92">
        <w:rPr>
          <w:rFonts w:ascii="Times New Roman" w:eastAsia="Times New Roman" w:hAnsi="Times New Roman"/>
          <w:b/>
          <w:sz w:val="28"/>
          <w:szCs w:val="28"/>
        </w:rPr>
        <w:t>195 gadījumos</w:t>
      </w:r>
      <w:r>
        <w:rPr>
          <w:rFonts w:ascii="Times New Roman" w:eastAsia="Times New Roman" w:hAnsi="Times New Roman"/>
          <w:sz w:val="28"/>
          <w:szCs w:val="28"/>
        </w:rPr>
        <w:t xml:space="preserve">, kas </w:t>
      </w:r>
      <w:r w:rsidRPr="00FC2C86">
        <w:rPr>
          <w:rFonts w:ascii="Times New Roman" w:eastAsia="Times New Roman" w:hAnsi="Times New Roman"/>
          <w:sz w:val="28"/>
          <w:szCs w:val="28"/>
        </w:rPr>
        <w:t>no kopējā piemēroto disciplinārsodu skaita</w:t>
      </w:r>
      <w:r>
        <w:rPr>
          <w:rFonts w:ascii="Times New Roman" w:eastAsia="Times New Roman" w:hAnsi="Times New Roman"/>
          <w:sz w:val="28"/>
          <w:szCs w:val="28"/>
        </w:rPr>
        <w:t xml:space="preserve"> sastāda </w:t>
      </w:r>
      <w:r w:rsidRPr="00FC2C86">
        <w:rPr>
          <w:rFonts w:ascii="Times New Roman" w:eastAsia="Times New Roman" w:hAnsi="Times New Roman"/>
          <w:sz w:val="28"/>
          <w:szCs w:val="28"/>
        </w:rPr>
        <w:t>62,9%</w:t>
      </w:r>
      <w:r>
        <w:rPr>
          <w:rFonts w:ascii="Times New Roman" w:eastAsia="Times New Roman" w:hAnsi="Times New Roman"/>
          <w:sz w:val="28"/>
          <w:szCs w:val="28"/>
        </w:rPr>
        <w:t xml:space="preserve"> un</w:t>
      </w:r>
      <w:r w:rsidRPr="00FC2C86">
        <w:rPr>
          <w:rFonts w:ascii="Times New Roman" w:eastAsia="Times New Roman" w:hAnsi="Times New Roman"/>
          <w:sz w:val="28"/>
          <w:szCs w:val="28"/>
        </w:rPr>
        <w:t xml:space="preserve"> ir </w:t>
      </w:r>
      <w:r w:rsidRPr="00FC2C86">
        <w:rPr>
          <w:rFonts w:ascii="Times New Roman" w:eastAsia="Times New Roman" w:hAnsi="Times New Roman"/>
          <w:b/>
          <w:sz w:val="28"/>
          <w:szCs w:val="28"/>
        </w:rPr>
        <w:t>par 7,35 procentpunktiem mazāk</w:t>
      </w:r>
      <w:r w:rsidRPr="00FC2C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C2C86">
        <w:rPr>
          <w:rFonts w:ascii="Times New Roman" w:eastAsia="Times New Roman" w:hAnsi="Times New Roman"/>
          <w:sz w:val="28"/>
          <w:szCs w:val="28"/>
        </w:rPr>
        <w:t>(2021. gadā – 222 gadījumi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FC2C86">
        <w:rPr>
          <w:rFonts w:ascii="Times New Roman" w:eastAsia="Times New Roman" w:hAnsi="Times New Roman"/>
          <w:sz w:val="28"/>
          <w:szCs w:val="28"/>
        </w:rPr>
        <w:t xml:space="preserve"> 70,25%)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lastRenderedPageBreak/>
        <w:t>disciplinārsods</w:t>
      </w:r>
      <w:r w:rsidRPr="00331709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 w:rsidRPr="00331709">
        <w:rPr>
          <w:rFonts w:ascii="Times New Roman" w:eastAsia="Times New Roman" w:hAnsi="Times New Roman"/>
          <w:b/>
          <w:i/>
          <w:sz w:val="28"/>
          <w:szCs w:val="28"/>
        </w:rPr>
        <w:t>rājiens</w:t>
      </w:r>
      <w:r w:rsidRPr="00331709">
        <w:rPr>
          <w:rFonts w:ascii="Times New Roman" w:eastAsia="Times New Roman" w:hAnsi="Times New Roman"/>
          <w:b/>
          <w:sz w:val="28"/>
          <w:szCs w:val="28"/>
        </w:rPr>
        <w:t>” piemērots 74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piemēroto disciplinārsodu skaita sastāda 23,87% un ir </w:t>
      </w:r>
      <w:r w:rsidRPr="00331709">
        <w:rPr>
          <w:rFonts w:ascii="Times New Roman" w:eastAsia="Times New Roman" w:hAnsi="Times New Roman"/>
          <w:b/>
          <w:sz w:val="28"/>
          <w:szCs w:val="28"/>
        </w:rPr>
        <w:t>par 6,46 procentpunktiem vairāk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55 gadījumi; 17,41%);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t>disciplinārsods</w:t>
      </w:r>
      <w:r w:rsidRPr="00331709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 w:rsidRPr="00331709">
        <w:rPr>
          <w:rFonts w:ascii="Times New Roman" w:eastAsia="Times New Roman" w:hAnsi="Times New Roman"/>
          <w:b/>
          <w:i/>
          <w:sz w:val="28"/>
          <w:szCs w:val="28"/>
        </w:rPr>
        <w:t>atvaļināšana no dienesta</w:t>
      </w:r>
      <w:r w:rsidRPr="00331709">
        <w:rPr>
          <w:rFonts w:ascii="Times New Roman" w:eastAsia="Times New Roman" w:hAnsi="Times New Roman"/>
          <w:b/>
          <w:sz w:val="28"/>
          <w:szCs w:val="28"/>
        </w:rPr>
        <w:t>” piemērots 27 gadījumos</w:t>
      </w:r>
      <w:r>
        <w:rPr>
          <w:rFonts w:ascii="Times New Roman" w:eastAsia="Times New Roman" w:hAnsi="Times New Roman"/>
          <w:sz w:val="28"/>
          <w:szCs w:val="28"/>
        </w:rPr>
        <w:t>, kas no kopējā pie</w:t>
      </w:r>
      <w:r>
        <w:rPr>
          <w:rFonts w:ascii="Times New Roman" w:eastAsia="Times New Roman" w:hAnsi="Times New Roman"/>
          <w:sz w:val="28"/>
          <w:szCs w:val="28"/>
        </w:rPr>
        <w:t xml:space="preserve">mēroto disciplinārsodu skaita sastāda 8,71% un ir </w:t>
      </w:r>
      <w:r w:rsidRPr="00331709">
        <w:rPr>
          <w:rFonts w:ascii="Times New Roman" w:eastAsia="Times New Roman" w:hAnsi="Times New Roman"/>
          <w:b/>
          <w:sz w:val="28"/>
          <w:szCs w:val="28"/>
        </w:rPr>
        <w:t>par 1,11 procentpunktiem vairāk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24 gadījumi; 7,6%);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t>disciplinārsods</w:t>
      </w:r>
      <w:r w:rsidRPr="0089627F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 w:rsidRPr="0089627F">
        <w:rPr>
          <w:rFonts w:ascii="Times New Roman" w:eastAsia="Times New Roman" w:hAnsi="Times New Roman"/>
          <w:b/>
          <w:i/>
          <w:sz w:val="28"/>
          <w:szCs w:val="28"/>
        </w:rPr>
        <w:t>pazemināšana amatā</w:t>
      </w:r>
      <w:r w:rsidRPr="0089627F">
        <w:rPr>
          <w:rFonts w:ascii="Times New Roman" w:eastAsia="Times New Roman" w:hAnsi="Times New Roman"/>
          <w:b/>
          <w:sz w:val="28"/>
          <w:szCs w:val="28"/>
        </w:rPr>
        <w:t>” piemērots 7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piemēroto disciplinārsodu skaita sastāda 2,26% un ir </w:t>
      </w:r>
      <w:r w:rsidRPr="0089627F">
        <w:rPr>
          <w:rFonts w:ascii="Times New Roman" w:eastAsia="Times New Roman" w:hAnsi="Times New Roman"/>
          <w:b/>
          <w:sz w:val="28"/>
          <w:szCs w:val="28"/>
        </w:rPr>
        <w:t>par 0,99 procentpunktiem vairāk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4 gadījumi; 1,27%);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t xml:space="preserve">disciplinārsods </w:t>
      </w:r>
      <w:r w:rsidRPr="0089627F">
        <w:rPr>
          <w:rFonts w:ascii="Times New Roman" w:eastAsia="Times New Roman" w:hAnsi="Times New Roman"/>
          <w:b/>
          <w:sz w:val="28"/>
          <w:szCs w:val="28"/>
        </w:rPr>
        <w:t>“</w:t>
      </w:r>
      <w:r w:rsidRPr="0089627F">
        <w:rPr>
          <w:rFonts w:ascii="Times New Roman" w:eastAsia="Times New Roman" w:hAnsi="Times New Roman"/>
          <w:b/>
          <w:i/>
          <w:sz w:val="28"/>
          <w:szCs w:val="28"/>
        </w:rPr>
        <w:t>mēneša amatalgas samazināšana</w:t>
      </w:r>
      <w:r w:rsidRPr="0089627F">
        <w:rPr>
          <w:rFonts w:ascii="Times New Roman" w:eastAsia="Times New Roman" w:hAnsi="Times New Roman"/>
          <w:b/>
          <w:sz w:val="28"/>
          <w:szCs w:val="28"/>
        </w:rPr>
        <w:t>” piemērots 4 gadījumos</w:t>
      </w:r>
      <w:r w:rsidRPr="00AC4D92">
        <w:rPr>
          <w:rFonts w:ascii="Times New Roman" w:eastAsia="Times New Roman" w:hAnsi="Times New Roman"/>
          <w:sz w:val="28"/>
          <w:szCs w:val="28"/>
        </w:rPr>
        <w:t xml:space="preserve">, kas </w:t>
      </w:r>
      <w:r>
        <w:rPr>
          <w:rFonts w:ascii="Times New Roman" w:eastAsia="Times New Roman" w:hAnsi="Times New Roman"/>
          <w:sz w:val="28"/>
          <w:szCs w:val="28"/>
        </w:rPr>
        <w:t>no kopējā pi</w:t>
      </w:r>
      <w:r>
        <w:rPr>
          <w:rFonts w:ascii="Times New Roman" w:eastAsia="Times New Roman" w:hAnsi="Times New Roman"/>
          <w:sz w:val="28"/>
          <w:szCs w:val="28"/>
        </w:rPr>
        <w:t xml:space="preserve">emēroto disciplinārsodu skaita </w:t>
      </w:r>
      <w:r w:rsidRPr="00AC4D92">
        <w:rPr>
          <w:rFonts w:ascii="Times New Roman" w:eastAsia="Times New Roman" w:hAnsi="Times New Roman"/>
          <w:sz w:val="28"/>
          <w:szCs w:val="28"/>
        </w:rPr>
        <w:t>sastāda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1,29% un ir </w:t>
      </w:r>
      <w:r w:rsidRPr="0089627F">
        <w:rPr>
          <w:rFonts w:ascii="Times New Roman" w:eastAsia="Times New Roman" w:hAnsi="Times New Roman"/>
          <w:b/>
          <w:sz w:val="28"/>
          <w:szCs w:val="28"/>
        </w:rPr>
        <w:t>par 1,56 procentpunktiem mazāk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9 gadījumi; 2,85%).</w:t>
      </w:r>
    </w:p>
    <w:p w:rsidR="00611907" w:rsidRPr="00FD272D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sz w:val="28"/>
          <w:szCs w:val="28"/>
        </w:rPr>
        <w:t>disciplinārsods</w:t>
      </w:r>
      <w:r w:rsidRPr="0089627F">
        <w:rPr>
          <w:rFonts w:ascii="Times New Roman" w:eastAsia="Times New Roman" w:hAnsi="Times New Roman"/>
          <w:b/>
          <w:sz w:val="28"/>
          <w:szCs w:val="28"/>
        </w:rPr>
        <w:t xml:space="preserve"> “</w:t>
      </w:r>
      <w:r w:rsidRPr="0089627F">
        <w:rPr>
          <w:rFonts w:ascii="Times New Roman" w:eastAsia="Times New Roman" w:hAnsi="Times New Roman"/>
          <w:b/>
          <w:i/>
          <w:sz w:val="28"/>
          <w:szCs w:val="28"/>
        </w:rPr>
        <w:t>pazemināšana dienesta pakāpē par vienu pakāpi</w:t>
      </w:r>
      <w:r w:rsidRPr="0089627F">
        <w:rPr>
          <w:rFonts w:ascii="Times New Roman" w:eastAsia="Times New Roman" w:hAnsi="Times New Roman"/>
          <w:b/>
          <w:sz w:val="28"/>
          <w:szCs w:val="28"/>
        </w:rPr>
        <w:t>” piemērots 3 gadījumos</w:t>
      </w:r>
      <w:r>
        <w:rPr>
          <w:rFonts w:ascii="Times New Roman" w:eastAsia="Times New Roman" w:hAnsi="Times New Roman"/>
          <w:sz w:val="28"/>
          <w:szCs w:val="28"/>
        </w:rPr>
        <w:t>, kas no kopējā piemē</w:t>
      </w:r>
      <w:r>
        <w:rPr>
          <w:rFonts w:ascii="Times New Roman" w:eastAsia="Times New Roman" w:hAnsi="Times New Roman"/>
          <w:sz w:val="28"/>
          <w:szCs w:val="28"/>
        </w:rPr>
        <w:t xml:space="preserve">roto disciplinārsodu skaita sastāda 0,97% un ir </w:t>
      </w:r>
      <w:r w:rsidRPr="0089627F">
        <w:rPr>
          <w:rFonts w:ascii="Times New Roman" w:eastAsia="Times New Roman" w:hAnsi="Times New Roman"/>
          <w:b/>
          <w:sz w:val="28"/>
          <w:szCs w:val="28"/>
        </w:rPr>
        <w:t xml:space="preserve">par 0,34 procentpunktiem </w:t>
      </w:r>
      <w:r w:rsidRPr="000C1941">
        <w:rPr>
          <w:rFonts w:ascii="Times New Roman" w:eastAsia="Times New Roman" w:hAnsi="Times New Roman"/>
          <w:sz w:val="28"/>
          <w:szCs w:val="28"/>
        </w:rPr>
        <w:t>vairāk 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2 gadījumi; 0,63%).</w:t>
      </w:r>
      <w:r w:rsidRPr="00FD272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1907" w:rsidRPr="0089545A" w:rsidRDefault="00611907" w:rsidP="00611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0F71FD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079B">
        <w:rPr>
          <w:rFonts w:ascii="Times New Roman" w:eastAsia="Times New Roman" w:hAnsi="Times New Roman"/>
          <w:sz w:val="28"/>
          <w:szCs w:val="28"/>
        </w:rPr>
        <w:t>Augstākā iestādē</w:t>
      </w:r>
      <w:r w:rsidRPr="00CD1E8F">
        <w:rPr>
          <w:rFonts w:ascii="Times New Roman" w:eastAsia="Times New Roman" w:hAnsi="Times New Roman"/>
          <w:b/>
          <w:sz w:val="28"/>
          <w:szCs w:val="28"/>
        </w:rPr>
        <w:t xml:space="preserve"> apstrīdēt</w:t>
      </w:r>
      <w:r>
        <w:rPr>
          <w:rFonts w:ascii="Times New Roman" w:eastAsia="Times New Roman" w:hAnsi="Times New Roman"/>
          <w:b/>
          <w:sz w:val="28"/>
          <w:szCs w:val="28"/>
        </w:rPr>
        <w:t>o lēmumu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079B">
        <w:rPr>
          <w:rFonts w:ascii="Times New Roman" w:eastAsia="Times New Roman" w:hAnsi="Times New Roman"/>
          <w:sz w:val="28"/>
          <w:szCs w:val="28"/>
        </w:rPr>
        <w:t>par disciplinārsoda piemērošanu</w:t>
      </w:r>
      <w:r w:rsidRPr="00271C22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CD3">
        <w:rPr>
          <w:rFonts w:ascii="Times New Roman" w:eastAsia="Times New Roman" w:hAnsi="Times New Roman"/>
          <w:b/>
          <w:sz w:val="28"/>
          <w:szCs w:val="28"/>
        </w:rPr>
        <w:t>40 lēmumi,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56CE7">
        <w:rPr>
          <w:rFonts w:ascii="Times New Roman" w:eastAsia="Times New Roman" w:hAnsi="Times New Roman"/>
          <w:b/>
          <w:sz w:val="28"/>
          <w:szCs w:val="28"/>
        </w:rPr>
        <w:t>palielinājies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D1E8F">
        <w:rPr>
          <w:rFonts w:ascii="Times New Roman" w:eastAsia="Times New Roman" w:hAnsi="Times New Roman"/>
          <w:b/>
          <w:sz w:val="28"/>
          <w:szCs w:val="28"/>
        </w:rPr>
        <w:t>par 2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CD1E8F">
        <w:rPr>
          <w:rFonts w:ascii="Times New Roman" w:eastAsia="Times New Roman" w:hAnsi="Times New Roman"/>
          <w:b/>
          <w:sz w:val="28"/>
          <w:szCs w:val="28"/>
        </w:rPr>
        <w:t xml:space="preserve">% </w:t>
      </w:r>
      <w:r w:rsidRPr="000F71FD">
        <w:rPr>
          <w:rFonts w:ascii="Times New Roman" w:eastAsia="Times New Roman" w:hAnsi="Times New Roman"/>
          <w:sz w:val="28"/>
          <w:szCs w:val="28"/>
        </w:rPr>
        <w:t>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32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lēmumi).  No šiem lēmumiem IeM padotībā esoš</w:t>
      </w:r>
      <w:r>
        <w:rPr>
          <w:rFonts w:ascii="Times New Roman" w:eastAsia="Times New Roman" w:hAnsi="Times New Roman"/>
          <w:sz w:val="28"/>
          <w:szCs w:val="28"/>
        </w:rPr>
        <w:t>aj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ās iestādēs apstrīdēti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lēmumi, kas ir par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sz w:val="28"/>
          <w:szCs w:val="28"/>
        </w:rPr>
        <w:t xml:space="preserve">vairāk </w:t>
      </w:r>
      <w:r w:rsidRPr="000F71FD">
        <w:rPr>
          <w:rFonts w:ascii="Times New Roman" w:eastAsia="Times New Roman" w:hAnsi="Times New Roman"/>
          <w:sz w:val="28"/>
          <w:szCs w:val="28"/>
        </w:rPr>
        <w:t>nekā iepriekšējā pārskata periodā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lēmumi), bet IeM – 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lēmumi, kas ir par </w:t>
      </w:r>
      <w:r>
        <w:rPr>
          <w:rFonts w:ascii="Times New Roman" w:eastAsia="Times New Roman" w:hAnsi="Times New Roman"/>
          <w:sz w:val="28"/>
          <w:szCs w:val="28"/>
        </w:rPr>
        <w:t>29,41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sz w:val="28"/>
          <w:szCs w:val="28"/>
        </w:rPr>
        <w:t>vairāk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nekā iepriekšējā pārskata per</w:t>
      </w:r>
      <w:r w:rsidRPr="000F71FD">
        <w:rPr>
          <w:rFonts w:ascii="Times New Roman" w:eastAsia="Times New Roman" w:hAnsi="Times New Roman"/>
          <w:sz w:val="28"/>
          <w:szCs w:val="28"/>
        </w:rPr>
        <w:t>iodā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Pārskata periodā </w:t>
      </w:r>
      <w:r w:rsidRPr="00C86871">
        <w:rPr>
          <w:rFonts w:ascii="Times New Roman" w:eastAsia="Times New Roman" w:hAnsi="Times New Roman"/>
          <w:b/>
          <w:sz w:val="28"/>
          <w:szCs w:val="28"/>
        </w:rPr>
        <w:t>i</w:t>
      </w:r>
      <w:r w:rsidRPr="00C56CE7">
        <w:rPr>
          <w:rFonts w:ascii="Times New Roman" w:eastAsia="Times New Roman" w:hAnsi="Times New Roman"/>
          <w:b/>
          <w:sz w:val="28"/>
          <w:szCs w:val="28"/>
        </w:rPr>
        <w:t>zskatīti 45 apstrīdētie lēmumi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CD3">
        <w:rPr>
          <w:rFonts w:ascii="Times New Roman" w:eastAsia="Times New Roman" w:hAnsi="Times New Roman"/>
          <w:sz w:val="28"/>
          <w:szCs w:val="28"/>
        </w:rPr>
        <w:t>par disciplinārsoda piemērošanu,</w:t>
      </w:r>
      <w:r>
        <w:rPr>
          <w:rFonts w:ascii="Times New Roman" w:eastAsia="Times New Roman" w:hAnsi="Times New Roman"/>
          <w:sz w:val="28"/>
          <w:szCs w:val="28"/>
        </w:rPr>
        <w:t xml:space="preserve"> (IeM padotībā esošajās iestādēs – 18 lēmumi, IeM – 27 lēmumi, t.sk., 7 lēmumi, kas tika apstrīdēti 2021. gadā), </w:t>
      </w:r>
      <w:r w:rsidRPr="00962171">
        <w:rPr>
          <w:rFonts w:ascii="Times New Roman" w:eastAsia="Times New Roman" w:hAnsi="Times New Roman"/>
          <w:sz w:val="28"/>
          <w:szCs w:val="28"/>
        </w:rPr>
        <w:t>kā rezultātā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56CE7">
        <w:rPr>
          <w:rFonts w:ascii="Times New Roman" w:eastAsia="Times New Roman" w:hAnsi="Times New Roman"/>
          <w:b/>
          <w:sz w:val="28"/>
          <w:szCs w:val="28"/>
        </w:rPr>
        <w:t xml:space="preserve">13 gadījumos </w:t>
      </w:r>
      <w:r w:rsidRPr="00C56CE7">
        <w:rPr>
          <w:rFonts w:ascii="Times New Roman" w:eastAsia="Times New Roman" w:hAnsi="Times New Roman"/>
          <w:b/>
          <w:sz w:val="28"/>
          <w:szCs w:val="28"/>
        </w:rPr>
        <w:t>lēmums atcelts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56CE7">
        <w:rPr>
          <w:rFonts w:ascii="Times New Roman" w:eastAsia="Times New Roman" w:hAnsi="Times New Roman"/>
          <w:b/>
          <w:sz w:val="28"/>
          <w:szCs w:val="28"/>
        </w:rPr>
        <w:t>1 gadījumā izdots satura ziņā citāds lēmums</w:t>
      </w:r>
      <w:r>
        <w:rPr>
          <w:rFonts w:ascii="Times New Roman" w:eastAsia="Times New Roman" w:hAnsi="Times New Roman"/>
          <w:sz w:val="28"/>
          <w:szCs w:val="28"/>
        </w:rPr>
        <w:t xml:space="preserve">, bet </w:t>
      </w:r>
      <w:r w:rsidRPr="00C56CE7">
        <w:rPr>
          <w:rFonts w:ascii="Times New Roman" w:eastAsia="Times New Roman" w:hAnsi="Times New Roman"/>
          <w:b/>
          <w:sz w:val="28"/>
          <w:szCs w:val="28"/>
        </w:rPr>
        <w:t>31 gadījumā lēmums atstāts negrozīts</w:t>
      </w:r>
      <w:r>
        <w:rPr>
          <w:rFonts w:ascii="Times New Roman" w:eastAsia="Times New Roman" w:hAnsi="Times New Roman"/>
          <w:sz w:val="28"/>
          <w:szCs w:val="28"/>
        </w:rPr>
        <w:t xml:space="preserve"> (2021. gadā izskatīti 30 apstrīdētie lēmumi: 4</w:t>
      </w:r>
      <w:r w:rsidRPr="0003239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 lēmums atcelts, 5 gadījumos izdots satura ziņā citāds lēmums, 21 gadījumā lēmums atstāts negrozīt</w:t>
      </w:r>
      <w:r>
        <w:rPr>
          <w:rFonts w:ascii="Times New Roman" w:eastAsia="Times New Roman" w:hAnsi="Times New Roman"/>
          <w:sz w:val="28"/>
          <w:szCs w:val="28"/>
        </w:rPr>
        <w:t>s).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1E8F">
        <w:rPr>
          <w:rFonts w:ascii="Times New Roman" w:eastAsia="Times New Roman" w:hAnsi="Times New Roman"/>
          <w:b/>
          <w:sz w:val="28"/>
          <w:szCs w:val="28"/>
        </w:rPr>
        <w:t>Tiesā pārsūdzēt</w:t>
      </w:r>
      <w:r>
        <w:rPr>
          <w:rFonts w:ascii="Times New Roman" w:eastAsia="Times New Roman" w:hAnsi="Times New Roman"/>
          <w:b/>
          <w:sz w:val="28"/>
          <w:szCs w:val="28"/>
        </w:rPr>
        <w:t>o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lēmumu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CD3">
        <w:rPr>
          <w:rFonts w:ascii="Times New Roman" w:eastAsia="Times New Roman" w:hAnsi="Times New Roman"/>
          <w:sz w:val="28"/>
          <w:szCs w:val="28"/>
        </w:rPr>
        <w:t>par disciplinārsoda piemērošanu</w:t>
      </w:r>
      <w:r w:rsidRPr="00271C22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CD3">
        <w:rPr>
          <w:rFonts w:ascii="Times New Roman" w:eastAsia="Times New Roman" w:hAnsi="Times New Roman"/>
          <w:b/>
          <w:sz w:val="28"/>
          <w:szCs w:val="28"/>
        </w:rPr>
        <w:t>8 lēmumi</w:t>
      </w:r>
      <w:r>
        <w:rPr>
          <w:rFonts w:ascii="Times New Roman" w:eastAsia="Times New Roman" w:hAnsi="Times New Roman"/>
          <w:sz w:val="28"/>
          <w:szCs w:val="28"/>
        </w:rPr>
        <w:t xml:space="preserve"> (visi IeM), </w:t>
      </w:r>
      <w:r w:rsidRPr="00271C22">
        <w:rPr>
          <w:rFonts w:ascii="Times New Roman" w:eastAsia="Times New Roman" w:hAnsi="Times New Roman"/>
          <w:b/>
          <w:sz w:val="28"/>
          <w:szCs w:val="28"/>
        </w:rPr>
        <w:t xml:space="preserve">samazinājies </w:t>
      </w:r>
      <w:r w:rsidRPr="00CD1E8F">
        <w:rPr>
          <w:rFonts w:ascii="Times New Roman" w:eastAsia="Times New Roman" w:hAnsi="Times New Roman"/>
          <w:b/>
          <w:sz w:val="28"/>
          <w:szCs w:val="28"/>
        </w:rPr>
        <w:t xml:space="preserve">par </w:t>
      </w:r>
      <w:r>
        <w:rPr>
          <w:rFonts w:ascii="Times New Roman" w:eastAsia="Times New Roman" w:hAnsi="Times New Roman"/>
          <w:b/>
          <w:sz w:val="28"/>
          <w:szCs w:val="28"/>
        </w:rPr>
        <w:t>27,28</w:t>
      </w:r>
      <w:r w:rsidRPr="00CD1E8F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(2021. gadā – 11 lēmumi, t.sk., 8 IeM un 3 IeM </w:t>
      </w:r>
      <w:r w:rsidRPr="00D17A51">
        <w:rPr>
          <w:rFonts w:ascii="Times New Roman" w:eastAsia="Times New Roman" w:hAnsi="Times New Roman"/>
          <w:sz w:val="28"/>
          <w:szCs w:val="28"/>
        </w:rPr>
        <w:t>padotībā esoš</w:t>
      </w:r>
      <w:r>
        <w:rPr>
          <w:rFonts w:ascii="Times New Roman" w:eastAsia="Times New Roman" w:hAnsi="Times New Roman"/>
          <w:sz w:val="28"/>
          <w:szCs w:val="28"/>
        </w:rPr>
        <w:t>o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iestā</w:t>
      </w:r>
      <w:r>
        <w:rPr>
          <w:rFonts w:ascii="Times New Roman" w:eastAsia="Times New Roman" w:hAnsi="Times New Roman"/>
          <w:sz w:val="28"/>
          <w:szCs w:val="28"/>
        </w:rPr>
        <w:t>žu lēm</w:t>
      </w:r>
      <w:r w:rsidRPr="00D17A51">
        <w:rPr>
          <w:rFonts w:ascii="Times New Roman" w:eastAsia="Times New Roman" w:hAnsi="Times New Roman"/>
          <w:sz w:val="28"/>
          <w:szCs w:val="28"/>
        </w:rPr>
        <w:t>umi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176B79">
        <w:rPr>
          <w:rFonts w:ascii="Times New Roman" w:eastAsia="Times New Roman" w:hAnsi="Times New Roman"/>
          <w:sz w:val="28"/>
          <w:szCs w:val="28"/>
        </w:rPr>
        <w:t>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Pārskata periodā </w:t>
      </w:r>
      <w:r w:rsidRPr="00C02CD3">
        <w:rPr>
          <w:rFonts w:ascii="Times New Roman" w:eastAsia="Times New Roman" w:hAnsi="Times New Roman"/>
          <w:b/>
          <w:sz w:val="28"/>
          <w:szCs w:val="28"/>
        </w:rPr>
        <w:t>stājušies spēkā 13 tiesu nolēmumi</w:t>
      </w:r>
      <w:r>
        <w:rPr>
          <w:rFonts w:ascii="Times New Roman" w:eastAsia="Times New Roman" w:hAnsi="Times New Roman"/>
          <w:sz w:val="28"/>
          <w:szCs w:val="28"/>
        </w:rPr>
        <w:t xml:space="preserve"> saistībā ar lēmumu par disciplinārsoda piemērošanu pārsūdzēšanu. </w:t>
      </w:r>
      <w:r w:rsidRPr="00C02CD3">
        <w:rPr>
          <w:rFonts w:ascii="Times New Roman" w:eastAsia="Times New Roman" w:hAnsi="Times New Roman"/>
          <w:b/>
          <w:sz w:val="28"/>
          <w:szCs w:val="28"/>
        </w:rPr>
        <w:t>P</w:t>
      </w:r>
      <w:r w:rsidRPr="0089545A">
        <w:rPr>
          <w:rFonts w:ascii="Times New Roman" w:eastAsia="Times New Roman" w:hAnsi="Times New Roman"/>
          <w:b/>
          <w:sz w:val="28"/>
          <w:szCs w:val="28"/>
        </w:rPr>
        <w:t xml:space="preserve">ārsūdzētie lēmumi </w:t>
      </w:r>
      <w:r>
        <w:rPr>
          <w:rFonts w:ascii="Times New Roman" w:eastAsia="Times New Roman" w:hAnsi="Times New Roman"/>
          <w:b/>
          <w:sz w:val="28"/>
          <w:szCs w:val="28"/>
        </w:rPr>
        <w:t>v</w:t>
      </w:r>
      <w:r w:rsidRPr="0089545A">
        <w:rPr>
          <w:rFonts w:ascii="Times New Roman" w:eastAsia="Times New Roman" w:hAnsi="Times New Roman"/>
          <w:b/>
          <w:sz w:val="28"/>
          <w:szCs w:val="28"/>
        </w:rPr>
        <w:t>isos gadījumos atstāti negrozīti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17 gadījumos lēmums atstāts negrozīts).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Pr="001F6E30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2CD3">
        <w:rPr>
          <w:rFonts w:ascii="Times New Roman" w:eastAsia="Times New Roman" w:hAnsi="Times New Roman"/>
          <w:b/>
          <w:sz w:val="28"/>
          <w:szCs w:val="28"/>
        </w:rPr>
        <w:t>Kopējais nodarbinātajiem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6E30">
        <w:rPr>
          <w:rFonts w:ascii="Times New Roman" w:eastAsia="Times New Roman" w:hAnsi="Times New Roman"/>
          <w:b/>
          <w:sz w:val="28"/>
          <w:szCs w:val="28"/>
        </w:rPr>
        <w:t>piešķirto apbalvojumu skaits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CD3">
        <w:rPr>
          <w:rFonts w:ascii="Times New Roman" w:eastAsia="Times New Roman" w:hAnsi="Times New Roman"/>
          <w:b/>
          <w:sz w:val="28"/>
          <w:szCs w:val="28"/>
        </w:rPr>
        <w:t>4558 apbalvojumi,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6E30">
        <w:rPr>
          <w:rFonts w:ascii="Times New Roman" w:eastAsia="Times New Roman" w:hAnsi="Times New Roman"/>
          <w:b/>
          <w:sz w:val="28"/>
          <w:szCs w:val="28"/>
        </w:rPr>
        <w:t>palielinā</w:t>
      </w:r>
      <w:r w:rsidRPr="001F6E30">
        <w:rPr>
          <w:rFonts w:ascii="Times New Roman" w:eastAsia="Times New Roman" w:hAnsi="Times New Roman"/>
          <w:b/>
          <w:sz w:val="28"/>
          <w:szCs w:val="28"/>
        </w:rPr>
        <w:t>jies par 2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1F6E30">
        <w:rPr>
          <w:rFonts w:ascii="Times New Roman" w:eastAsia="Times New Roman" w:hAnsi="Times New Roman"/>
          <w:b/>
          <w:sz w:val="28"/>
          <w:szCs w:val="28"/>
        </w:rPr>
        <w:t>,</w:t>
      </w:r>
      <w:r>
        <w:rPr>
          <w:rFonts w:ascii="Times New Roman" w:eastAsia="Times New Roman" w:hAnsi="Times New Roman"/>
          <w:b/>
          <w:sz w:val="28"/>
          <w:szCs w:val="28"/>
        </w:rPr>
        <w:t>39</w:t>
      </w:r>
      <w:r w:rsidRPr="001F6E30">
        <w:rPr>
          <w:rFonts w:ascii="Times New Roman" w:eastAsia="Times New Roman" w:hAnsi="Times New Roman"/>
          <w:b/>
          <w:sz w:val="28"/>
          <w:szCs w:val="28"/>
        </w:rPr>
        <w:t>%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 (202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3635</w:t>
      </w:r>
      <w:r w:rsidRPr="001F6E30">
        <w:rPr>
          <w:rFonts w:ascii="Times New Roman" w:eastAsia="Times New Roman" w:hAnsi="Times New Roman"/>
          <w:sz w:val="28"/>
          <w:szCs w:val="28"/>
        </w:rPr>
        <w:t xml:space="preserve"> apbalvojum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F6E30">
        <w:rPr>
          <w:rFonts w:ascii="Times New Roman" w:eastAsia="Times New Roman" w:hAnsi="Times New Roman"/>
          <w:sz w:val="28"/>
          <w:szCs w:val="28"/>
        </w:rPr>
        <w:t>).</w:t>
      </w:r>
    </w:p>
    <w:p w:rsidR="00611907" w:rsidRPr="00CD2982" w:rsidRDefault="00611907" w:rsidP="00611907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:rsidR="00611907" w:rsidRPr="00CD2982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134E">
        <w:rPr>
          <w:rFonts w:ascii="Times New Roman" w:eastAsia="Times New Roman" w:hAnsi="Times New Roman"/>
          <w:b/>
          <w:sz w:val="28"/>
          <w:szCs w:val="28"/>
        </w:rPr>
        <w:t>Apbalvojumi piešķirti</w:t>
      </w:r>
      <w:r>
        <w:rPr>
          <w:rFonts w:ascii="Times New Roman" w:eastAsia="Times New Roman" w:hAnsi="Times New Roman"/>
          <w:sz w:val="28"/>
          <w:szCs w:val="28"/>
        </w:rPr>
        <w:t xml:space="preserve"> šādām nodarbināto kategorijām</w:t>
      </w:r>
      <w:r w:rsidRPr="00CD2982">
        <w:rPr>
          <w:rFonts w:ascii="Times New Roman" w:eastAsia="Times New Roman" w:hAnsi="Times New Roman"/>
          <w:sz w:val="28"/>
          <w:szCs w:val="28"/>
        </w:rPr>
        <w:t>:</w:t>
      </w:r>
    </w:p>
    <w:p w:rsidR="00611907" w:rsidRPr="007F27E0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4811">
        <w:rPr>
          <w:rFonts w:ascii="Times New Roman" w:eastAsia="Times New Roman" w:hAnsi="Times New Roman"/>
          <w:b/>
          <w:sz w:val="28"/>
          <w:szCs w:val="28"/>
        </w:rPr>
        <w:t>amatpersonām ar speciālajām dienesta pakāpēm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134E">
        <w:rPr>
          <w:rFonts w:ascii="Times New Roman" w:eastAsia="Times New Roman" w:hAnsi="Times New Roman"/>
          <w:b/>
          <w:sz w:val="28"/>
          <w:szCs w:val="28"/>
        </w:rPr>
        <w:t>– 3816 gadījumos</w:t>
      </w:r>
      <w:r>
        <w:rPr>
          <w:rFonts w:ascii="Times New Roman" w:eastAsia="Times New Roman" w:hAnsi="Times New Roman"/>
          <w:sz w:val="28"/>
          <w:szCs w:val="28"/>
        </w:rPr>
        <w:t xml:space="preserve">, kas ir </w:t>
      </w:r>
      <w:r w:rsidRPr="00FE4811">
        <w:rPr>
          <w:rFonts w:ascii="Times New Roman" w:eastAsia="Times New Roman" w:hAnsi="Times New Roman"/>
          <w:b/>
          <w:sz w:val="28"/>
          <w:szCs w:val="28"/>
        </w:rPr>
        <w:t xml:space="preserve">par 17,63% vairāk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3244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7F27E0">
        <w:rPr>
          <w:rFonts w:ascii="Times New Roman" w:eastAsia="Times New Roman" w:hAnsi="Times New Roman"/>
          <w:sz w:val="28"/>
          <w:szCs w:val="28"/>
        </w:rPr>
        <w:t>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4811">
        <w:rPr>
          <w:rFonts w:ascii="Times New Roman" w:eastAsia="Times New Roman" w:hAnsi="Times New Roman"/>
          <w:b/>
          <w:sz w:val="28"/>
          <w:szCs w:val="28"/>
        </w:rPr>
        <w:t>darbiniekiem, ar kuriem noslēgts darba līgums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134E">
        <w:rPr>
          <w:rFonts w:ascii="Times New Roman" w:eastAsia="Times New Roman" w:hAnsi="Times New Roman"/>
          <w:b/>
          <w:sz w:val="28"/>
          <w:szCs w:val="28"/>
        </w:rPr>
        <w:t>– 544 gadījumos</w:t>
      </w:r>
      <w:r>
        <w:rPr>
          <w:rFonts w:ascii="Times New Roman" w:eastAsia="Times New Roman" w:hAnsi="Times New Roman"/>
          <w:sz w:val="28"/>
          <w:szCs w:val="28"/>
        </w:rPr>
        <w:t xml:space="preserve">, kas ir </w:t>
      </w:r>
      <w:r w:rsidRPr="00FE4811">
        <w:rPr>
          <w:rFonts w:ascii="Times New Roman" w:eastAsia="Times New Roman" w:hAnsi="Times New Roman"/>
          <w:b/>
          <w:sz w:val="28"/>
          <w:szCs w:val="28"/>
        </w:rPr>
        <w:t xml:space="preserve">par 73,3% vairāk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314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EF6E2C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611907" w:rsidRPr="00EF6E2C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4811">
        <w:rPr>
          <w:rFonts w:ascii="Times New Roman" w:eastAsia="Times New Roman" w:hAnsi="Times New Roman"/>
          <w:b/>
          <w:sz w:val="28"/>
          <w:szCs w:val="28"/>
        </w:rPr>
        <w:t>valsts civildienesta ierēdņiem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9134E">
        <w:rPr>
          <w:rFonts w:ascii="Times New Roman" w:eastAsia="Times New Roman" w:hAnsi="Times New Roman"/>
          <w:b/>
          <w:sz w:val="28"/>
          <w:szCs w:val="28"/>
        </w:rPr>
        <w:t>– 198 gadījumos</w:t>
      </w:r>
      <w:r>
        <w:rPr>
          <w:rFonts w:ascii="Times New Roman" w:eastAsia="Times New Roman" w:hAnsi="Times New Roman"/>
          <w:sz w:val="28"/>
          <w:szCs w:val="28"/>
        </w:rPr>
        <w:t xml:space="preserve">, kas ir </w:t>
      </w:r>
      <w:r w:rsidRPr="00FE4811">
        <w:rPr>
          <w:rFonts w:ascii="Times New Roman" w:eastAsia="Times New Roman" w:hAnsi="Times New Roman"/>
          <w:b/>
          <w:sz w:val="28"/>
          <w:szCs w:val="28"/>
        </w:rPr>
        <w:t xml:space="preserve">par 157,14% vairāk </w:t>
      </w:r>
      <w:r w:rsidRPr="000C1941">
        <w:rPr>
          <w:rFonts w:ascii="Times New Roman" w:eastAsia="Times New Roman" w:hAnsi="Times New Roman"/>
          <w:sz w:val="28"/>
          <w:szCs w:val="28"/>
        </w:rPr>
        <w:t xml:space="preserve">nekā iepriekšējā pārskata </w:t>
      </w:r>
      <w:r w:rsidRPr="000C1941">
        <w:rPr>
          <w:rFonts w:ascii="Times New Roman" w:eastAsia="Times New Roman" w:hAnsi="Times New Roman"/>
          <w:sz w:val="28"/>
          <w:szCs w:val="28"/>
        </w:rPr>
        <w:t>periodā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77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EF6E2C">
        <w:rPr>
          <w:rFonts w:ascii="Times New Roman" w:eastAsia="Times New Roman" w:hAnsi="Times New Roman"/>
          <w:sz w:val="28"/>
          <w:szCs w:val="28"/>
        </w:rPr>
        <w:t>).</w:t>
      </w:r>
    </w:p>
    <w:p w:rsidR="00611907" w:rsidRDefault="00611907" w:rsidP="0061190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11907" w:rsidRDefault="005F0C00" w:rsidP="006119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 piešķirtajiem apbalvojumiem:</w:t>
      </w:r>
    </w:p>
    <w:p w:rsidR="00611907" w:rsidRPr="00F02B4E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2CD3">
        <w:rPr>
          <w:rFonts w:ascii="Times New Roman" w:eastAsia="Times New Roman" w:hAnsi="Times New Roman"/>
          <w:sz w:val="28"/>
          <w:szCs w:val="28"/>
        </w:rPr>
        <w:t xml:space="preserve">apbalvojums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“</w:t>
      </w:r>
      <w:r w:rsidRPr="000C1941">
        <w:rPr>
          <w:rFonts w:ascii="Times New Roman" w:eastAsia="Times New Roman" w:hAnsi="Times New Roman"/>
          <w:b/>
          <w:i/>
          <w:sz w:val="28"/>
          <w:szCs w:val="28"/>
        </w:rPr>
        <w:t>pateicība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” piešķirts 1931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42,37%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par 1,19 procentpunktiem vairāk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1497 gadījumi; 41,18%);</w:t>
      </w:r>
    </w:p>
    <w:p w:rsidR="00611907" w:rsidRPr="00AD6EA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2CD3">
        <w:rPr>
          <w:rFonts w:ascii="Times New Roman" w:eastAsia="Times New Roman" w:hAnsi="Times New Roman"/>
          <w:sz w:val="28"/>
          <w:szCs w:val="28"/>
        </w:rPr>
        <w:t xml:space="preserve">apbalvojums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“</w:t>
      </w:r>
      <w:r w:rsidRPr="000C1941">
        <w:rPr>
          <w:rFonts w:ascii="Times New Roman" w:eastAsia="Times New Roman" w:hAnsi="Times New Roman"/>
          <w:b/>
          <w:i/>
          <w:sz w:val="28"/>
          <w:szCs w:val="28"/>
        </w:rPr>
        <w:t>goda raksts, atzinības raksts, goda zīme vai krūšu zīme (nozīme)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” piešķirts 1794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39,4%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par 1,7 procentpunktiem mazāk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</w:t>
      </w:r>
      <w:r w:rsidRPr="000C1941">
        <w:rPr>
          <w:rFonts w:ascii="Times New Roman" w:eastAsia="Times New Roman" w:hAnsi="Times New Roman"/>
          <w:sz w:val="28"/>
          <w:szCs w:val="28"/>
        </w:rPr>
        <w:t>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1494 gadījumi; 41,1%);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2B41">
        <w:rPr>
          <w:rFonts w:ascii="Times New Roman" w:eastAsia="Times New Roman" w:hAnsi="Times New Roman"/>
          <w:sz w:val="28"/>
          <w:szCs w:val="28"/>
        </w:rPr>
        <w:t xml:space="preserve">apbalvojums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“</w:t>
      </w:r>
      <w:r w:rsidRPr="000C1941">
        <w:rPr>
          <w:rFonts w:ascii="Times New Roman" w:eastAsia="Times New Roman" w:hAnsi="Times New Roman"/>
          <w:b/>
          <w:i/>
          <w:sz w:val="28"/>
          <w:szCs w:val="28"/>
        </w:rPr>
        <w:t>papildatvaļinājums līdz 10 kalendāra dienām amatpersonām ar speciālajām dienesta pakāpēm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piešķirts 682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14,96%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par 2,14 pro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centpunktiem vairāk </w:t>
      </w:r>
      <w:r w:rsidRPr="000C1941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466 gadījumi; 12,82%);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2B41">
        <w:rPr>
          <w:rFonts w:ascii="Times New Roman" w:eastAsia="Times New Roman" w:hAnsi="Times New Roman"/>
          <w:sz w:val="28"/>
          <w:szCs w:val="28"/>
        </w:rPr>
        <w:t xml:space="preserve">apbalvojums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“</w:t>
      </w:r>
      <w:r w:rsidRPr="000C1941">
        <w:rPr>
          <w:rFonts w:ascii="Times New Roman" w:eastAsia="Times New Roman" w:hAnsi="Times New Roman"/>
          <w:b/>
          <w:i/>
          <w:sz w:val="28"/>
          <w:szCs w:val="28"/>
        </w:rPr>
        <w:t>kārtējā speciālā dienesta pakāpe pirms termiņa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” piešķirts 100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2,19%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par 0,15 procent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punktiem mazāk </w:t>
      </w:r>
      <w:r w:rsidRPr="00E9134E">
        <w:rPr>
          <w:rFonts w:ascii="Times New Roman" w:eastAsia="Times New Roman" w:hAnsi="Times New Roman"/>
          <w:sz w:val="28"/>
          <w:szCs w:val="28"/>
        </w:rPr>
        <w:t>nekā 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85 gadījumi; 2,34%);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941">
        <w:rPr>
          <w:rFonts w:ascii="Times New Roman" w:eastAsia="Times New Roman" w:hAnsi="Times New Roman"/>
          <w:b/>
          <w:sz w:val="28"/>
          <w:szCs w:val="28"/>
        </w:rPr>
        <w:t>citu Latvijas Republikas institūciju apbalvojumi piešķirti 26 gadījumos</w:t>
      </w:r>
      <w:r w:rsidRPr="008E2B4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kas no kopējā piešķirto apbalvojumu skaita sastāda 0,57%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par 1,49 procentpunktiem mazāk </w:t>
      </w:r>
      <w:r w:rsidRPr="00E9134E">
        <w:rPr>
          <w:rFonts w:ascii="Times New Roman" w:eastAsia="Times New Roman" w:hAnsi="Times New Roman"/>
          <w:sz w:val="28"/>
          <w:szCs w:val="28"/>
        </w:rPr>
        <w:t xml:space="preserve">nekā </w:t>
      </w:r>
      <w:r w:rsidRPr="00E9134E">
        <w:rPr>
          <w:rFonts w:ascii="Times New Roman" w:eastAsia="Times New Roman" w:hAnsi="Times New Roman"/>
          <w:sz w:val="28"/>
          <w:szCs w:val="28"/>
        </w:rPr>
        <w:t>iepriekšējā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75 gadījumi; 2,06%);</w:t>
      </w:r>
    </w:p>
    <w:p w:rsidR="00611907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2B41">
        <w:rPr>
          <w:rFonts w:ascii="Times New Roman" w:eastAsia="Times New Roman" w:hAnsi="Times New Roman"/>
          <w:sz w:val="28"/>
          <w:szCs w:val="28"/>
        </w:rPr>
        <w:t xml:space="preserve">apbalvojums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“</w:t>
      </w:r>
      <w:r w:rsidRPr="000C1941">
        <w:rPr>
          <w:rFonts w:ascii="Times New Roman" w:eastAsia="Times New Roman" w:hAnsi="Times New Roman"/>
          <w:b/>
          <w:i/>
          <w:sz w:val="28"/>
          <w:szCs w:val="28"/>
        </w:rPr>
        <w:t>personīgais šaujamierocis vai aukstais ierocis</w:t>
      </w:r>
      <w:r w:rsidRPr="000C1941">
        <w:rPr>
          <w:rFonts w:ascii="Times New Roman" w:eastAsia="Times New Roman" w:hAnsi="Times New Roman"/>
          <w:b/>
          <w:sz w:val="28"/>
          <w:szCs w:val="28"/>
        </w:rPr>
        <w:t>” piešķirts 24 gadījumos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0,53%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par 0,06 procentpunktiem vairāk nekā </w:t>
      </w:r>
      <w:r w:rsidRPr="00E9134E">
        <w:rPr>
          <w:rFonts w:ascii="Times New Roman" w:eastAsia="Times New Roman" w:hAnsi="Times New Roman"/>
          <w:sz w:val="28"/>
          <w:szCs w:val="28"/>
        </w:rPr>
        <w:t>iepriek</w:t>
      </w:r>
      <w:r w:rsidRPr="00E9134E">
        <w:rPr>
          <w:rFonts w:ascii="Times New Roman" w:eastAsia="Times New Roman" w:hAnsi="Times New Roman"/>
          <w:sz w:val="28"/>
          <w:szCs w:val="28"/>
        </w:rPr>
        <w:t>šējā pārskata periodā</w:t>
      </w:r>
      <w:r>
        <w:rPr>
          <w:rFonts w:ascii="Times New Roman" w:eastAsia="Times New Roman" w:hAnsi="Times New Roman"/>
          <w:sz w:val="28"/>
          <w:szCs w:val="28"/>
        </w:rPr>
        <w:t xml:space="preserve"> (2021. gadā – 17 gadījumi; 0,47%);</w:t>
      </w:r>
    </w:p>
    <w:p w:rsidR="00C8288F" w:rsidRPr="005F0C00" w:rsidRDefault="005F0C00" w:rsidP="006119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941">
        <w:rPr>
          <w:rFonts w:ascii="Times New Roman" w:eastAsia="Times New Roman" w:hAnsi="Times New Roman"/>
          <w:b/>
          <w:sz w:val="28"/>
          <w:szCs w:val="28"/>
        </w:rPr>
        <w:t>ārvalstu apbalvojums piešķirts vienā gadījumā</w:t>
      </w:r>
      <w:r>
        <w:rPr>
          <w:rFonts w:ascii="Times New Roman" w:eastAsia="Times New Roman" w:hAnsi="Times New Roman"/>
          <w:sz w:val="28"/>
          <w:szCs w:val="28"/>
        </w:rPr>
        <w:t xml:space="preserve">, kas no kopējā piešķirto apbalvojumu skaita sastāda 0,02% un ir </w:t>
      </w:r>
      <w:r w:rsidRPr="000C1941">
        <w:rPr>
          <w:rFonts w:ascii="Times New Roman" w:eastAsia="Times New Roman" w:hAnsi="Times New Roman"/>
          <w:b/>
          <w:sz w:val="28"/>
          <w:szCs w:val="28"/>
        </w:rPr>
        <w:t>līdzīgi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C1941">
        <w:rPr>
          <w:rFonts w:ascii="Times New Roman" w:eastAsia="Times New Roman" w:hAnsi="Times New Roman"/>
          <w:b/>
          <w:sz w:val="28"/>
          <w:szCs w:val="28"/>
        </w:rPr>
        <w:t xml:space="preserve">kā iepriekšējā </w:t>
      </w:r>
      <w:r w:rsidRPr="000C1941">
        <w:rPr>
          <w:rFonts w:ascii="Times New Roman" w:eastAsia="Times New Roman" w:hAnsi="Times New Roman"/>
          <w:b/>
          <w:sz w:val="28"/>
          <w:szCs w:val="28"/>
        </w:rPr>
        <w:lastRenderedPageBreak/>
        <w:t>pārskata periodā</w:t>
      </w:r>
      <w:r>
        <w:rPr>
          <w:rFonts w:ascii="Times New Roman" w:eastAsia="Times New Roman" w:hAnsi="Times New Roman"/>
          <w:sz w:val="28"/>
          <w:szCs w:val="28"/>
        </w:rPr>
        <w:t>, kad arī šāda veida apbalvojums tika piešķirts vienā gadījumā.</w:t>
      </w:r>
    </w:p>
    <w:p w:rsidR="00624698" w:rsidRDefault="00624698" w:rsidP="00C8288F">
      <w:pPr>
        <w:rPr>
          <w:rFonts w:ascii="Times New Roman" w:hAnsi="Times New Roman" w:cs="Times New Roman"/>
          <w:sz w:val="28"/>
          <w:szCs w:val="28"/>
        </w:rPr>
      </w:pPr>
    </w:p>
    <w:p w:rsidR="00624698" w:rsidRDefault="00624698" w:rsidP="00C8288F">
      <w:pPr>
        <w:rPr>
          <w:rFonts w:ascii="Times New Roman" w:hAnsi="Times New Roman" w:cs="Times New Roman"/>
          <w:sz w:val="28"/>
          <w:szCs w:val="28"/>
        </w:rPr>
      </w:pPr>
    </w:p>
    <w:p w:rsidR="00271FB6" w:rsidRDefault="00271FB6" w:rsidP="00C8288F">
      <w:pPr>
        <w:rPr>
          <w:rFonts w:ascii="Times New Roman" w:hAnsi="Times New Roman" w:cs="Times New Roman"/>
          <w:sz w:val="28"/>
          <w:szCs w:val="28"/>
        </w:rPr>
      </w:pPr>
    </w:p>
    <w:p w:rsidR="00271FB6" w:rsidRDefault="00271FB6" w:rsidP="00611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FB6" w:rsidRDefault="00271FB6" w:rsidP="00C8288F">
      <w:pPr>
        <w:rPr>
          <w:rFonts w:ascii="Times New Roman" w:hAnsi="Times New Roman" w:cs="Times New Roman"/>
          <w:sz w:val="28"/>
          <w:szCs w:val="28"/>
        </w:rPr>
      </w:pPr>
    </w:p>
    <w:p w:rsidR="00271FB6" w:rsidRDefault="00271FB6" w:rsidP="00C8288F">
      <w:pPr>
        <w:rPr>
          <w:rFonts w:ascii="Times New Roman" w:hAnsi="Times New Roman" w:cs="Times New Roman"/>
          <w:sz w:val="28"/>
          <w:szCs w:val="28"/>
        </w:rPr>
      </w:pPr>
    </w:p>
    <w:p w:rsidR="00271FB6" w:rsidRDefault="00271FB6" w:rsidP="00C8288F">
      <w:pPr>
        <w:rPr>
          <w:rFonts w:ascii="Times New Roman" w:hAnsi="Times New Roman" w:cs="Times New Roman"/>
          <w:sz w:val="28"/>
          <w:szCs w:val="28"/>
        </w:rPr>
      </w:pPr>
    </w:p>
    <w:p w:rsidR="00271FB6" w:rsidRPr="00C8288F" w:rsidRDefault="00271FB6" w:rsidP="00C8288F">
      <w:pPr>
        <w:rPr>
          <w:rFonts w:ascii="Times New Roman" w:hAnsi="Times New Roman" w:cs="Times New Roman"/>
          <w:sz w:val="28"/>
          <w:szCs w:val="28"/>
        </w:rPr>
      </w:pPr>
    </w:p>
    <w:sectPr w:rsidR="00271FB6" w:rsidRPr="00C8288F" w:rsidSect="00611907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0C00">
      <w:pPr>
        <w:spacing w:after="0" w:line="240" w:lineRule="auto"/>
      </w:pPr>
      <w:r>
        <w:separator/>
      </w:r>
    </w:p>
  </w:endnote>
  <w:endnote w:type="continuationSeparator" w:id="0">
    <w:p w:rsidR="00000000" w:rsidRDefault="005F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88F" w:rsidRPr="00C8288F" w:rsidRDefault="00C8288F" w:rsidP="00271FB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C8288F" w:rsidRDefault="00C82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F0C00">
      <w:pPr>
        <w:spacing w:after="0" w:line="240" w:lineRule="auto"/>
      </w:pPr>
      <w:r>
        <w:separator/>
      </w:r>
    </w:p>
  </w:footnote>
  <w:footnote w:type="continuationSeparator" w:id="0">
    <w:p w:rsidR="00000000" w:rsidRDefault="005F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162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1907" w:rsidRDefault="005F0C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288F" w:rsidRPr="00C8288F" w:rsidRDefault="00C8288F" w:rsidP="00271FB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0F42"/>
    <w:multiLevelType w:val="hybridMultilevel"/>
    <w:tmpl w:val="5B3A1A8C"/>
    <w:lvl w:ilvl="0" w:tplc="6EB81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F587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EB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23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84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401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E0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4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AC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C41DE"/>
    <w:multiLevelType w:val="hybridMultilevel"/>
    <w:tmpl w:val="C01C71FE"/>
    <w:lvl w:ilvl="0" w:tplc="7CE85D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CC9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A9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C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E1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A0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C4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2F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40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27A1472"/>
    <w:multiLevelType w:val="hybridMultilevel"/>
    <w:tmpl w:val="A6DAA926"/>
    <w:lvl w:ilvl="0" w:tplc="E2BA7B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2CA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EB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B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AD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24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6A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8D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C0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84821E2"/>
    <w:multiLevelType w:val="hybridMultilevel"/>
    <w:tmpl w:val="98268CE0"/>
    <w:lvl w:ilvl="0" w:tplc="8D0EC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F3C11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9E60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CA01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7088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1629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7A5F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56E1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0220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EC"/>
    <w:rsid w:val="000143A6"/>
    <w:rsid w:val="0003239E"/>
    <w:rsid w:val="000C1941"/>
    <w:rsid w:val="000F71FD"/>
    <w:rsid w:val="00176B79"/>
    <w:rsid w:val="001F6E30"/>
    <w:rsid w:val="0024101D"/>
    <w:rsid w:val="002439ED"/>
    <w:rsid w:val="00252AEC"/>
    <w:rsid w:val="00271C22"/>
    <w:rsid w:val="00271FB6"/>
    <w:rsid w:val="002C5A5A"/>
    <w:rsid w:val="00331709"/>
    <w:rsid w:val="003B19FD"/>
    <w:rsid w:val="003C6562"/>
    <w:rsid w:val="003F297F"/>
    <w:rsid w:val="0042104D"/>
    <w:rsid w:val="004A6B77"/>
    <w:rsid w:val="0051079B"/>
    <w:rsid w:val="005F0C00"/>
    <w:rsid w:val="00602E0A"/>
    <w:rsid w:val="00611907"/>
    <w:rsid w:val="00624698"/>
    <w:rsid w:val="00652B8B"/>
    <w:rsid w:val="00663748"/>
    <w:rsid w:val="007F0401"/>
    <w:rsid w:val="007F27E0"/>
    <w:rsid w:val="008025B6"/>
    <w:rsid w:val="00802C83"/>
    <w:rsid w:val="0089545A"/>
    <w:rsid w:val="0089627F"/>
    <w:rsid w:val="008D3DBD"/>
    <w:rsid w:val="008E0E7F"/>
    <w:rsid w:val="008E2B41"/>
    <w:rsid w:val="00962171"/>
    <w:rsid w:val="00A962B8"/>
    <w:rsid w:val="00AC4D92"/>
    <w:rsid w:val="00AD6EA7"/>
    <w:rsid w:val="00B05684"/>
    <w:rsid w:val="00C02CD3"/>
    <w:rsid w:val="00C56CE7"/>
    <w:rsid w:val="00C57A3A"/>
    <w:rsid w:val="00C8288F"/>
    <w:rsid w:val="00C86101"/>
    <w:rsid w:val="00C86871"/>
    <w:rsid w:val="00CD1E8F"/>
    <w:rsid w:val="00CD2982"/>
    <w:rsid w:val="00D17A51"/>
    <w:rsid w:val="00DB1FD0"/>
    <w:rsid w:val="00DC32E7"/>
    <w:rsid w:val="00DD044B"/>
    <w:rsid w:val="00E15018"/>
    <w:rsid w:val="00E9134E"/>
    <w:rsid w:val="00EA6F4F"/>
    <w:rsid w:val="00EF6E2C"/>
    <w:rsid w:val="00F02B4E"/>
    <w:rsid w:val="00F421BB"/>
    <w:rsid w:val="00F8207C"/>
    <w:rsid w:val="00FC2C86"/>
    <w:rsid w:val="00FD272D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5433"/>
  <w15:chartTrackingRefBased/>
  <w15:docId w15:val="{163342C2-219D-4251-AC9C-7730912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8F"/>
  </w:style>
  <w:style w:type="paragraph" w:styleId="Footer">
    <w:name w:val="footer"/>
    <w:basedOn w:val="Normal"/>
    <w:link w:val="FooterChar"/>
    <w:uiPriority w:val="99"/>
    <w:unhideWhenUsed/>
    <w:rsid w:val="00C8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8F"/>
  </w:style>
  <w:style w:type="paragraph" w:styleId="ListParagraph">
    <w:name w:val="List Paragraph"/>
    <w:basedOn w:val="Normal"/>
    <w:uiPriority w:val="34"/>
    <w:qFormat/>
    <w:rsid w:val="0061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5960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Binovska</dc:creator>
  <cp:lastModifiedBy>Raimonds Pāps</cp:lastModifiedBy>
  <cp:revision>3</cp:revision>
  <dcterms:created xsi:type="dcterms:W3CDTF">2023-03-08T11:19:00Z</dcterms:created>
  <dcterms:modified xsi:type="dcterms:W3CDTF">2023-03-08T11:21:00Z</dcterms:modified>
</cp:coreProperties>
</file>