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B3D" w:rsidRDefault="00BC3B3D" w:rsidP="00BC3B3D">
      <w:pPr>
        <w:pStyle w:val="Heading210"/>
        <w:keepNext/>
        <w:keepLines/>
        <w:spacing w:after="260"/>
        <w:ind w:left="0"/>
        <w:jc w:val="center"/>
      </w:pPr>
      <w:bookmarkStart w:id="0" w:name="bookmark406"/>
      <w:bookmarkStart w:id="1" w:name="bookmark407"/>
      <w:bookmarkStart w:id="2" w:name="bookmark408"/>
      <w:bookmarkStart w:id="3" w:name="_Toc96080328"/>
      <w:bookmarkStart w:id="4" w:name="_GoBack"/>
      <w:bookmarkEnd w:id="4"/>
      <w:r>
        <w:t>Eiropas Padomes GRETA trešajā novērtējuma kārtā Latvijai izteikto rekomendāciju apkopojums latviešu valodā</w:t>
      </w:r>
    </w:p>
    <w:p w:rsidR="00BC3B3D" w:rsidRPr="00BC3B3D" w:rsidRDefault="00BC3B3D" w:rsidP="00BC3B3D">
      <w:pPr>
        <w:pStyle w:val="Heading210"/>
        <w:keepNext/>
        <w:keepLines/>
        <w:spacing w:after="260"/>
        <w:ind w:left="0"/>
        <w:jc w:val="center"/>
        <w:rPr>
          <w:color w:val="FF0000"/>
        </w:rPr>
      </w:pPr>
      <w:r w:rsidRPr="00BC3B3D">
        <w:rPr>
          <w:color w:val="FF0000"/>
        </w:rPr>
        <w:t>Neoficiāls tulkojums</w:t>
      </w:r>
    </w:p>
    <w:bookmarkEnd w:id="0"/>
    <w:bookmarkEnd w:id="1"/>
    <w:bookmarkEnd w:id="2"/>
    <w:bookmarkEnd w:id="3"/>
    <w:p w:rsidR="00D366F2" w:rsidRDefault="00BC3B3D">
      <w:pPr>
        <w:pStyle w:val="P68B1DB1-Style273"/>
        <w:spacing w:line="221" w:lineRule="auto"/>
        <w:rPr>
          <w:sz w:val="24"/>
        </w:rPr>
      </w:pPr>
      <w:r>
        <w:t>Tiesības uz informāciju</w:t>
      </w:r>
    </w:p>
    <w:p w:rsidR="00D366F2" w:rsidRDefault="001F2E21">
      <w:pPr>
        <w:pStyle w:val="Bodytext10"/>
        <w:numPr>
          <w:ilvl w:val="0"/>
          <w:numId w:val="11"/>
        </w:numPr>
        <w:tabs>
          <w:tab w:val="left" w:pos="820"/>
        </w:tabs>
        <w:ind w:left="840" w:hanging="360"/>
        <w:jc w:val="both"/>
      </w:pPr>
      <w:bookmarkStart w:id="5" w:name="bookmark409"/>
      <w:bookmarkEnd w:id="5"/>
      <w:r>
        <w:t>GRETA</w:t>
      </w:r>
      <w:r w:rsidR="00BC3B3D">
        <w:t xml:space="preserve"> aicina Latviju pastāvīgi popularizēt palīdzības</w:t>
      </w:r>
      <w:r>
        <w:t xml:space="preserve"> un konsultācijas</w:t>
      </w:r>
      <w:r w:rsidR="00BC3B3D">
        <w:t xml:space="preserve"> tālruņus, izmantojot sociālos plašsaziņas </w:t>
      </w:r>
      <w:r>
        <w:t>vai citus līdzekļus.</w:t>
      </w:r>
    </w:p>
    <w:p w:rsidR="00D366F2" w:rsidRDefault="001F2E21" w:rsidP="00162430">
      <w:pPr>
        <w:pStyle w:val="Bodytext10"/>
        <w:numPr>
          <w:ilvl w:val="0"/>
          <w:numId w:val="11"/>
        </w:numPr>
        <w:tabs>
          <w:tab w:val="left" w:pos="820"/>
        </w:tabs>
        <w:ind w:left="840" w:hanging="360"/>
        <w:jc w:val="both"/>
      </w:pPr>
      <w:bookmarkStart w:id="6" w:name="bookmark410"/>
      <w:bookmarkEnd w:id="6"/>
      <w:r>
        <w:t>GRETA</w:t>
      </w:r>
      <w:r w:rsidR="00BC3B3D">
        <w:t xml:space="preserve"> uzskata, ka Latvijai ir jāstiprina sistemātiska informācijas sniegšana </w:t>
      </w:r>
      <w:r w:rsidR="00162430">
        <w:t xml:space="preserve">iespējamiem un </w:t>
      </w:r>
      <w:r w:rsidR="00BC3B3D">
        <w:t>identificētiem cilvēku tirdzniecības upuriem par viņu tiesībām, pieejamajiem pakalpojumiem u</w:t>
      </w:r>
      <w:r w:rsidR="00162430">
        <w:t xml:space="preserve">n piekļuves iespējām. Ir jānodrošina </w:t>
      </w:r>
      <w:r w:rsidR="00BC3B3D">
        <w:t>rakstisku materiālu izstrāde dažādās valodās, kuros</w:t>
      </w:r>
      <w:r w:rsidR="00162430">
        <w:t xml:space="preserve"> izskaidro</w:t>
      </w:r>
      <w:r w:rsidR="00BC3B3D">
        <w:t>tas</w:t>
      </w:r>
      <w:r w:rsidR="00162430">
        <w:t xml:space="preserve"> upuru </w:t>
      </w:r>
      <w:r w:rsidR="00BC3B3D">
        <w:t>tiesības</w:t>
      </w:r>
      <w:r w:rsidR="00162430">
        <w:t>. Tāpat ir jānodrošina, ka</w:t>
      </w:r>
      <w:r w:rsidR="00BC3B3D">
        <w:t xml:space="preserve"> policijas un imigrācijas darbinieki materiālus</w:t>
      </w:r>
      <w:r w:rsidR="00162430">
        <w:t xml:space="preserve"> </w:t>
      </w:r>
      <w:r w:rsidR="00BC3B3D">
        <w:t>nodod upuriem. Policijas</w:t>
      </w:r>
      <w:r w:rsidR="00162430">
        <w:t xml:space="preserve"> </w:t>
      </w:r>
      <w:r w:rsidR="00BC3B3D">
        <w:t xml:space="preserve">amatpersonām, darba inspektoriem un personālam, </w:t>
      </w:r>
      <w:r w:rsidR="00162430">
        <w:t>kuri sniedz konsultācijas un palīdzību</w:t>
      </w:r>
      <w:r w:rsidR="00BC3B3D">
        <w:t>,</w:t>
      </w:r>
      <w:r w:rsidR="00162430">
        <w:t xml:space="preserve"> ir</w:t>
      </w:r>
      <w:r w:rsidR="00BC3B3D">
        <w:t xml:space="preserve"> jābūt apmācītiem un instruētiem par to, kā pienācīgi izskaidrot cilvēku tirdzniecības upuriem viņu tiesības, ņemot vērā viņu kognitīvās prasmes un psiholoģisko stāvokli. Tāpat darbiniekiem, kas strādā patvēruma uzņemšanas un aizturēšanas centros, arī turpmāk jābūt apmācītiem un instruētiem par to, kā proaktīvi sniegt informāciju personām un grupām, kas pakļautas cilvēku t</w:t>
      </w:r>
      <w:r w:rsidR="00162430">
        <w:t>irdzniecības riskam</w:t>
      </w:r>
      <w:r w:rsidR="00BC3B3D">
        <w:t>.</w:t>
      </w:r>
    </w:p>
    <w:p w:rsidR="00D366F2" w:rsidRDefault="00162430">
      <w:pPr>
        <w:pStyle w:val="P68B1DB1-Style273"/>
        <w:spacing w:line="221" w:lineRule="auto"/>
        <w:rPr>
          <w:sz w:val="24"/>
        </w:rPr>
      </w:pPr>
      <w:r>
        <w:t>Juridiskais atbalsts</w:t>
      </w:r>
      <w:r w:rsidR="00BC3B3D">
        <w:t xml:space="preserve"> un bezmaksas juridiskā palīdzība</w:t>
      </w:r>
    </w:p>
    <w:p w:rsidR="00D366F2" w:rsidRDefault="001F2E21">
      <w:pPr>
        <w:pStyle w:val="Bodytext10"/>
        <w:numPr>
          <w:ilvl w:val="0"/>
          <w:numId w:val="11"/>
        </w:numPr>
        <w:tabs>
          <w:tab w:val="left" w:pos="820"/>
        </w:tabs>
        <w:ind w:left="840" w:hanging="360"/>
        <w:jc w:val="both"/>
      </w:pPr>
      <w:bookmarkStart w:id="7" w:name="bookmark411"/>
      <w:bookmarkEnd w:id="7"/>
      <w:r>
        <w:t>GRETA</w:t>
      </w:r>
      <w:r w:rsidR="00BC3B3D">
        <w:t xml:space="preserve"> uzskata, ka Latvijai ir jāīsteno</w:t>
      </w:r>
      <w:r w:rsidR="00162430">
        <w:t xml:space="preserve"> </w:t>
      </w:r>
      <w:r w:rsidR="00BC3B3D">
        <w:t>pasākumi, lai atvieglotu un garantētu tiesu pieejamību cilvēku tirdzniecības upuriem, jo īpaši nodrošinot, ka:</w:t>
      </w:r>
    </w:p>
    <w:p w:rsidR="00D366F2" w:rsidRDefault="00162430">
      <w:pPr>
        <w:pStyle w:val="Bodytext10"/>
        <w:numPr>
          <w:ilvl w:val="0"/>
          <w:numId w:val="12"/>
        </w:numPr>
        <w:tabs>
          <w:tab w:val="left" w:pos="1198"/>
        </w:tabs>
        <w:ind w:left="1200" w:hanging="360"/>
        <w:jc w:val="both"/>
      </w:pPr>
      <w:bookmarkStart w:id="8" w:name="bookmark412"/>
      <w:bookmarkEnd w:id="8"/>
      <w:r>
        <w:t>t</w:t>
      </w:r>
      <w:r w:rsidR="00BC3B3D">
        <w:t xml:space="preserve">iklīdz ir pamatots iemesls uzskatīt, ka persona ir cilvēku tirdzniecības upuris, </w:t>
      </w:r>
      <w:r>
        <w:t xml:space="preserve">tiek iecelts specializēts jurists, tai skaitā </w:t>
      </w:r>
      <w:r w:rsidR="00BC3B3D">
        <w:t xml:space="preserve">pirms </w:t>
      </w:r>
      <w:r>
        <w:t>persona ir izlēmusi,</w:t>
      </w:r>
      <w:r w:rsidR="00BC3B3D">
        <w:t xml:space="preserve"> vai </w:t>
      </w:r>
      <w:r>
        <w:t>sadarbosies</w:t>
      </w:r>
      <w:r w:rsidR="00BC3B3D">
        <w:t xml:space="preserve"> ar iestādēm un/vai sniegs oficiālu liecību;</w:t>
      </w:r>
    </w:p>
    <w:p w:rsidR="00D366F2" w:rsidRDefault="00162430">
      <w:pPr>
        <w:pStyle w:val="Bodytext10"/>
        <w:numPr>
          <w:ilvl w:val="0"/>
          <w:numId w:val="12"/>
        </w:numPr>
        <w:tabs>
          <w:tab w:val="left" w:pos="1198"/>
        </w:tabs>
        <w:ind w:left="1200" w:hanging="360"/>
        <w:jc w:val="both"/>
      </w:pPr>
      <w:bookmarkStart w:id="9" w:name="bookmark413"/>
      <w:bookmarkEnd w:id="9"/>
      <w:r>
        <w:t>jāveicina</w:t>
      </w:r>
      <w:r w:rsidR="00BC3B3D">
        <w:t xml:space="preserve"> juristu apmācību un specializāciju, lai </w:t>
      </w:r>
      <w:r>
        <w:t>varētu sniegt</w:t>
      </w:r>
      <w:r w:rsidR="00BC3B3D">
        <w:t xml:space="preserve"> juridisko palīdzību cilvē</w:t>
      </w:r>
      <w:r>
        <w:t xml:space="preserve">ku tirdzniecības upuriem. Tāpat ir jānodrošina, ka specializēta advokāta iecelšana ir sistemātiska. </w:t>
      </w:r>
    </w:p>
    <w:p w:rsidR="00D366F2" w:rsidRDefault="00BC3B3D">
      <w:pPr>
        <w:pStyle w:val="P68B1DB1-Style273"/>
        <w:spacing w:line="221" w:lineRule="auto"/>
        <w:rPr>
          <w:sz w:val="24"/>
        </w:rPr>
      </w:pPr>
      <w:r>
        <w:t>Psiholoģiskā palīdzība</w:t>
      </w:r>
    </w:p>
    <w:p w:rsidR="00D366F2" w:rsidRDefault="001F2E21">
      <w:pPr>
        <w:pStyle w:val="Bodytext10"/>
        <w:numPr>
          <w:ilvl w:val="0"/>
          <w:numId w:val="11"/>
        </w:numPr>
        <w:tabs>
          <w:tab w:val="left" w:pos="820"/>
        </w:tabs>
        <w:ind w:left="840" w:hanging="360"/>
        <w:jc w:val="both"/>
      </w:pPr>
      <w:bookmarkStart w:id="10" w:name="bookmark414"/>
      <w:bookmarkEnd w:id="10"/>
      <w:r>
        <w:t>GRETA</w:t>
      </w:r>
      <w:r w:rsidR="00BC3B3D">
        <w:t xml:space="preserve"> uzskata, ka Latvijai ir jāīsteno pasākumi, lai nodrošinātu, ka cilvēku tirdzniecības upuriem vajadzības gadījumā pēc sešu mēnešu rehabilitācijas programmas tiek sniegta ilgtermiņa psiholoģiskā palīdzība, tādējādi palīdzot pārvarēt piedzīvoto traumu un panāktu ilgstošu atveseļošanos un </w:t>
      </w:r>
      <w:r w:rsidR="00687E01">
        <w:t>sociālo integrāciju</w:t>
      </w:r>
      <w:r w:rsidR="00BC3B3D">
        <w:t>.</w:t>
      </w:r>
    </w:p>
    <w:p w:rsidR="00D366F2" w:rsidRDefault="00BC3B3D">
      <w:pPr>
        <w:pStyle w:val="P68B1DB1-Style273"/>
        <w:spacing w:line="221" w:lineRule="auto"/>
        <w:rPr>
          <w:sz w:val="24"/>
        </w:rPr>
      </w:pPr>
      <w:r>
        <w:t>Darba, profesionālās apmācības un izglītības pieejamība</w:t>
      </w:r>
    </w:p>
    <w:p w:rsidR="00D366F2" w:rsidRDefault="001F2E21">
      <w:pPr>
        <w:pStyle w:val="Bodytext10"/>
        <w:numPr>
          <w:ilvl w:val="0"/>
          <w:numId w:val="11"/>
        </w:numPr>
        <w:tabs>
          <w:tab w:val="left" w:pos="820"/>
        </w:tabs>
        <w:ind w:left="840" w:hanging="360"/>
        <w:jc w:val="both"/>
      </w:pPr>
      <w:bookmarkStart w:id="11" w:name="bookmark415"/>
      <w:bookmarkEnd w:id="11"/>
      <w:r>
        <w:t>GRETA</w:t>
      </w:r>
      <w:r w:rsidR="00BC3B3D">
        <w:t xml:space="preserve"> uzskata, ka Latvijai cilvēku tirdzniecības upuru ekonomiskajai un sociālajai iekļaušanai ir jāveicina efektīva piekļuve darba tirgum, nodrošinot profesionālo apmācību un iekārtošanu darbā, palielinot dažādu darba devē</w:t>
      </w:r>
      <w:r w:rsidR="00687E01">
        <w:t xml:space="preserve">ju informētību un veicinot mazo uzņēmumu, sociālo </w:t>
      </w:r>
      <w:r w:rsidR="00687E01">
        <w:softHyphen/>
        <w:t>uzņēmumu</w:t>
      </w:r>
      <w:r w:rsidR="00BC3B3D">
        <w:t xml:space="preserve"> un publiskā un privātā sektora partnerības, tostarp izmantojot valsts atbalstītas nodarbinātības programmas, lai radītu atbilstošas darba iespējas cilvēku tirdzniecības upuriem.</w:t>
      </w:r>
    </w:p>
    <w:p w:rsidR="00D366F2" w:rsidRDefault="00BC3B3D">
      <w:pPr>
        <w:pStyle w:val="P68B1DB1-Style273"/>
        <w:spacing w:line="221" w:lineRule="auto"/>
        <w:jc w:val="both"/>
        <w:rPr>
          <w:sz w:val="24"/>
        </w:rPr>
      </w:pPr>
      <w:r>
        <w:t>Kompensācija</w:t>
      </w:r>
    </w:p>
    <w:p w:rsidR="00D366F2" w:rsidRDefault="001F2E21">
      <w:pPr>
        <w:pStyle w:val="Bodytext10"/>
        <w:numPr>
          <w:ilvl w:val="0"/>
          <w:numId w:val="11"/>
        </w:numPr>
        <w:tabs>
          <w:tab w:val="left" w:pos="698"/>
        </w:tabs>
        <w:ind w:left="720" w:hanging="360"/>
        <w:jc w:val="both"/>
      </w:pPr>
      <w:bookmarkStart w:id="12" w:name="bookmark416"/>
      <w:bookmarkEnd w:id="12"/>
      <w:r>
        <w:t>GRETA</w:t>
      </w:r>
      <w:r w:rsidR="001F5A7F">
        <w:t xml:space="preserve"> mudina Latviju</w:t>
      </w:r>
      <w:r w:rsidR="00BC3B3D">
        <w:t xml:space="preserve"> pielikt papildu pūles, lai garantētu </w:t>
      </w:r>
      <w:r w:rsidR="001F5A7F">
        <w:t xml:space="preserve">cilvēku tirdzniecības upuriem </w:t>
      </w:r>
      <w:r w:rsidR="00BC3B3D">
        <w:t>efektīvu piekļuvi kompensācijai, jo īpaši:</w:t>
      </w:r>
    </w:p>
    <w:p w:rsidR="00D366F2" w:rsidRDefault="00BC3B3D">
      <w:pPr>
        <w:pStyle w:val="Bodytext10"/>
        <w:numPr>
          <w:ilvl w:val="0"/>
          <w:numId w:val="12"/>
        </w:numPr>
        <w:tabs>
          <w:tab w:val="left" w:pos="1085"/>
        </w:tabs>
        <w:ind w:left="1080" w:hanging="360"/>
        <w:jc w:val="both"/>
      </w:pPr>
      <w:bookmarkStart w:id="13" w:name="bookmark417"/>
      <w:bookmarkEnd w:id="13"/>
      <w:r>
        <w:lastRenderedPageBreak/>
        <w:t xml:space="preserve">pilnībā izmantot </w:t>
      </w:r>
      <w:r w:rsidR="00687E01">
        <w:t>normatīvajā regulējumā paredzētās tiesības</w:t>
      </w:r>
      <w:r>
        <w:t xml:space="preserve"> par līdzekļu iesaldēšanu un atsavināšanu, kā arī starptautisko sadarbību, lai nodrošinātu kompensāciju cilvēku tirdzniecības upuriem un nodrošinātu, ka atgūstamā manta, kas konfiscēta kriminālprocesā, pēc iespējas ātrāk tiek atdota cietušajam vai izmantota, lai cietušajam izmaksātu kompensāciju;</w:t>
      </w:r>
    </w:p>
    <w:p w:rsidR="00D366F2" w:rsidRDefault="00BC3B3D">
      <w:pPr>
        <w:pStyle w:val="Bodytext10"/>
        <w:numPr>
          <w:ilvl w:val="0"/>
          <w:numId w:val="12"/>
        </w:numPr>
        <w:tabs>
          <w:tab w:val="left" w:pos="1085"/>
        </w:tabs>
        <w:ind w:left="1080" w:hanging="360"/>
        <w:jc w:val="both"/>
      </w:pPr>
      <w:bookmarkStart w:id="14" w:name="bookmark418"/>
      <w:bookmarkEnd w:id="14"/>
      <w:r>
        <w:t>iekļaut jautājumu par kompensāciju advokātu, prokuroru un tiesnešu apmācīb</w:t>
      </w:r>
      <w:r w:rsidR="001F5A7F">
        <w:t>u</w:t>
      </w:r>
      <w:r>
        <w:t xml:space="preserve"> programmās un mudināt viņus izmantot visas iespējas, ko piedāvā </w:t>
      </w:r>
      <w:r w:rsidR="00687E01">
        <w:t>normatīvais regulējums ar mērķi apmierināt</w:t>
      </w:r>
      <w:r>
        <w:t xml:space="preserve"> cilvēku tirdzniecības upuru prasīb</w:t>
      </w:r>
      <w:r w:rsidR="00687E01">
        <w:t xml:space="preserve">as </w:t>
      </w:r>
      <w:r w:rsidR="001F5A7F">
        <w:t>pēc kompensācijas</w:t>
      </w:r>
      <w:r>
        <w:t>.</w:t>
      </w:r>
    </w:p>
    <w:p w:rsidR="00D366F2" w:rsidRDefault="00BC3B3D">
      <w:pPr>
        <w:pStyle w:val="P68B1DB1-Style273"/>
        <w:spacing w:line="221" w:lineRule="auto"/>
        <w:jc w:val="both"/>
        <w:rPr>
          <w:sz w:val="24"/>
        </w:rPr>
      </w:pPr>
      <w:r>
        <w:t>Izmeklēšana, kriminālvajāšana, sankcijas un pasākumi</w:t>
      </w:r>
    </w:p>
    <w:p w:rsidR="00D366F2" w:rsidRDefault="001F2E21">
      <w:pPr>
        <w:pStyle w:val="Bodytext10"/>
        <w:numPr>
          <w:ilvl w:val="0"/>
          <w:numId w:val="11"/>
        </w:numPr>
        <w:tabs>
          <w:tab w:val="left" w:pos="698"/>
        </w:tabs>
        <w:ind w:left="720" w:hanging="360"/>
        <w:jc w:val="both"/>
      </w:pPr>
      <w:bookmarkStart w:id="15" w:name="bookmark419"/>
      <w:bookmarkEnd w:id="15"/>
      <w:r>
        <w:t>GRETA</w:t>
      </w:r>
      <w:r w:rsidR="00BC3B3D">
        <w:t xml:space="preserve"> atzinīgi vērtē to, ka ir pieņemts likums par noziedzīgi iegūtu </w:t>
      </w:r>
      <w:r w:rsidR="001F5A7F">
        <w:t>līdzekļu</w:t>
      </w:r>
      <w:r w:rsidR="00BC3B3D">
        <w:t xml:space="preserve"> konfiskāciju, un aicina Latvijas iestādes</w:t>
      </w:r>
      <w:r w:rsidR="00687E01">
        <w:t xml:space="preserve"> turpināt stiprināt spēju atklāt</w:t>
      </w:r>
      <w:r w:rsidR="00BC3B3D">
        <w:t xml:space="preserve">, </w:t>
      </w:r>
      <w:r w:rsidR="00687E01">
        <w:t xml:space="preserve">arestēt </w:t>
      </w:r>
      <w:r w:rsidR="00BC3B3D">
        <w:t xml:space="preserve">un konfiscēt </w:t>
      </w:r>
      <w:r w:rsidR="001F5A7F">
        <w:t>nelegāli iegūtu līdzekļus</w:t>
      </w:r>
      <w:r w:rsidR="00BC3B3D">
        <w:t xml:space="preserve">, tostarp </w:t>
      </w:r>
      <w:r w:rsidR="00687E01">
        <w:t xml:space="preserve">nodrošinot izmeklētāju specializāciju un šādu speciālistu klātbūtni </w:t>
      </w:r>
      <w:r w:rsidR="00BC3B3D">
        <w:t xml:space="preserve">visās </w:t>
      </w:r>
      <w:r w:rsidR="00687E01">
        <w:t>struktūrvienības</w:t>
      </w:r>
      <w:r w:rsidR="00BC3B3D">
        <w:t>, kas izmeklē ar cilvēku tirdzniecību saistītus nozi</w:t>
      </w:r>
      <w:r w:rsidR="00687E01">
        <w:t>edzīgus nodarījumus</w:t>
      </w:r>
      <w:r w:rsidR="00BC3B3D">
        <w:t>.</w:t>
      </w:r>
    </w:p>
    <w:p w:rsidR="00D366F2" w:rsidRDefault="001F2E21">
      <w:pPr>
        <w:pStyle w:val="Bodytext10"/>
        <w:numPr>
          <w:ilvl w:val="0"/>
          <w:numId w:val="11"/>
        </w:numPr>
        <w:tabs>
          <w:tab w:val="left" w:pos="698"/>
        </w:tabs>
        <w:ind w:left="720" w:hanging="360"/>
        <w:jc w:val="both"/>
      </w:pPr>
      <w:bookmarkStart w:id="16" w:name="bookmark420"/>
      <w:bookmarkEnd w:id="16"/>
      <w:r>
        <w:t>GRETA</w:t>
      </w:r>
      <w:r w:rsidR="00BC3B3D">
        <w:t xml:space="preserve"> mudina Latvijas iestādes veikt pasākumus, lai</w:t>
      </w:r>
      <w:r w:rsidR="001F5A7F">
        <w:t xml:space="preserve"> stiprinātu krimināljustīciju</w:t>
      </w:r>
      <w:r w:rsidR="00BC3B3D">
        <w:t xml:space="preserve"> </w:t>
      </w:r>
      <w:r w:rsidR="00687E01">
        <w:t>cilvēku tirdzniecības gadījumos</w:t>
      </w:r>
      <w:r w:rsidR="00BC3B3D">
        <w:t>, tostarp:</w:t>
      </w:r>
    </w:p>
    <w:p w:rsidR="00D366F2" w:rsidRDefault="00BC3B3D">
      <w:pPr>
        <w:pStyle w:val="Bodytext10"/>
        <w:numPr>
          <w:ilvl w:val="0"/>
          <w:numId w:val="12"/>
        </w:numPr>
        <w:tabs>
          <w:tab w:val="left" w:pos="1085"/>
        </w:tabs>
        <w:ind w:left="1080" w:hanging="360"/>
        <w:jc w:val="both"/>
      </w:pPr>
      <w:bookmarkStart w:id="17" w:name="bookmark421"/>
      <w:bookmarkEnd w:id="17"/>
      <w:r>
        <w:t xml:space="preserve">nodrošināt, ka cilvēku tirdzniecības nodarījumi </w:t>
      </w:r>
      <w:r w:rsidR="00687E01">
        <w:t>ir</w:t>
      </w:r>
      <w:r>
        <w:t xml:space="preserve"> proaktīvi un ātri izmeklēti, izmantojot īpaš</w:t>
      </w:r>
      <w:r w:rsidR="001F5A7F">
        <w:t>ās</w:t>
      </w:r>
      <w:r>
        <w:t xml:space="preserve"> izmeklēšanas metodes, lai savāktu materiālus, dokumentārus, fin</w:t>
      </w:r>
      <w:r w:rsidR="00687E01">
        <w:t>anšu un digitālos pierādījumus, nepaļaujoties</w:t>
      </w:r>
      <w:r>
        <w:t xml:space="preserve"> tikai uz cietušo vai liecinieku liecībām;</w:t>
      </w:r>
    </w:p>
    <w:p w:rsidR="00D366F2" w:rsidRDefault="00BC3B3D">
      <w:pPr>
        <w:pStyle w:val="Bodytext10"/>
        <w:numPr>
          <w:ilvl w:val="0"/>
          <w:numId w:val="12"/>
        </w:numPr>
        <w:tabs>
          <w:tab w:val="left" w:pos="1085"/>
        </w:tabs>
        <w:ind w:left="1080" w:hanging="360"/>
        <w:jc w:val="both"/>
      </w:pPr>
      <w:bookmarkStart w:id="18" w:name="bookmark422"/>
      <w:bookmarkEnd w:id="18"/>
      <w:r>
        <w:t>informēt prokurorus un tiesnešus par cilvēku tirdzniecības upuru</w:t>
      </w:r>
      <w:r w:rsidR="001F5A7F">
        <w:t xml:space="preserve"> tiesībām, nodrošinot apmācību saskaņā ar Eiropas Cilvēktiesību tiesas judikatūru</w:t>
      </w:r>
      <w:r>
        <w:t xml:space="preserve">, un veicinot specializācijas attīstību </w:t>
      </w:r>
      <w:r w:rsidR="001F5A7F">
        <w:t xml:space="preserve">par </w:t>
      </w:r>
      <w:r>
        <w:t>cilv</w:t>
      </w:r>
      <w:r w:rsidR="001F5A7F">
        <w:t>ēku tirdzniecības lietām</w:t>
      </w:r>
      <w:r>
        <w:t>;</w:t>
      </w:r>
    </w:p>
    <w:p w:rsidR="00D366F2" w:rsidRDefault="00BC3B3D">
      <w:pPr>
        <w:pStyle w:val="Bodytext10"/>
        <w:numPr>
          <w:ilvl w:val="0"/>
          <w:numId w:val="12"/>
        </w:numPr>
        <w:tabs>
          <w:tab w:val="left" w:pos="1085"/>
        </w:tabs>
        <w:ind w:left="1080" w:hanging="360"/>
        <w:jc w:val="both"/>
      </w:pPr>
      <w:bookmarkStart w:id="19" w:name="bookmark423"/>
      <w:bookmarkEnd w:id="19"/>
      <w:r>
        <w:t xml:space="preserve">nodrošināt, ka </w:t>
      </w:r>
      <w:r w:rsidR="001F5A7F">
        <w:t xml:space="preserve">par </w:t>
      </w:r>
      <w:r>
        <w:t>cilvēku tirdzniecības</w:t>
      </w:r>
      <w:r w:rsidR="001F5A7F">
        <w:t xml:space="preserve"> noziegumu</w:t>
      </w:r>
      <w:r>
        <w:t xml:space="preserve"> notiesātajiem tiek piemērotas efektīvas, samērīgas un pr</w:t>
      </w:r>
      <w:r w:rsidR="00687E01">
        <w:t>eventīvas sankcijas</w:t>
      </w:r>
      <w:r>
        <w:t>.</w:t>
      </w:r>
    </w:p>
    <w:p w:rsidR="00D366F2" w:rsidRDefault="001F2E21">
      <w:pPr>
        <w:pStyle w:val="Bodytext10"/>
        <w:numPr>
          <w:ilvl w:val="0"/>
          <w:numId w:val="11"/>
        </w:numPr>
        <w:tabs>
          <w:tab w:val="left" w:pos="698"/>
        </w:tabs>
        <w:ind w:left="720" w:hanging="360"/>
        <w:jc w:val="both"/>
      </w:pPr>
      <w:bookmarkStart w:id="20" w:name="bookmark424"/>
      <w:bookmarkEnd w:id="20"/>
      <w:r>
        <w:t>GRETA</w:t>
      </w:r>
      <w:r w:rsidR="001F5A7F">
        <w:t xml:space="preserve"> arī uzskata, ka Latvijā</w:t>
      </w:r>
      <w:r w:rsidR="00BC3B3D">
        <w:t xml:space="preserve"> ir </w:t>
      </w:r>
      <w:r w:rsidR="001F5A7F">
        <w:t xml:space="preserve">jāīsteno </w:t>
      </w:r>
      <w:r w:rsidR="00BC3B3D">
        <w:t>pasākumi, lai nodrošinātu, ka tiesvedības ilgums cilvēku tirdzniecības lietās ir saprātīgs saskaņā ar Eiropas</w:t>
      </w:r>
      <w:r w:rsidR="00687E01">
        <w:t xml:space="preserve"> Cilvēktiesību tiesas </w:t>
      </w:r>
      <w:r w:rsidR="00BC3B3D">
        <w:t>(saistībā ar ECTK 6. panta 1. punktu) un Eiropas Komisijas par tiesiskuma efektivitāti (CEPEJ) noteiktajiem s</w:t>
      </w:r>
      <w:r w:rsidR="00687E01">
        <w:t>tandartiem</w:t>
      </w:r>
      <w:r w:rsidR="00BC3B3D">
        <w:t>.</w:t>
      </w:r>
    </w:p>
    <w:p w:rsidR="00D366F2" w:rsidRDefault="00BC3B3D">
      <w:pPr>
        <w:pStyle w:val="P68B1DB1-Style273"/>
        <w:spacing w:line="221" w:lineRule="auto"/>
        <w:jc w:val="both"/>
        <w:rPr>
          <w:sz w:val="24"/>
        </w:rPr>
      </w:pPr>
      <w:r>
        <w:t>Noteikums par nesodāmību</w:t>
      </w:r>
    </w:p>
    <w:p w:rsidR="00D366F2" w:rsidRDefault="00BC3B3D">
      <w:pPr>
        <w:pStyle w:val="Bodytext10"/>
        <w:numPr>
          <w:ilvl w:val="0"/>
          <w:numId w:val="11"/>
        </w:numPr>
        <w:tabs>
          <w:tab w:val="left" w:pos="698"/>
        </w:tabs>
        <w:ind w:left="720" w:hanging="360"/>
        <w:jc w:val="both"/>
      </w:pPr>
      <w:bookmarkStart w:id="21" w:name="bookmark425"/>
      <w:bookmarkEnd w:id="21"/>
      <w:r>
        <w:t xml:space="preserve">Atzinīgi vērtējot Administratīvo pārkāpumu kodeksā ieviestās izmaiņas tiesību aktos un iepriekš minēto Latvijas </w:t>
      </w:r>
      <w:r w:rsidR="00687E01">
        <w:t>Republikas Tiesībsarga</w:t>
      </w:r>
      <w:r>
        <w:t xml:space="preserve"> atzinumu, </w:t>
      </w:r>
      <w:r w:rsidR="001F2E21">
        <w:t>GRETA</w:t>
      </w:r>
      <w:r>
        <w:t xml:space="preserve"> uzskata, ka Latvijas iestādēm </w:t>
      </w:r>
      <w:r w:rsidR="00687E01">
        <w:t>jāīsteno</w:t>
      </w:r>
      <w:r>
        <w:t xml:space="preserve"> pasākumi, lai nodrošinātu cilvēku tirdzniecības upuru nesodīšanas principa efektīvu konsekventu piemērošanu par iesai</w:t>
      </w:r>
      <w:r w:rsidR="00687E01">
        <w:t>stīšanos nelikumīgās darbībās</w:t>
      </w:r>
      <w:r w:rsidR="001F5A7F">
        <w:t>, tiktāl, cik personas bija piespiestas ekpluatācijas rezultātā</w:t>
      </w:r>
      <w:r w:rsidR="00687E01">
        <w:t xml:space="preserve">. </w:t>
      </w:r>
      <w:r w:rsidR="001F5A7F">
        <w:t>Ir jāizstrādā norādījumi</w:t>
      </w:r>
      <w:r>
        <w:t xml:space="preserve"> policijas darbiniekiem un prokuroriem par nesodāmības noteikuma darbības jomu un piemērošanu, tostarp attiecībā uz </w:t>
      </w:r>
      <w:r w:rsidR="00687E01">
        <w:t>Kriminālprocesa likuma</w:t>
      </w:r>
      <w:r>
        <w:t xml:space="preserve"> 379. panta 5. </w:t>
      </w:r>
      <w:r w:rsidR="00687E01">
        <w:t>punkta piemērošanu</w:t>
      </w:r>
      <w:r>
        <w:t>.</w:t>
      </w:r>
    </w:p>
    <w:p w:rsidR="00D366F2" w:rsidRDefault="00BC3B3D">
      <w:pPr>
        <w:pStyle w:val="P68B1DB1-Style273"/>
        <w:spacing w:line="218" w:lineRule="auto"/>
        <w:rPr>
          <w:sz w:val="24"/>
        </w:rPr>
      </w:pPr>
      <w:r>
        <w:t>Cietušo un liecinieku aizsardzība</w:t>
      </w:r>
    </w:p>
    <w:p w:rsidR="00D366F2" w:rsidRDefault="001F2E21">
      <w:pPr>
        <w:pStyle w:val="Bodytext10"/>
        <w:numPr>
          <w:ilvl w:val="0"/>
          <w:numId w:val="11"/>
        </w:numPr>
        <w:tabs>
          <w:tab w:val="left" w:pos="708"/>
        </w:tabs>
        <w:ind w:left="720" w:hanging="360"/>
        <w:jc w:val="both"/>
      </w:pPr>
      <w:bookmarkStart w:id="22" w:name="bookmark426"/>
      <w:bookmarkEnd w:id="22"/>
      <w:r>
        <w:t>GRETA</w:t>
      </w:r>
      <w:r w:rsidR="001F5A7F">
        <w:t xml:space="preserve"> mudina Latviju </w:t>
      </w:r>
      <w:r w:rsidR="00BC3B3D">
        <w:t>pilnībā izmantot pieejamos pasākumus, lai aizsargātu cietušos un lieciniekus un novērstu iebiedēšanu izmeklēšanas laikā, kā arī tiesvedīb</w:t>
      </w:r>
      <w:r w:rsidR="00687E01">
        <w:t>as laikā un pēc tā</w:t>
      </w:r>
      <w:r w:rsidR="001F5A7F">
        <w:t>s</w:t>
      </w:r>
      <w:r w:rsidR="00BC3B3D">
        <w:t>.</w:t>
      </w:r>
    </w:p>
    <w:p w:rsidR="00D366F2" w:rsidRDefault="00BC3B3D">
      <w:pPr>
        <w:pStyle w:val="P68B1DB1-Style273"/>
        <w:spacing w:line="218" w:lineRule="auto"/>
        <w:rPr>
          <w:sz w:val="24"/>
        </w:rPr>
      </w:pPr>
      <w:r>
        <w:t>Specializētās iestādes un koordinējošās struktūras</w:t>
      </w:r>
    </w:p>
    <w:p w:rsidR="00D366F2" w:rsidRDefault="001F2E21">
      <w:pPr>
        <w:pStyle w:val="Bodytext10"/>
        <w:numPr>
          <w:ilvl w:val="0"/>
          <w:numId w:val="11"/>
        </w:numPr>
        <w:tabs>
          <w:tab w:val="left" w:pos="708"/>
        </w:tabs>
        <w:ind w:left="720" w:hanging="360"/>
        <w:jc w:val="both"/>
      </w:pPr>
      <w:bookmarkStart w:id="23" w:name="bookmark427"/>
      <w:bookmarkEnd w:id="23"/>
      <w:r>
        <w:t>GRETA</w:t>
      </w:r>
      <w:r w:rsidR="00BC3B3D">
        <w:t xml:space="preserve"> atzinīgi vērtē to, </w:t>
      </w:r>
      <w:r w:rsidR="0054015D">
        <w:t>ka tiek īstenota policijas darbinieku un prokuroru specializācija cilvēku tirdzniecības lietās. U</w:t>
      </w:r>
      <w:r w:rsidR="00BC3B3D">
        <w:t xml:space="preserve">zskata, ka Latvijas iestādēm jāveicina </w:t>
      </w:r>
      <w:r w:rsidR="0054015D">
        <w:t xml:space="preserve">arī </w:t>
      </w:r>
      <w:r w:rsidR="00BC3B3D">
        <w:t xml:space="preserve">darba inspektoru un tiesnešu specializācija un apmācība cīņai </w:t>
      </w:r>
      <w:r w:rsidR="0054015D">
        <w:t>pret</w:t>
      </w:r>
      <w:r w:rsidR="00BC3B3D">
        <w:t xml:space="preserve"> cilvēku tirdzniecību. </w:t>
      </w:r>
      <w:r>
        <w:t>GRETA</w:t>
      </w:r>
      <w:r w:rsidR="00BC3B3D">
        <w:t xml:space="preserve"> arī uzskata, ka Latvijas</w:t>
      </w:r>
      <w:r w:rsidR="001F5A7F">
        <w:t xml:space="preserve"> ir</w:t>
      </w:r>
      <w:r w:rsidR="00BC3B3D">
        <w:t xml:space="preserve"> jānodrošina, lai prokuratūras reorganizācijai nebūtu negatīvas ietekmes uz prokuroru specializāciju cilvēku tirdzniecības</w:t>
      </w:r>
      <w:r w:rsidR="0054015D">
        <w:t xml:space="preserve"> lietu izskatīšanā</w:t>
      </w:r>
      <w:r w:rsidR="00BC3B3D">
        <w:t>.</w:t>
      </w:r>
    </w:p>
    <w:p w:rsidR="00D366F2" w:rsidRDefault="00BC3B3D">
      <w:pPr>
        <w:pStyle w:val="Bodytext10"/>
        <w:numPr>
          <w:ilvl w:val="0"/>
          <w:numId w:val="11"/>
        </w:numPr>
        <w:tabs>
          <w:tab w:val="left" w:pos="708"/>
        </w:tabs>
        <w:ind w:left="720" w:hanging="360"/>
        <w:jc w:val="both"/>
      </w:pPr>
      <w:bookmarkStart w:id="24" w:name="bookmark428"/>
      <w:bookmarkEnd w:id="24"/>
      <w:r>
        <w:t xml:space="preserve">Turklāt </w:t>
      </w:r>
      <w:r w:rsidR="001F2E21">
        <w:t>GRETA</w:t>
      </w:r>
      <w:r>
        <w:t xml:space="preserve"> uzskata, k</w:t>
      </w:r>
      <w:r w:rsidR="001F5A7F">
        <w:t>a Latvijai ir</w:t>
      </w:r>
      <w:r>
        <w:t xml:space="preserve"> jānodrošina atbilstoši cilvēkresursi un tehniskie resursi </w:t>
      </w:r>
      <w:r w:rsidR="0054015D">
        <w:t>specializēt</w:t>
      </w:r>
      <w:r w:rsidR="001F5A7F">
        <w:t>ās policijas nodaļas</w:t>
      </w:r>
      <w:r>
        <w:t xml:space="preserve"> cīņai pret ci</w:t>
      </w:r>
      <w:r w:rsidR="0054015D">
        <w:t>lvēku tirdzniecību</w:t>
      </w:r>
      <w:r w:rsidR="001F5A7F">
        <w:t xml:space="preserve"> darbībai</w:t>
      </w:r>
      <w:r>
        <w:t>.</w:t>
      </w:r>
    </w:p>
    <w:p w:rsidR="00D366F2" w:rsidRDefault="00BC3B3D">
      <w:pPr>
        <w:pStyle w:val="P68B1DB1-Style273"/>
        <w:spacing w:line="218" w:lineRule="auto"/>
        <w:jc w:val="both"/>
        <w:rPr>
          <w:sz w:val="24"/>
        </w:rPr>
      </w:pPr>
      <w:r>
        <w:t>Starptautiskā sadarbība</w:t>
      </w:r>
    </w:p>
    <w:p w:rsidR="00D366F2" w:rsidRDefault="001F2E21">
      <w:pPr>
        <w:pStyle w:val="Bodytext10"/>
        <w:numPr>
          <w:ilvl w:val="0"/>
          <w:numId w:val="11"/>
        </w:numPr>
        <w:tabs>
          <w:tab w:val="left" w:pos="708"/>
        </w:tabs>
        <w:ind w:left="720" w:hanging="360"/>
        <w:jc w:val="both"/>
      </w:pPr>
      <w:bookmarkStart w:id="25" w:name="bookmark429"/>
      <w:bookmarkEnd w:id="25"/>
      <w:r>
        <w:t>GRETA</w:t>
      </w:r>
      <w:r w:rsidR="00356BB5">
        <w:t xml:space="preserve"> atzinīgi vērtē Latvijas</w:t>
      </w:r>
      <w:r w:rsidR="00BC3B3D">
        <w:t xml:space="preserve"> uzsāktos sadarbības pasākumus gan krimināltiesību jomā, gan B</w:t>
      </w:r>
      <w:r w:rsidR="0054015D">
        <w:t xml:space="preserve">altijas Jūras valstu padomes </w:t>
      </w:r>
      <w:r w:rsidR="00BC3B3D">
        <w:t>ietvaros</w:t>
      </w:r>
      <w:r w:rsidR="00356BB5">
        <w:t>,</w:t>
      </w:r>
      <w:r w:rsidR="00BC3B3D">
        <w:t xml:space="preserve"> un aicina turpināt sadarbības tīklu izveidi ārpus </w:t>
      </w:r>
      <w:r w:rsidR="0054015D">
        <w:t xml:space="preserve">Baltijas Jūras valstu </w:t>
      </w:r>
      <w:r w:rsidR="00BC3B3D">
        <w:t>reģiona, jo īpaši attiecībā uz finanšu izmeklēšanu un kompensācija</w:t>
      </w:r>
      <w:r w:rsidR="0054015D">
        <w:t>s rīkojumu izpildi</w:t>
      </w:r>
      <w:r w:rsidR="00BC3B3D">
        <w:t>.</w:t>
      </w:r>
    </w:p>
    <w:p w:rsidR="00D366F2" w:rsidRDefault="0054015D">
      <w:pPr>
        <w:pStyle w:val="P68B1DB1-Style273"/>
        <w:spacing w:line="218" w:lineRule="auto"/>
        <w:jc w:val="both"/>
        <w:rPr>
          <w:sz w:val="24"/>
        </w:rPr>
      </w:pPr>
      <w:r>
        <w:t>Horizontālie</w:t>
      </w:r>
      <w:r w:rsidR="00BC3B3D">
        <w:t xml:space="preserve"> jautājumi</w:t>
      </w:r>
    </w:p>
    <w:p w:rsidR="00D366F2" w:rsidRDefault="001F2E21">
      <w:pPr>
        <w:pStyle w:val="Bodytext10"/>
        <w:numPr>
          <w:ilvl w:val="0"/>
          <w:numId w:val="11"/>
        </w:numPr>
        <w:tabs>
          <w:tab w:val="left" w:pos="708"/>
        </w:tabs>
        <w:ind w:left="720" w:hanging="360"/>
        <w:jc w:val="both"/>
      </w:pPr>
      <w:bookmarkStart w:id="26" w:name="bookmark430"/>
      <w:bookmarkEnd w:id="26"/>
      <w:r>
        <w:t>GRETA</w:t>
      </w:r>
      <w:r w:rsidR="00BC3B3D">
        <w:t xml:space="preserve"> uzskata, ka Latvijas iestādēm </w:t>
      </w:r>
      <w:r w:rsidR="0054015D">
        <w:t>jāveicina</w:t>
      </w:r>
      <w:r w:rsidR="00BC3B3D">
        <w:t xml:space="preserve"> sieviešu informētība par tie</w:t>
      </w:r>
      <w:r w:rsidR="00356BB5">
        <w:t xml:space="preserve">siskās aizsardzības līdzekļiem </w:t>
      </w:r>
      <w:r w:rsidR="0054015D">
        <w:t>viņu tiesību pārkāpumu gadījumos, t</w:t>
      </w:r>
      <w:r w:rsidR="00BC3B3D">
        <w:t xml:space="preserve">ostarp ar </w:t>
      </w:r>
      <w:r w:rsidR="0054015D">
        <w:t>Latvijas Republikas Tiesībsarga</w:t>
      </w:r>
      <w:r w:rsidR="00BC3B3D">
        <w:t xml:space="preserve"> biroja starpniecību. </w:t>
      </w:r>
    </w:p>
    <w:p w:rsidR="00D366F2" w:rsidRDefault="001F2E21">
      <w:pPr>
        <w:pStyle w:val="Bodytext10"/>
        <w:numPr>
          <w:ilvl w:val="0"/>
          <w:numId w:val="11"/>
        </w:numPr>
        <w:tabs>
          <w:tab w:val="left" w:pos="708"/>
        </w:tabs>
        <w:ind w:left="720" w:hanging="360"/>
        <w:jc w:val="both"/>
      </w:pPr>
      <w:bookmarkStart w:id="27" w:name="bookmark431"/>
      <w:bookmarkEnd w:id="27"/>
      <w:r>
        <w:t>GRETA</w:t>
      </w:r>
      <w:r w:rsidR="00BC3B3D">
        <w:t xml:space="preserve"> uzskata, ka Latvijas iestādēm jāveic pasākumi, lai nodrošinātu bērniem piemērotas procedūras cilvēku tirdzniecības lietu izmeklēšanā, kriminālvajāšanā un iztiesāšanā saskaņā ar Eiropas Padomes Ministru komitejas pamatnostādnēm par bērniem draudzīgu tiesu sistēmu, tostarp pasākumus, lai nodrošinātu, ka visā valstī ir pietiekams s</w:t>
      </w:r>
      <w:r w:rsidR="0054015D">
        <w:t>kaits bērniem draudzīgu interviju/pratināšanas telpu</w:t>
      </w:r>
      <w:r w:rsidR="00BC3B3D">
        <w:t>.</w:t>
      </w:r>
    </w:p>
    <w:p w:rsidR="00D366F2" w:rsidRDefault="001F2E21">
      <w:pPr>
        <w:pStyle w:val="Bodytext10"/>
        <w:numPr>
          <w:ilvl w:val="0"/>
          <w:numId w:val="11"/>
        </w:numPr>
        <w:tabs>
          <w:tab w:val="left" w:pos="708"/>
        </w:tabs>
        <w:ind w:left="720" w:hanging="360"/>
        <w:jc w:val="both"/>
      </w:pPr>
      <w:bookmarkStart w:id="28" w:name="bookmark432"/>
      <w:bookmarkEnd w:id="28"/>
      <w:r>
        <w:t>GRETA</w:t>
      </w:r>
      <w:r w:rsidR="00BC3B3D">
        <w:t xml:space="preserve"> atzinīgi vērtē iepriekš minētās iniciatīvas un uzskata, ka Latvijas iestādēm jāstiprina sadarbība ar privāto sektoru saskaņā ar ANO Vadoša</w:t>
      </w:r>
      <w:r w:rsidR="0054015D">
        <w:t>jiem principiem uzņēmējdarbībā un cilvēktiesībās</w:t>
      </w:r>
      <w:r w:rsidR="00BC3B3D">
        <w:t xml:space="preserve"> un Eiropas Padomes Ministru komitejas Ieteikumu CM/Rec(2016)3 par cilvēktiesībām un uzņēmējdarbību, lai palielinātu informētību par uzņēmumu svarīgo lomu un atbildību cietušo rehabilitācijas un atveseļošanās atbalst</w:t>
      </w:r>
      <w:r w:rsidR="0054015D">
        <w:t>ā, kā arī,</w:t>
      </w:r>
      <w:r w:rsidR="00BC3B3D">
        <w:t xml:space="preserve"> lai nodrošinātu piekļuvi efektīviem tiesiskās aizsardzības</w:t>
      </w:r>
      <w:r w:rsidR="00356BB5">
        <w:t xml:space="preserve"> līdzekļiem</w:t>
      </w:r>
      <w:r w:rsidR="00BC3B3D">
        <w:t>.</w:t>
      </w:r>
    </w:p>
    <w:p w:rsidR="00D366F2" w:rsidRDefault="001F2E21" w:rsidP="00356BB5">
      <w:pPr>
        <w:pStyle w:val="Bodytext10"/>
        <w:numPr>
          <w:ilvl w:val="0"/>
          <w:numId w:val="11"/>
        </w:numPr>
        <w:tabs>
          <w:tab w:val="left" w:pos="708"/>
        </w:tabs>
        <w:ind w:left="720" w:hanging="360"/>
        <w:jc w:val="both"/>
      </w:pPr>
      <w:bookmarkStart w:id="29" w:name="bookmark433"/>
      <w:bookmarkEnd w:id="29"/>
      <w:r>
        <w:t>GRETA</w:t>
      </w:r>
      <w:r w:rsidR="00356BB5">
        <w:t xml:space="preserve"> uzskata, ka Latvijai</w:t>
      </w:r>
      <w:r w:rsidR="00BC3B3D">
        <w:t xml:space="preserve"> vispārējā korupcijas apkarošanas politikā jāiekļauj pasākumi pret korupciju </w:t>
      </w:r>
      <w:r w:rsidR="0054015D">
        <w:t>cilvēku tirdzniecības kontekstā, kā arī jānodrošina šādu pasākumu efektīva ieviešana.</w:t>
      </w:r>
    </w:p>
    <w:p w:rsidR="00D366F2" w:rsidRDefault="00BC3B3D">
      <w:pPr>
        <w:pStyle w:val="Heading210"/>
        <w:keepNext/>
        <w:keepLines/>
        <w:pBdr>
          <w:top w:val="single" w:sz="4" w:space="0" w:color="auto"/>
        </w:pBdr>
        <w:spacing w:after="260"/>
        <w:ind w:left="0"/>
      </w:pPr>
      <w:bookmarkStart w:id="30" w:name="bookmark434"/>
      <w:bookmarkStart w:id="31" w:name="bookmark435"/>
      <w:bookmarkStart w:id="32" w:name="bookmark436"/>
      <w:bookmarkStart w:id="33" w:name="_Toc96080329"/>
      <w:r>
        <w:t>Latvijai raksturīgās turpmākās tēmas</w:t>
      </w:r>
      <w:bookmarkEnd w:id="30"/>
      <w:bookmarkEnd w:id="31"/>
      <w:bookmarkEnd w:id="32"/>
      <w:bookmarkEnd w:id="33"/>
    </w:p>
    <w:p w:rsidR="00D366F2" w:rsidRDefault="00BC3B3D">
      <w:pPr>
        <w:pStyle w:val="P68B1DB1-Style273"/>
        <w:rPr>
          <w:sz w:val="24"/>
        </w:rPr>
      </w:pPr>
      <w:r>
        <w:t>Attīstība tiesiskajā, institucionālajā un politiskajā satvarā cīņai pret cilvēku tirdzniecību</w:t>
      </w:r>
    </w:p>
    <w:p w:rsidR="0054015D" w:rsidRPr="00356BB5" w:rsidRDefault="001F2E21" w:rsidP="00356BB5">
      <w:pPr>
        <w:pStyle w:val="ListParagraph"/>
        <w:numPr>
          <w:ilvl w:val="0"/>
          <w:numId w:val="11"/>
        </w:numPr>
        <w:jc w:val="both"/>
        <w:rPr>
          <w:rFonts w:ascii="Tahoma" w:eastAsia="Tahoma" w:hAnsi="Tahoma" w:cs="Tahoma"/>
          <w:sz w:val="22"/>
        </w:rPr>
      </w:pPr>
      <w:bookmarkStart w:id="34" w:name="bookmark437"/>
      <w:bookmarkEnd w:id="34"/>
      <w:r w:rsidRPr="00356BB5">
        <w:rPr>
          <w:rFonts w:ascii="Tahoma" w:hAnsi="Tahoma" w:cs="Tahoma"/>
          <w:sz w:val="22"/>
          <w:szCs w:val="22"/>
        </w:rPr>
        <w:t>GRETA</w:t>
      </w:r>
      <w:r w:rsidR="00BC3B3D" w:rsidRPr="00356BB5">
        <w:rPr>
          <w:rFonts w:ascii="Tahoma" w:hAnsi="Tahoma" w:cs="Tahoma"/>
          <w:sz w:val="22"/>
          <w:szCs w:val="22"/>
        </w:rPr>
        <w:t xml:space="preserve"> uzskata</w:t>
      </w:r>
      <w:r w:rsidR="0054015D" w:rsidRPr="00356BB5">
        <w:rPr>
          <w:rFonts w:ascii="Tahoma" w:hAnsi="Tahoma" w:cs="Tahoma"/>
          <w:sz w:val="22"/>
          <w:szCs w:val="22"/>
        </w:rPr>
        <w:t>,</w:t>
      </w:r>
      <w:r w:rsidR="0054015D" w:rsidRPr="00356BB5">
        <w:rPr>
          <w:rFonts w:ascii="Tahoma" w:hAnsi="Tahoma" w:cs="Tahoma"/>
        </w:rPr>
        <w:t xml:space="preserve"> ka ir </w:t>
      </w:r>
      <w:r w:rsidR="0054015D" w:rsidRPr="00356BB5">
        <w:rPr>
          <w:rFonts w:ascii="Tahoma" w:eastAsia="Tahoma" w:hAnsi="Tahoma" w:cs="Tahoma"/>
          <w:sz w:val="22"/>
        </w:rPr>
        <w:t>jāturpina regulārs starpinstitūciju darbs, lai uzraudzītu Cilvēku tirdzniecības novēršanas plāna 2021. – 2023. gadam ieviešana. Turklāt GRETA aicina paredzēt atbilstošu finansējumu politikas ieviešanai;</w:t>
      </w:r>
    </w:p>
    <w:p w:rsidR="00D366F2" w:rsidRDefault="00D366F2" w:rsidP="0054015D">
      <w:pPr>
        <w:pStyle w:val="Bodytext10"/>
        <w:tabs>
          <w:tab w:val="left" w:pos="708"/>
        </w:tabs>
        <w:ind w:left="720"/>
        <w:jc w:val="both"/>
      </w:pPr>
    </w:p>
    <w:p w:rsidR="00D366F2" w:rsidRDefault="001F2E21">
      <w:pPr>
        <w:pStyle w:val="Bodytext10"/>
        <w:numPr>
          <w:ilvl w:val="0"/>
          <w:numId w:val="11"/>
        </w:numPr>
        <w:tabs>
          <w:tab w:val="left" w:pos="708"/>
        </w:tabs>
        <w:ind w:left="720" w:hanging="360"/>
        <w:jc w:val="both"/>
      </w:pPr>
      <w:bookmarkStart w:id="35" w:name="bookmark438"/>
      <w:bookmarkEnd w:id="35"/>
      <w:r>
        <w:t>GRETA</w:t>
      </w:r>
      <w:r w:rsidR="00BC3B3D">
        <w:t xml:space="preserve"> aicina Latvijas iestādes </w:t>
      </w:r>
      <w:r w:rsidR="0054015D">
        <w:t>noslēgt neatkarīgā ziņotāja</w:t>
      </w:r>
      <w:r w:rsidR="00BC3B3D">
        <w:t xml:space="preserve"> </w:t>
      </w:r>
      <w:r w:rsidR="0054015D">
        <w:t>izveidošanas</w:t>
      </w:r>
      <w:r w:rsidR="00BC3B3D">
        <w:t xml:space="preserve"> procesu vai </w:t>
      </w:r>
      <w:r w:rsidR="00356BB5">
        <w:t xml:space="preserve">deleģēt </w:t>
      </w:r>
      <w:r w:rsidR="00BC3B3D">
        <w:t>citu jau pastāvošu neatkarīgu mehānismu, lai nodrošinātu efektīvu valsts institūciju cilvēku tirdzniecības a</w:t>
      </w:r>
      <w:r w:rsidR="0054015D">
        <w:t>pkarošanas darbību uzraudzību</w:t>
      </w:r>
      <w:r w:rsidR="00356BB5">
        <w:t xml:space="preserve"> un priekšlikumu sniegšanu attiecīgām personām un iestādēm</w:t>
      </w:r>
      <w:r w:rsidR="00BC3B3D">
        <w:t xml:space="preserve"> (sk. Konvencijas 29. panta 4. punktu un paskaidrojuma zi</w:t>
      </w:r>
      <w:r w:rsidR="0054015D">
        <w:t>ņojuma 298. punktu)</w:t>
      </w:r>
      <w:r w:rsidR="00BC3B3D">
        <w:t>.</w:t>
      </w:r>
    </w:p>
    <w:p w:rsidR="00E0560E" w:rsidRDefault="00BC3B3D" w:rsidP="00BC3B3D">
      <w:pPr>
        <w:pStyle w:val="Bodytext10"/>
        <w:numPr>
          <w:ilvl w:val="0"/>
          <w:numId w:val="11"/>
        </w:numPr>
        <w:tabs>
          <w:tab w:val="left" w:pos="708"/>
        </w:tabs>
        <w:ind w:left="720" w:hanging="360"/>
        <w:jc w:val="both"/>
      </w:pPr>
      <w:bookmarkStart w:id="36" w:name="bookmark439"/>
      <w:bookmarkEnd w:id="36"/>
      <w:r>
        <w:t xml:space="preserve">Tā kā </w:t>
      </w:r>
      <w:r w:rsidR="0054015D">
        <w:t>pašreiz vēl nav iecelts neatkarīgais ziņotājs</w:t>
      </w:r>
      <w:r>
        <w:t xml:space="preserve">, </w:t>
      </w:r>
      <w:r w:rsidR="001F2E21">
        <w:t>GRETA</w:t>
      </w:r>
      <w:r>
        <w:t xml:space="preserve"> uzskata, ka Latvija</w:t>
      </w:r>
      <w:r w:rsidR="00356BB5">
        <w:t>i</w:t>
      </w:r>
      <w:r>
        <w:t xml:space="preserve"> </w:t>
      </w:r>
      <w:r w:rsidR="0054015D">
        <w:t>ir jānodrošina ārējs un</w:t>
      </w:r>
      <w:r>
        <w:t xml:space="preserve"> neatkarīgs </w:t>
      </w:r>
      <w:r w:rsidR="0054015D">
        <w:t xml:space="preserve">Cilvēku tirdzniecības novēršanas </w:t>
      </w:r>
      <w:r w:rsidR="00E0560E">
        <w:t>plāna 2021. – 2023. gadam</w:t>
      </w:r>
      <w:r w:rsidR="0054015D">
        <w:t xml:space="preserve"> </w:t>
      </w:r>
      <w:r>
        <w:t>novērtējums</w:t>
      </w:r>
      <w:bookmarkStart w:id="37" w:name="bookmark440"/>
      <w:bookmarkEnd w:id="37"/>
      <w:r w:rsidR="00E0560E">
        <w:t>.</w:t>
      </w:r>
    </w:p>
    <w:p w:rsidR="00D366F2" w:rsidRDefault="001F2E21" w:rsidP="00BC3B3D">
      <w:pPr>
        <w:pStyle w:val="Bodytext10"/>
        <w:numPr>
          <w:ilvl w:val="0"/>
          <w:numId w:val="11"/>
        </w:numPr>
        <w:tabs>
          <w:tab w:val="left" w:pos="708"/>
        </w:tabs>
        <w:ind w:left="720" w:hanging="360"/>
        <w:jc w:val="both"/>
      </w:pPr>
      <w:r>
        <w:t>GRETA</w:t>
      </w:r>
      <w:r w:rsidR="00E0560E">
        <w:t xml:space="preserve"> uzskata, ka Latvijai</w:t>
      </w:r>
      <w:r w:rsidR="00356BB5">
        <w:t xml:space="preserve"> ir</w:t>
      </w:r>
      <w:r w:rsidR="00E0560E">
        <w:t xml:space="preserve"> jānodrošina, ka Cilvēku tirdzniecības novēršanas plāna 2021. – 2023. gadam</w:t>
      </w:r>
      <w:r w:rsidR="00BC3B3D">
        <w:t xml:space="preserve"> īstenošana</w:t>
      </w:r>
      <w:r w:rsidR="00E0560E">
        <w:t xml:space="preserve"> tiek atbalstīta ar atbilstošu un šim mērķim paredzētu </w:t>
      </w:r>
      <w:r w:rsidR="00BC3B3D">
        <w:t>finansējumu.</w:t>
      </w:r>
    </w:p>
    <w:p w:rsidR="00D366F2" w:rsidRDefault="00BC3B3D">
      <w:pPr>
        <w:pStyle w:val="P68B1DB1-Style273"/>
        <w:spacing w:line="221" w:lineRule="auto"/>
        <w:jc w:val="both"/>
        <w:rPr>
          <w:sz w:val="24"/>
        </w:rPr>
      </w:pPr>
      <w:r>
        <w:t>Pasākumi, lai novērstu un apkarotu cilvēku tirdzniecību darbaspēka ekspluatācijas nolūkā</w:t>
      </w:r>
    </w:p>
    <w:p w:rsidR="00D366F2" w:rsidRDefault="00BC3B3D">
      <w:pPr>
        <w:pStyle w:val="Bodytext10"/>
        <w:numPr>
          <w:ilvl w:val="0"/>
          <w:numId w:val="11"/>
        </w:numPr>
        <w:tabs>
          <w:tab w:val="left" w:pos="708"/>
        </w:tabs>
        <w:ind w:left="720" w:hanging="360"/>
        <w:jc w:val="both"/>
      </w:pPr>
      <w:bookmarkStart w:id="38" w:name="bookmark441"/>
      <w:bookmarkEnd w:id="38"/>
      <w:r>
        <w:t>Atzinīgi vērtējot pasākumus, kas Latvijā veikti kopš otrā</w:t>
      </w:r>
      <w:r w:rsidR="00356BB5">
        <w:t>s kārtas</w:t>
      </w:r>
      <w:r>
        <w:t xml:space="preserve"> novērtējuma, lai novērstu un atklātu cilvēku tirdzniecību darbaspēka ekspluatācijas nolūkā, </w:t>
      </w:r>
      <w:r w:rsidR="001F2E21">
        <w:t>GRETA</w:t>
      </w:r>
      <w:r>
        <w:t xml:space="preserve"> uzskata, ka Latvijas iestādēm </w:t>
      </w:r>
      <w:r w:rsidR="00E0560E">
        <w:t>šis darbs ir jāturpina</w:t>
      </w:r>
      <w:r>
        <w:t>, tostarp:</w:t>
      </w:r>
    </w:p>
    <w:p w:rsidR="00D366F2" w:rsidRDefault="00E0560E">
      <w:pPr>
        <w:pStyle w:val="Bodytext10"/>
        <w:numPr>
          <w:ilvl w:val="0"/>
          <w:numId w:val="12"/>
        </w:numPr>
        <w:tabs>
          <w:tab w:val="left" w:pos="1083"/>
        </w:tabs>
        <w:ind w:left="1080" w:hanging="360"/>
        <w:jc w:val="both"/>
      </w:pPr>
      <w:bookmarkStart w:id="39" w:name="bookmark442"/>
      <w:bookmarkEnd w:id="39"/>
      <w:r>
        <w:t>jāstiprina</w:t>
      </w:r>
      <w:r w:rsidR="00BC3B3D">
        <w:t xml:space="preserve"> Valsts da</w:t>
      </w:r>
      <w:r>
        <w:t>rba inspekcijas cilvēkresursus</w:t>
      </w:r>
      <w:r w:rsidR="00BC3B3D">
        <w:t>,</w:t>
      </w:r>
      <w:r>
        <w:t xml:space="preserve"> lai </w:t>
      </w:r>
      <w:r w:rsidR="00356BB5">
        <w:t>pilnveidotu</w:t>
      </w:r>
      <w:r>
        <w:t xml:space="preserve"> cilvēku tirdzniecības novēršanu un atklāšanu.</w:t>
      </w:r>
      <w:r w:rsidR="00BC3B3D">
        <w:t xml:space="preserve"> </w:t>
      </w:r>
      <w:r>
        <w:t xml:space="preserve">Tostarp ir jāstrādā ar </w:t>
      </w:r>
      <w:r w:rsidR="00BC3B3D">
        <w:t xml:space="preserve">faktoriem, kas </w:t>
      </w:r>
      <w:r>
        <w:t>izraisa lielu personāla mainību</w:t>
      </w:r>
      <w:r w:rsidR="00356BB5">
        <w:t xml:space="preserve"> Valsts darba inspekcijā</w:t>
      </w:r>
      <w:r>
        <w:t xml:space="preserve">; </w:t>
      </w:r>
    </w:p>
    <w:p w:rsidR="00D366F2" w:rsidRDefault="00BC3B3D">
      <w:pPr>
        <w:pStyle w:val="Bodytext10"/>
        <w:numPr>
          <w:ilvl w:val="0"/>
          <w:numId w:val="12"/>
        </w:numPr>
        <w:tabs>
          <w:tab w:val="left" w:pos="1083"/>
        </w:tabs>
        <w:ind w:left="1080" w:hanging="360"/>
        <w:jc w:val="both"/>
      </w:pPr>
      <w:bookmarkStart w:id="40" w:name="bookmark443"/>
      <w:bookmarkEnd w:id="40"/>
      <w:r>
        <w:t>veicināt drošas ziņošanas procedūras ārvalstu darba ņēmējiem;</w:t>
      </w:r>
    </w:p>
    <w:p w:rsidR="00D366F2" w:rsidRDefault="00BC3B3D">
      <w:pPr>
        <w:pStyle w:val="Bodytext10"/>
        <w:numPr>
          <w:ilvl w:val="0"/>
          <w:numId w:val="12"/>
        </w:numPr>
        <w:tabs>
          <w:tab w:val="left" w:pos="1083"/>
        </w:tabs>
        <w:ind w:firstLine="720"/>
        <w:jc w:val="both"/>
      </w:pPr>
      <w:bookmarkStart w:id="41" w:name="bookmark444"/>
      <w:bookmarkEnd w:id="41"/>
      <w:r>
        <w:t xml:space="preserve">stiprināt darbā pieņemšanas un pagaidu darba </w:t>
      </w:r>
      <w:r w:rsidR="00E0560E">
        <w:t>komersantu</w:t>
      </w:r>
      <w:r>
        <w:t xml:space="preserve"> uzraudzību;</w:t>
      </w:r>
    </w:p>
    <w:p w:rsidR="00D366F2" w:rsidRDefault="00BC3B3D">
      <w:pPr>
        <w:pStyle w:val="Bodytext10"/>
        <w:numPr>
          <w:ilvl w:val="0"/>
          <w:numId w:val="12"/>
        </w:numPr>
        <w:tabs>
          <w:tab w:val="left" w:pos="1083"/>
        </w:tabs>
        <w:ind w:left="1080" w:hanging="360"/>
        <w:jc w:val="both"/>
      </w:pPr>
      <w:bookmarkStart w:id="42" w:name="bookmark445"/>
      <w:bookmarkEnd w:id="42"/>
      <w:r>
        <w:t xml:space="preserve">pārskatīt tiesisko regulējumu, lai novērstu to, ka ārvalstu darbā pieņemšanas </w:t>
      </w:r>
      <w:r w:rsidR="00E0560E">
        <w:t xml:space="preserve">komersanti </w:t>
      </w:r>
      <w:r>
        <w:t>veicina migrējošo darba ņēmēju ekspluatāciju;</w:t>
      </w:r>
    </w:p>
    <w:p w:rsidR="00D366F2" w:rsidRDefault="00E0560E">
      <w:pPr>
        <w:pStyle w:val="Bodytext10"/>
        <w:numPr>
          <w:ilvl w:val="0"/>
          <w:numId w:val="12"/>
        </w:numPr>
        <w:tabs>
          <w:tab w:val="left" w:pos="1083"/>
        </w:tabs>
        <w:ind w:left="1080" w:hanging="360"/>
        <w:jc w:val="both"/>
      </w:pPr>
      <w:bookmarkStart w:id="43" w:name="bookmark446"/>
      <w:bookmarkEnd w:id="43"/>
      <w:r>
        <w:t>izstrādāt vadlīnijas</w:t>
      </w:r>
      <w:r w:rsidR="00BC3B3D">
        <w:t xml:space="preserve"> profesionāļiem, </w:t>
      </w:r>
      <w:r w:rsidR="00356BB5">
        <w:t>lai stiprinātu</w:t>
      </w:r>
      <w:r>
        <w:t xml:space="preserve"> cilvēku tirdzniecības atklāšanu un izmeklēšanu</w:t>
      </w:r>
      <w:r w:rsidR="00BC3B3D">
        <w:t>;</w:t>
      </w:r>
    </w:p>
    <w:p w:rsidR="00D366F2" w:rsidRDefault="00BC3B3D">
      <w:pPr>
        <w:pStyle w:val="Bodytext10"/>
        <w:numPr>
          <w:ilvl w:val="0"/>
          <w:numId w:val="12"/>
        </w:numPr>
        <w:tabs>
          <w:tab w:val="left" w:pos="1083"/>
        </w:tabs>
        <w:ind w:left="1080" w:hanging="360"/>
        <w:jc w:val="both"/>
      </w:pPr>
      <w:bookmarkStart w:id="44" w:name="bookmark447"/>
      <w:bookmarkEnd w:id="44"/>
      <w:r>
        <w:t>turpināt attīstīt sadarbību ar arodbiedrībām cilvēku tirdzniecības d</w:t>
      </w:r>
      <w:r w:rsidR="00E0560E">
        <w:t>arbaspēka ekspluatācijas nolū</w:t>
      </w:r>
      <w:r w:rsidR="00356BB5">
        <w:t>kā novēršanai</w:t>
      </w:r>
      <w:r w:rsidR="00E0560E">
        <w:t>;</w:t>
      </w:r>
    </w:p>
    <w:p w:rsidR="00D366F2" w:rsidRDefault="00BC3B3D">
      <w:pPr>
        <w:pStyle w:val="Bodytext10"/>
        <w:numPr>
          <w:ilvl w:val="0"/>
          <w:numId w:val="12"/>
        </w:numPr>
        <w:tabs>
          <w:tab w:val="left" w:pos="1083"/>
        </w:tabs>
        <w:ind w:left="1080" w:hanging="360"/>
        <w:jc w:val="both"/>
      </w:pPr>
      <w:bookmarkStart w:id="45" w:name="bookmark448"/>
      <w:bookmarkEnd w:id="45"/>
      <w:r>
        <w:t xml:space="preserve">veicināt regulāras un koordinētas </w:t>
      </w:r>
      <w:r w:rsidR="00E0560E">
        <w:t>vairāku iestāžu</w:t>
      </w:r>
      <w:r>
        <w:t xml:space="preserve"> </w:t>
      </w:r>
      <w:r w:rsidR="00E0560E">
        <w:t>kontroles pasākumus</w:t>
      </w:r>
      <w:r>
        <w:t xml:space="preserve"> un ciešāku sadarbību starp attiecīgajām </w:t>
      </w:r>
      <w:r w:rsidR="00E0560E">
        <w:t>iestādēm</w:t>
      </w:r>
      <w:r>
        <w:t>, lai stiprinātu cilvēku tirdzniecības up</w:t>
      </w:r>
      <w:r w:rsidR="00E0560E">
        <w:t>uru identificēšanu darbavietās un šo nodarījumu izmeklēšanu.</w:t>
      </w:r>
    </w:p>
    <w:p w:rsidR="00D366F2" w:rsidRDefault="00BC3B3D">
      <w:pPr>
        <w:pStyle w:val="P68B1DB1-Style273"/>
        <w:spacing w:after="280" w:line="221" w:lineRule="auto"/>
        <w:rPr>
          <w:sz w:val="24"/>
        </w:rPr>
      </w:pPr>
      <w:r>
        <w:t>Pasākumi pieprasījuma mazināšanai</w:t>
      </w:r>
    </w:p>
    <w:p w:rsidR="00D366F2" w:rsidRDefault="00BC3B3D">
      <w:pPr>
        <w:pStyle w:val="Bodytext10"/>
        <w:numPr>
          <w:ilvl w:val="0"/>
          <w:numId w:val="11"/>
        </w:numPr>
        <w:tabs>
          <w:tab w:val="left" w:pos="730"/>
        </w:tabs>
        <w:spacing w:after="280"/>
        <w:ind w:left="740" w:hanging="360"/>
        <w:jc w:val="both"/>
      </w:pPr>
      <w:bookmarkStart w:id="46" w:name="bookmark449"/>
      <w:bookmarkEnd w:id="46"/>
      <w:r>
        <w:t>Atzīmējot p</w:t>
      </w:r>
      <w:r w:rsidR="00E0560E">
        <w:t>asākumus, kas veikti kopš otrās novērtējuma kārtas</w:t>
      </w:r>
      <w:r>
        <w:t xml:space="preserve">, lai mazinātu pieprasījumu pēc cilvēku tirdzniecībā cietušo personu pakalpojumiem, </w:t>
      </w:r>
      <w:r w:rsidR="001F2E21">
        <w:t>GRETA</w:t>
      </w:r>
      <w:r>
        <w:t xml:space="preserve"> uzskata, ka Latvijas iestādēm sadarbībā ar pilsonisko sabiedrību, arodbiedrībām un privāto sektoru jāturpina centieni mazināt pieprasījumu pēc cilvēku tirdzniecīb</w:t>
      </w:r>
      <w:r w:rsidR="00E0560E">
        <w:t>ā cietušo personu pakalpojumiem. To var īstenot  ar dažādiem normatīva regulējuma</w:t>
      </w:r>
      <w:r>
        <w:t>,</w:t>
      </w:r>
      <w:r w:rsidR="00E0560E">
        <w:t xml:space="preserve"> administrācijas,</w:t>
      </w:r>
      <w:r>
        <w:t xml:space="preserve"> izglītības, sociālos un kultūras </w:t>
      </w:r>
      <w:r w:rsidR="005C2858">
        <w:t>pasākumiem, tādā veidā</w:t>
      </w:r>
      <w:r>
        <w:t xml:space="preserve"> mazinātu pieprasījumu, kas veicina visu veidu ekspluatāciju, kuras rezultātā notiek ci</w:t>
      </w:r>
      <w:r w:rsidR="00E0560E">
        <w:t>lvēku tirdzniecība</w:t>
      </w:r>
      <w:r>
        <w:t>.</w:t>
      </w:r>
    </w:p>
    <w:p w:rsidR="00D366F2" w:rsidRDefault="00BC3B3D">
      <w:pPr>
        <w:pStyle w:val="P68B1DB1-Style273"/>
        <w:spacing w:after="280" w:line="221" w:lineRule="auto"/>
        <w:rPr>
          <w:sz w:val="24"/>
        </w:rPr>
      </w:pPr>
      <w:r>
        <w:t>Sociālās un ekonomiskās iniciatīvas pret cilvēku tirdzniecību neaizsargātām grupām</w:t>
      </w:r>
    </w:p>
    <w:p w:rsidR="00D366F2" w:rsidRDefault="001F2E21">
      <w:pPr>
        <w:pStyle w:val="Bodytext10"/>
        <w:numPr>
          <w:ilvl w:val="0"/>
          <w:numId w:val="11"/>
        </w:numPr>
        <w:tabs>
          <w:tab w:val="left" w:pos="730"/>
        </w:tabs>
        <w:spacing w:after="280"/>
        <w:ind w:left="740" w:hanging="360"/>
        <w:jc w:val="both"/>
      </w:pPr>
      <w:bookmarkStart w:id="47" w:name="bookmark450"/>
      <w:bookmarkEnd w:id="47"/>
      <w:r>
        <w:t>GRETA</w:t>
      </w:r>
      <w:r w:rsidR="00BC3B3D">
        <w:t xml:space="preserve"> uzskata, ka </w:t>
      </w:r>
      <w:r w:rsidR="00F86289">
        <w:t>Latvijai ir</w:t>
      </w:r>
      <w:r w:rsidR="00BC3B3D">
        <w:t xml:space="preserve"> jāturpina ieguldīt sociālajos, ekonomiskajos un citos pasākumos, </w:t>
      </w:r>
      <w:r w:rsidR="005C2858">
        <w:t xml:space="preserve">mazaizsargātām grupām, kas ir pakļautas riskam iekļūtu cilvēku tirdzniecībā. Jāturpina </w:t>
      </w:r>
      <w:r w:rsidR="00BC3B3D">
        <w:t>centieni veici</w:t>
      </w:r>
      <w:r w:rsidR="005C2858">
        <w:t>nāt dzimumu līdztiesību, apkarojot</w:t>
      </w:r>
      <w:r w:rsidR="00BC3B3D">
        <w:t xml:space="preserve"> dzimumu stereotipus un ar dzimumu saistītu vardarbību</w:t>
      </w:r>
      <w:r w:rsidR="005C2858">
        <w:t>. Jāatbalsta</w:t>
      </w:r>
      <w:r w:rsidR="00BC3B3D">
        <w:t xml:space="preserve"> </w:t>
      </w:r>
      <w:r w:rsidR="005C2858">
        <w:t>īpaša politika</w:t>
      </w:r>
      <w:r w:rsidR="00BC3B3D">
        <w:t xml:space="preserve"> sieviešu un meiteņu iespēju </w:t>
      </w:r>
      <w:r w:rsidR="005C2858">
        <w:t>paplašināšanai, kas vienlaikus ir līdzeklis</w:t>
      </w:r>
      <w:r w:rsidR="00BC3B3D">
        <w:t xml:space="preserve"> cilvēku tirdzniecības pamat</w:t>
      </w:r>
      <w:r w:rsidR="005C2858">
        <w:t>cēloņu apkarošanai</w:t>
      </w:r>
      <w:r w:rsidR="00BC3B3D">
        <w:t>.</w:t>
      </w:r>
    </w:p>
    <w:p w:rsidR="00D366F2" w:rsidRDefault="00BC3B3D">
      <w:pPr>
        <w:pStyle w:val="P68B1DB1-Style273"/>
        <w:spacing w:after="280" w:line="221" w:lineRule="auto"/>
        <w:rPr>
          <w:sz w:val="24"/>
        </w:rPr>
      </w:pPr>
      <w:r>
        <w:t>Cilvēku tirdzniecības upuru identifikācija</w:t>
      </w:r>
    </w:p>
    <w:p w:rsidR="0034024B" w:rsidRDefault="001F2E21" w:rsidP="0034024B">
      <w:pPr>
        <w:pStyle w:val="Bodytext10"/>
        <w:numPr>
          <w:ilvl w:val="0"/>
          <w:numId w:val="11"/>
        </w:numPr>
        <w:tabs>
          <w:tab w:val="left" w:pos="730"/>
        </w:tabs>
        <w:spacing w:after="280"/>
        <w:ind w:left="740" w:hanging="360"/>
        <w:jc w:val="both"/>
      </w:pPr>
      <w:bookmarkStart w:id="48" w:name="bookmark451"/>
      <w:bookmarkEnd w:id="48"/>
      <w:r>
        <w:t>GRETA</w:t>
      </w:r>
      <w:r w:rsidR="00BC3B3D">
        <w:t xml:space="preserve"> atzinīgi vērtē </w:t>
      </w:r>
      <w:r w:rsidR="005C2858">
        <w:t>starpdisciplināras</w:t>
      </w:r>
      <w:r w:rsidR="00BC3B3D">
        <w:t xml:space="preserve"> komisijas izveidi</w:t>
      </w:r>
      <w:r w:rsidR="005C2858">
        <w:t xml:space="preserve"> cilvēku tirdzniecības gadījumu identifikācijai. Šajā komisijā</w:t>
      </w:r>
      <w:r w:rsidR="00BC3B3D">
        <w:t xml:space="preserve"> tiek identificēti neaizsargāti patvēruma meklētāji un cilvēku tirdzniecības upuri, kā arī </w:t>
      </w:r>
      <w:r w:rsidR="005C2858">
        <w:t>tiek īstenota uz vajadzībām balstītu palīdzība</w:t>
      </w:r>
      <w:r w:rsidR="00BC3B3D">
        <w:t xml:space="preserve">. Tomēr </w:t>
      </w:r>
      <w:r>
        <w:t>GRETA</w:t>
      </w:r>
      <w:r w:rsidR="005C2858">
        <w:t xml:space="preserve"> uzskata, ka Latvijai</w:t>
      </w:r>
      <w:r w:rsidR="00BC3B3D">
        <w:t xml:space="preserve"> jāpieņem noteikumi vai norādījumi par p</w:t>
      </w:r>
      <w:r w:rsidR="005C2858">
        <w:t>rocedūrām patvēruma meklētāju,</w:t>
      </w:r>
      <w:r w:rsidR="00BC3B3D">
        <w:t xml:space="preserve"> </w:t>
      </w:r>
      <w:r w:rsidR="005C2858">
        <w:t xml:space="preserve">nelikumīgo </w:t>
      </w:r>
      <w:r w:rsidR="00BC3B3D">
        <w:t xml:space="preserve">migrantu </w:t>
      </w:r>
      <w:r w:rsidR="005C2858">
        <w:t>skrīningu</w:t>
      </w:r>
      <w:r w:rsidR="00BC3B3D">
        <w:t xml:space="preserve"> attiecībā uz cilvēku tirdzniecības </w:t>
      </w:r>
      <w:r w:rsidR="005C2858">
        <w:t xml:space="preserve">gadījumu konstatāciju. </w:t>
      </w:r>
      <w:r w:rsidR="0034024B">
        <w:t>Šajās vadlīnijās vai norādēs jābūt skaidri noteiktai cilvēku tirdzniecības upuru novirzīšanas rīcībai, tai skaitā ātrai izņemšanai no ārzemnieku aizturēšanas vietām. Tāpat ir jānodrošina pakalpojums, kas atbilst upuru vajadzībām;</w:t>
      </w:r>
      <w:bookmarkStart w:id="49" w:name="bookmark452"/>
      <w:bookmarkEnd w:id="49"/>
    </w:p>
    <w:p w:rsidR="00D366F2" w:rsidRDefault="00BC3B3D" w:rsidP="0034024B">
      <w:pPr>
        <w:pStyle w:val="Bodytext10"/>
        <w:numPr>
          <w:ilvl w:val="0"/>
          <w:numId w:val="11"/>
        </w:numPr>
        <w:tabs>
          <w:tab w:val="left" w:pos="730"/>
        </w:tabs>
        <w:spacing w:after="280"/>
        <w:ind w:left="740" w:hanging="360"/>
        <w:jc w:val="both"/>
      </w:pPr>
      <w:r>
        <w:t xml:space="preserve">Turklāt </w:t>
      </w:r>
      <w:r w:rsidR="001F2E21">
        <w:t>GRETA</w:t>
      </w:r>
      <w:r>
        <w:t xml:space="preserve"> uzskata, ka </w:t>
      </w:r>
      <w:r w:rsidR="0034024B">
        <w:t>ir jāturpina regulāras apmācības par cilvēku tirdzniecības upuru konstatāciju nelikumīgās migrācijas un patvēruma procedūras laikā. Praktiskās apmācības ir jānodrošina Valsts robežsardzes, Valsts policijas</w:t>
      </w:r>
      <w:r>
        <w:t xml:space="preserve"> un Pilsonīb</w:t>
      </w:r>
      <w:r w:rsidR="0034024B">
        <w:t>as un migrācijas lietu pārvaldes amatpersonām.</w:t>
      </w:r>
      <w:r>
        <w:t xml:space="preserve"> </w:t>
      </w:r>
    </w:p>
    <w:p w:rsidR="00D366F2" w:rsidRDefault="0034024B">
      <w:pPr>
        <w:pStyle w:val="P68B1DB1-Style273"/>
        <w:spacing w:after="280" w:line="221" w:lineRule="auto"/>
        <w:rPr>
          <w:sz w:val="24"/>
        </w:rPr>
      </w:pPr>
      <w:r>
        <w:t>Atbalsts upuriem</w:t>
      </w:r>
    </w:p>
    <w:p w:rsidR="00D366F2" w:rsidRDefault="001F2E21">
      <w:pPr>
        <w:pStyle w:val="Bodytext10"/>
        <w:numPr>
          <w:ilvl w:val="0"/>
          <w:numId w:val="11"/>
        </w:numPr>
        <w:tabs>
          <w:tab w:val="left" w:pos="730"/>
        </w:tabs>
        <w:spacing w:after="280"/>
        <w:ind w:left="740" w:hanging="360"/>
        <w:jc w:val="both"/>
      </w:pPr>
      <w:bookmarkStart w:id="50" w:name="bookmark453"/>
      <w:bookmarkEnd w:id="50"/>
      <w:r>
        <w:t>GRETA</w:t>
      </w:r>
      <w:r w:rsidR="0034024B">
        <w:t xml:space="preserve"> uzsver Latvijas </w:t>
      </w:r>
      <w:r w:rsidR="00BC3B3D">
        <w:t xml:space="preserve">pienākumu izveidot palīdzības sistēmu, pamatojoties uz cilvēku tirdzniecības upuru faktisko vajadzību novērtējumu. Lai to panāktu, </w:t>
      </w:r>
      <w:r>
        <w:t>GRETA</w:t>
      </w:r>
      <w:r w:rsidR="00BC3B3D">
        <w:t xml:space="preserve"> aicina </w:t>
      </w:r>
      <w:r w:rsidR="0034024B">
        <w:t xml:space="preserve">Latviju: </w:t>
      </w:r>
    </w:p>
    <w:p w:rsidR="00D366F2" w:rsidRDefault="00BC3B3D">
      <w:pPr>
        <w:pStyle w:val="Bodytext10"/>
        <w:numPr>
          <w:ilvl w:val="0"/>
          <w:numId w:val="12"/>
        </w:numPr>
        <w:tabs>
          <w:tab w:val="left" w:pos="1095"/>
        </w:tabs>
        <w:spacing w:after="280"/>
        <w:ind w:left="1100" w:hanging="360"/>
        <w:jc w:val="both"/>
      </w:pPr>
      <w:bookmarkStart w:id="51" w:name="bookmark454"/>
      <w:bookmarkEnd w:id="51"/>
      <w:r>
        <w:t>nodrošināt, ka finansējums, kas paredzēts valsts finansētai palīdzībai cilvēku tirdzniecības upuriem, ir pietiekams, lai apmierinātu visu identificēto cietušo vajadzības, tostarp piemērotu un drošu izmitināšanu, un ļautu sniegt palīdzību tik ilgi, cik nepieciešams, lai panāktu viņu atveseļošanos;</w:t>
      </w:r>
    </w:p>
    <w:p w:rsidR="00D366F2" w:rsidRDefault="00BC3B3D">
      <w:pPr>
        <w:pStyle w:val="Bodytext10"/>
        <w:numPr>
          <w:ilvl w:val="0"/>
          <w:numId w:val="12"/>
        </w:numPr>
        <w:tabs>
          <w:tab w:val="left" w:pos="1095"/>
        </w:tabs>
        <w:spacing w:after="280"/>
        <w:ind w:left="1100" w:hanging="360"/>
        <w:jc w:val="both"/>
      </w:pPr>
      <w:bookmarkStart w:id="52" w:name="bookmark455"/>
      <w:bookmarkEnd w:id="52"/>
      <w:r>
        <w:t xml:space="preserve">izstrādāt </w:t>
      </w:r>
      <w:r w:rsidR="0034024B">
        <w:t>grozījumus tiesību aktos</w:t>
      </w:r>
      <w:r>
        <w:t xml:space="preserve"> un noteikumus, kas </w:t>
      </w:r>
      <w:r w:rsidR="0034024B">
        <w:t>nodrošinātu</w:t>
      </w:r>
      <w:r>
        <w:t xml:space="preserve"> cilvēku tirdzniecības upuru reintegrācijas pakalpojumu/programmu finansēšanai, </w:t>
      </w:r>
      <w:r w:rsidR="0034024B">
        <w:t>pamatojoties uz viņu vajadzībām;</w:t>
      </w:r>
    </w:p>
    <w:p w:rsidR="00D366F2" w:rsidRDefault="00BC3B3D">
      <w:pPr>
        <w:pStyle w:val="P68B1DB1-Style273"/>
        <w:spacing w:after="280"/>
        <w:rPr>
          <w:sz w:val="24"/>
        </w:rPr>
      </w:pPr>
      <w:r>
        <w:t>Bērnu tirdzniecības novēršana un no cilvēku tirdzniecības cietušo bēr</w:t>
      </w:r>
      <w:r w:rsidR="0034024B">
        <w:t xml:space="preserve">nu identificēšana un palīdzība </w:t>
      </w:r>
    </w:p>
    <w:p w:rsidR="00D366F2" w:rsidRDefault="001F2E21">
      <w:pPr>
        <w:pStyle w:val="Bodytext10"/>
        <w:numPr>
          <w:ilvl w:val="0"/>
          <w:numId w:val="11"/>
        </w:numPr>
        <w:tabs>
          <w:tab w:val="left" w:pos="730"/>
        </w:tabs>
        <w:spacing w:after="280"/>
        <w:ind w:left="740" w:hanging="360"/>
        <w:jc w:val="both"/>
      </w:pPr>
      <w:bookmarkStart w:id="53" w:name="bookmark456"/>
      <w:bookmarkEnd w:id="53"/>
      <w:r>
        <w:t>GRETA</w:t>
      </w:r>
      <w:r w:rsidR="0034024B">
        <w:t xml:space="preserve"> vēlreiz aicina Latviju </w:t>
      </w:r>
      <w:r w:rsidR="00BC3B3D">
        <w:t xml:space="preserve">atcelt imigrācijas aizturēšanu nepavadītiem un nošķirtiem </w:t>
      </w:r>
      <w:r w:rsidR="00F86289">
        <w:t>nepilngadīga</w:t>
      </w:r>
      <w:r w:rsidR="0034024B">
        <w:t xml:space="preserve">jiem </w:t>
      </w:r>
      <w:r w:rsidR="00BC3B3D">
        <w:t>un pieņemt saistošus protokolus cilvēku tirdz</w:t>
      </w:r>
      <w:r w:rsidR="0034024B">
        <w:t>niecībā cietušo identificēšanai;</w:t>
      </w:r>
    </w:p>
    <w:p w:rsidR="00D366F2" w:rsidRDefault="00BC3B3D">
      <w:pPr>
        <w:pStyle w:val="Bodytext10"/>
        <w:numPr>
          <w:ilvl w:val="0"/>
          <w:numId w:val="11"/>
        </w:numPr>
        <w:tabs>
          <w:tab w:val="left" w:pos="713"/>
        </w:tabs>
        <w:spacing w:after="300"/>
        <w:ind w:left="720" w:hanging="360"/>
        <w:jc w:val="both"/>
      </w:pPr>
      <w:bookmarkStart w:id="54" w:name="bookmark457"/>
      <w:bookmarkEnd w:id="54"/>
      <w:r>
        <w:t xml:space="preserve">Turklāt </w:t>
      </w:r>
      <w:r w:rsidR="001F2E21">
        <w:t>GRETA</w:t>
      </w:r>
      <w:r w:rsidR="0034024B">
        <w:t xml:space="preserve"> uzskata, ka Latvijai </w:t>
      </w:r>
      <w:r>
        <w:t xml:space="preserve">jāievieš stabila bērnu aizsardzības sistēma, kas ļautu identificēt </w:t>
      </w:r>
      <w:r w:rsidR="0034024B">
        <w:t>cilvēku tirdzniecības pazīmes to bērnu vidū</w:t>
      </w:r>
      <w:r>
        <w:t>, kuriem ir uzvedības problēmas, un bērnie</w:t>
      </w:r>
      <w:r w:rsidR="0034024B">
        <w:t>m, kuri atrodas aprūpes iestādē;</w:t>
      </w:r>
    </w:p>
    <w:p w:rsidR="00D366F2" w:rsidRDefault="00BC3B3D">
      <w:pPr>
        <w:pStyle w:val="P68B1DB1-Style273"/>
        <w:spacing w:after="300" w:line="221" w:lineRule="auto"/>
        <w:jc w:val="both"/>
        <w:rPr>
          <w:sz w:val="24"/>
        </w:rPr>
      </w:pPr>
      <w:r>
        <w:t>Atveseļošanās un pārdomu periods</w:t>
      </w:r>
    </w:p>
    <w:p w:rsidR="00D366F2" w:rsidRDefault="001F2E21">
      <w:pPr>
        <w:pStyle w:val="Bodytext10"/>
        <w:numPr>
          <w:ilvl w:val="0"/>
          <w:numId w:val="11"/>
        </w:numPr>
        <w:tabs>
          <w:tab w:val="left" w:pos="713"/>
        </w:tabs>
        <w:spacing w:after="300"/>
        <w:ind w:left="720" w:hanging="360"/>
        <w:jc w:val="both"/>
      </w:pPr>
      <w:bookmarkStart w:id="55" w:name="bookmark458"/>
      <w:bookmarkEnd w:id="55"/>
      <w:r>
        <w:t>GRETA</w:t>
      </w:r>
      <w:r w:rsidR="00BC3B3D">
        <w:t xml:space="preserve"> mudina </w:t>
      </w:r>
      <w:r w:rsidR="0034024B">
        <w:t>Latviju</w:t>
      </w:r>
      <w:r w:rsidR="00BC3B3D">
        <w:t xml:space="preserve"> pārskatīt tiesību normas par </w:t>
      </w:r>
      <w:r w:rsidR="0034024B">
        <w:t>nogaidīšanas periodu</w:t>
      </w:r>
      <w:r w:rsidR="00BC3B3D">
        <w:t>, lai ievērotu Konvencijas 13. pantu, nodrošinot, ka visiem iespējamiem cilvēku tirdzniecības upuriem, tostarp ES un EEZ pilsoņiem, šajā laikposmā tiek efektīvi piedāvāti visi aizsardzības un palīdzības pasākumi, kas paredzēti Konvencijas 12. panta 1. un 2. punktā.</w:t>
      </w:r>
    </w:p>
    <w:sectPr w:rsidR="00D366F2">
      <w:headerReference w:type="even" r:id="rId8"/>
      <w:headerReference w:type="default" r:id="rId9"/>
      <w:footerReference w:type="even" r:id="rId10"/>
      <w:headerReference w:type="first" r:id="rId11"/>
      <w:pgSz w:w="11900" w:h="16840"/>
      <w:pgMar w:top="1614" w:right="645" w:bottom="1585" w:left="671"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1E" w:rsidRDefault="004F691E">
      <w:r>
        <w:separator/>
      </w:r>
    </w:p>
  </w:endnote>
  <w:endnote w:type="continuationSeparator" w:id="0">
    <w:p w:rsidR="004F691E" w:rsidRDefault="004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745605"/>
      <w:docPartObj>
        <w:docPartGallery w:val="Page Numbers (Bottom of Page)"/>
        <w:docPartUnique/>
      </w:docPartObj>
    </w:sdtPr>
    <w:sdtEndPr>
      <w:rPr>
        <w:noProof/>
      </w:rPr>
    </w:sdtEndPr>
    <w:sdtContent>
      <w:p w:rsidR="00BC3B3D" w:rsidRDefault="00BC3B3D">
        <w:pPr>
          <w:pStyle w:val="Footer"/>
          <w:jc w:val="center"/>
        </w:pPr>
        <w:r>
          <w:fldChar w:fldCharType="begin"/>
        </w:r>
        <w:r>
          <w:instrText xml:space="preserve"> PAGE   \* MERGEFORMAT </w:instrText>
        </w:r>
        <w:r>
          <w:fldChar w:fldCharType="separate"/>
        </w:r>
        <w:r w:rsidR="007A4904">
          <w:rPr>
            <w:noProof/>
          </w:rPr>
          <w:t>4</w:t>
        </w:r>
        <w:r>
          <w:rPr>
            <w:noProof/>
          </w:rPr>
          <w:fldChar w:fldCharType="end"/>
        </w:r>
      </w:p>
    </w:sdtContent>
  </w:sdt>
  <w:p w:rsidR="00BC3B3D" w:rsidRDefault="00BC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1E" w:rsidRDefault="004F691E">
      <w:r>
        <w:separator/>
      </w:r>
    </w:p>
  </w:footnote>
  <w:footnote w:type="continuationSeparator" w:id="0">
    <w:p w:rsidR="004F691E" w:rsidRDefault="004F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3D" w:rsidRDefault="004F691E">
    <w:pPr>
      <w:spacing w:line="1"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5469" o:spid="_x0000_s2051" type="#_x0000_t136" style="position:absolute;margin-left:0;margin-top:0;width:681.15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Neoficiāls tulkojums"/>
          <w10:wrap anchorx="margin" anchory="margin"/>
        </v:shape>
      </w:pict>
    </w:r>
    <w:r w:rsidR="00BC3B3D">
      <w:rPr>
        <w:noProof/>
      </w:rPr>
      <mc:AlternateContent>
        <mc:Choice Requires="wps">
          <w:drawing>
            <wp:anchor distT="0" distB="0" distL="0" distR="0" simplePos="0" relativeHeight="62914694" behindDoc="1" locked="0" layoutInCell="1" allowOverlap="1">
              <wp:simplePos x="0" y="0"/>
              <wp:positionH relativeFrom="page">
                <wp:posOffset>467360</wp:posOffset>
              </wp:positionH>
              <wp:positionV relativeFrom="page">
                <wp:posOffset>381635</wp:posOffset>
              </wp:positionV>
              <wp:extent cx="113030" cy="88265"/>
              <wp:effectExtent l="0" t="0" r="0" b="0"/>
              <wp:wrapNone/>
              <wp:docPr id="6" name="Forma 6"/>
              <wp:cNvGraphicFramePr/>
              <a:graphic xmlns:a="http://schemas.openxmlformats.org/drawingml/2006/main">
                <a:graphicData uri="http://schemas.microsoft.com/office/word/2010/wordprocessingShape">
                  <wps:wsp>
                    <wps:cNvSpPr txBox="1"/>
                    <wps:spPr>
                      <a:xfrm>
                        <a:off x="0" y="0"/>
                        <a:ext cx="113030" cy="88265"/>
                      </a:xfrm>
                      <a:prstGeom prst="rect">
                        <a:avLst/>
                      </a:prstGeom>
                      <a:noFill/>
                    </wps:spPr>
                    <wps:txbx>
                      <w:txbxContent>
                        <w:p w:rsidR="00BC3B3D" w:rsidRDefault="00BC3B3D">
                          <w:pPr>
                            <w:pStyle w:val="Headerorfooter20"/>
                            <w:rPr>
                              <w:sz w:val="18"/>
                            </w:rPr>
                          </w:pPr>
                          <w:r>
                            <w:fldChar w:fldCharType="begin"/>
                          </w:r>
                          <w:r>
                            <w:instrText xml:space="preserve"> PAGE \* MERGEFORMAT </w:instrText>
                          </w:r>
                          <w:r>
                            <w:fldChar w:fldCharType="separate"/>
                          </w:r>
                          <w:r w:rsidR="007A4904" w:rsidRPr="007A4904">
                            <w:rPr>
                              <w:rFonts w:ascii="Tahoma" w:eastAsia="Tahoma" w:hAnsi="Tahoma" w:cs="Tahoma"/>
                              <w:noProof/>
                              <w:sz w:val="18"/>
                              <w:szCs w:val="18"/>
                            </w:rPr>
                            <w:t>4</w:t>
                          </w:r>
                          <w:r>
                            <w:rPr>
                              <w:rFonts w:ascii="Tahoma" w:eastAsia="Tahoma" w:hAnsi="Tahoma" w:cs="Tahoma"/>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Forma 6" o:spid="_x0000_s1026" type="#_x0000_t202" style="position:absolute;margin-left:36.8pt;margin-top:30.05pt;width:8.9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" filled="f" stroked="f">
              <v:textbox style="mso-fit-shape-to-text:t" inset="0,0,0,0">
                <w:txbxContent>
                  <w:p w:rsidR="00BC3B3D" w:rsidRDefault="00BC3B3D">
                    <w:pPr>
                      <w:pStyle w:val="Headerorfooter20"/>
                      <w:rPr>
                        <w:sz w:val="18"/>
                      </w:rPr>
                    </w:pPr>
                    <w:r>
                      <w:fldChar w:fldCharType="begin"/>
                    </w:r>
                    <w:r>
                      <w:instrText xml:space="preserve"> PAGE \* MERGEFORMAT </w:instrText>
                    </w:r>
                    <w:r>
                      <w:fldChar w:fldCharType="separate"/>
                    </w:r>
                    <w:r w:rsidR="007A4904" w:rsidRPr="007A4904">
                      <w:rPr>
                        <w:rFonts w:ascii="Tahoma" w:eastAsia="Tahoma" w:hAnsi="Tahoma" w:cs="Tahoma"/>
                        <w:noProof/>
                        <w:sz w:val="18"/>
                        <w:szCs w:val="18"/>
                      </w:rPr>
                      <w:t>4</w:t>
                    </w:r>
                    <w:r>
                      <w:rPr>
                        <w:rFonts w:ascii="Tahoma" w:eastAsia="Tahoma" w:hAnsi="Tahoma" w:cs="Tahoma"/>
                        <w:sz w:val="18"/>
                        <w:szCs w:val="18"/>
                      </w:rPr>
                      <w:fldChar w:fldCharType="end"/>
                    </w:r>
                  </w:p>
                </w:txbxContent>
              </v:textbox>
              <w10:wrap anchorx="page" anchory="page"/>
            </v:shape>
          </w:pict>
        </mc:Fallback>
      </mc:AlternateContent>
    </w:r>
    <w:r w:rsidR="00BC3B3D">
      <w:rPr>
        <w:noProof/>
      </w:rPr>
      <mc:AlternateContent>
        <mc:Choice Requires="wps">
          <w:drawing>
            <wp:anchor distT="0" distB="0" distL="0" distR="0" simplePos="0" relativeHeight="62914696" behindDoc="1" locked="0" layoutInCell="1" allowOverlap="1">
              <wp:simplePos x="0" y="0"/>
              <wp:positionH relativeFrom="page">
                <wp:posOffset>5813425</wp:posOffset>
              </wp:positionH>
              <wp:positionV relativeFrom="page">
                <wp:posOffset>381635</wp:posOffset>
              </wp:positionV>
              <wp:extent cx="1289050" cy="225425"/>
              <wp:effectExtent l="0" t="0" r="0" b="0"/>
              <wp:wrapNone/>
              <wp:docPr id="8" name="Forma 8"/>
              <wp:cNvGraphicFramePr/>
              <a:graphic xmlns:a="http://schemas.openxmlformats.org/drawingml/2006/main">
                <a:graphicData uri="http://schemas.microsoft.com/office/word/2010/wordprocessingShape">
                  <wps:wsp>
                    <wps:cNvSpPr txBox="1"/>
                    <wps:spPr>
                      <a:xfrm>
                        <a:off x="0" y="0"/>
                        <a:ext cx="1289050" cy="225425"/>
                      </a:xfrm>
                      <a:prstGeom prst="rect">
                        <a:avLst/>
                      </a:prstGeom>
                      <a:noFill/>
                    </wps:spPr>
                    <wps:txbx>
                      <w:txbxContent>
                        <w:p w:rsidR="00BC3B3D" w:rsidRDefault="00BC3B3D">
                          <w:pPr>
                            <w:pStyle w:val="P68B1DB1-Style334"/>
                          </w:pPr>
                        </w:p>
                      </w:txbxContent>
                    </wps:txbx>
                    <wps:bodyPr wrap="none" lIns="0" tIns="0" rIns="0" bIns="0">
                      <a:spAutoFit/>
                    </wps:bodyPr>
                  </wps:wsp>
                </a:graphicData>
              </a:graphic>
            </wp:anchor>
          </w:drawing>
        </mc:Choice>
        <mc:Fallback>
          <w:pict>
            <v:shape id="Forma 8" o:spid="_x0000_s1027" type="#_x0000_t202" style="position:absolute;margin-left:457.75pt;margin-top:30.05pt;width:101.5pt;height:17.7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" filled="f" stroked="f">
              <v:textbox style="mso-fit-shape-to-text:t" inset="0,0,0,0">
                <w:txbxContent>
                  <w:p w:rsidR="00BC3B3D" w:rsidRDefault="00BC3B3D">
                    <w:pPr>
                      <w:pStyle w:val="P68B1DB1-Style334"/>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3D" w:rsidRDefault="004F691E">
    <w:pPr>
      <w:spacing w:line="1"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5470" o:spid="_x0000_s2052" type="#_x0000_t136" style="position:absolute;margin-left:0;margin-top:0;width:681.15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Neoficiāls tulkojums"/>
          <w10:wrap anchorx="margin" anchory="margin"/>
        </v:shape>
      </w:pict>
    </w:r>
    <w:r w:rsidR="00BC3B3D">
      <w:rPr>
        <w:noProof/>
      </w:rPr>
      <mc:AlternateContent>
        <mc:Choice Requires="wps">
          <w:drawing>
            <wp:anchor distT="0" distB="0" distL="0" distR="0" simplePos="0" relativeHeight="62914692" behindDoc="1" locked="0" layoutInCell="1" allowOverlap="1">
              <wp:simplePos x="0" y="0"/>
              <wp:positionH relativeFrom="page">
                <wp:posOffset>6988175</wp:posOffset>
              </wp:positionH>
              <wp:positionV relativeFrom="page">
                <wp:posOffset>384810</wp:posOffset>
              </wp:positionV>
              <wp:extent cx="103505" cy="85090"/>
              <wp:effectExtent l="0" t="0" r="0" b="0"/>
              <wp:wrapNone/>
              <wp:docPr id="4" name="Forma 4"/>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rsidR="00BC3B3D" w:rsidRDefault="00BC3B3D">
                          <w:pPr>
                            <w:pStyle w:val="Headerorfooter20"/>
                            <w:rPr>
                              <w:sz w:val="18"/>
                            </w:rPr>
                          </w:pPr>
                          <w:r>
                            <w:fldChar w:fldCharType="begin"/>
                          </w:r>
                          <w:r>
                            <w:instrText xml:space="preserve"> PAGE \* MERGEFORMAT </w:instrText>
                          </w:r>
                          <w:r>
                            <w:fldChar w:fldCharType="separate"/>
                          </w:r>
                          <w:r w:rsidR="004F691E" w:rsidRPr="004F691E">
                            <w:rPr>
                              <w:rFonts w:ascii="Tahoma" w:eastAsia="Tahoma" w:hAnsi="Tahoma" w:cs="Tahoma"/>
                              <w:noProof/>
                              <w:sz w:val="18"/>
                              <w:szCs w:val="18"/>
                            </w:rPr>
                            <w:t>1</w:t>
                          </w:r>
                          <w:r>
                            <w:rPr>
                              <w:rFonts w:ascii="Tahoma" w:eastAsia="Tahoma" w:hAnsi="Tahoma" w:cs="Tahoma"/>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Forma 4" o:spid="_x0000_s1028" type="#_x0000_t202" style="position:absolute;margin-left:550.25pt;margin-top:30.3pt;width:8.15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" filled="f" stroked="f">
              <v:textbox style="mso-fit-shape-to-text:t" inset="0,0,0,0">
                <w:txbxContent>
                  <w:p w:rsidR="00BC3B3D" w:rsidRDefault="00BC3B3D">
                    <w:pPr>
                      <w:pStyle w:val="Headerorfooter20"/>
                      <w:rPr>
                        <w:sz w:val="18"/>
                      </w:rPr>
                    </w:pPr>
                    <w:r>
                      <w:fldChar w:fldCharType="begin"/>
                    </w:r>
                    <w:r>
                      <w:instrText xml:space="preserve"> PAGE \* MERGEFORMAT </w:instrText>
                    </w:r>
                    <w:r>
                      <w:fldChar w:fldCharType="separate"/>
                    </w:r>
                    <w:r w:rsidR="004F691E" w:rsidRPr="004F691E">
                      <w:rPr>
                        <w:rFonts w:ascii="Tahoma" w:eastAsia="Tahoma" w:hAnsi="Tahoma" w:cs="Tahoma"/>
                        <w:noProof/>
                        <w:sz w:val="18"/>
                        <w:szCs w:val="18"/>
                      </w:rPr>
                      <w:t>1</w:t>
                    </w:r>
                    <w:r>
                      <w:rPr>
                        <w:rFonts w:ascii="Tahoma" w:eastAsia="Tahoma" w:hAnsi="Tahoma" w:cs="Tahoma"/>
                        <w:sz w:val="18"/>
                        <w:szCs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3D" w:rsidRDefault="004F691E">
    <w:pPr>
      <w:spacing w:line="1"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35468" o:spid="_x0000_s2050" type="#_x0000_t136" style="position:absolute;margin-left:0;margin-top:0;width:681.15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Neoficiāls tulkojum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4F29"/>
    <w:multiLevelType w:val="multilevel"/>
    <w:tmpl w:val="2862C1D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97404"/>
    <w:multiLevelType w:val="multilevel"/>
    <w:tmpl w:val="3EA4878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129B9"/>
    <w:multiLevelType w:val="multilevel"/>
    <w:tmpl w:val="9B267F82"/>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06E46"/>
    <w:multiLevelType w:val="multilevel"/>
    <w:tmpl w:val="98F68B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F7DD7"/>
    <w:multiLevelType w:val="multilevel"/>
    <w:tmpl w:val="00C28FE8"/>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E7CA6"/>
    <w:multiLevelType w:val="multilevel"/>
    <w:tmpl w:val="A2CAD17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7A3597"/>
    <w:multiLevelType w:val="multilevel"/>
    <w:tmpl w:val="608C3B3E"/>
    <w:lvl w:ilvl="0">
      <w:start w:val="1"/>
      <w:numFmt w:val="upperRoman"/>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365ADB"/>
    <w:multiLevelType w:val="multilevel"/>
    <w:tmpl w:val="A394E878"/>
    <w:lvl w:ilvl="0">
      <w:start w:val="1"/>
      <w:numFmt w:val="upperRoman"/>
      <w:lvlText w:val="%1."/>
      <w:lvlJc w:val="left"/>
      <w:rPr>
        <w:rFonts w:ascii="Tahoma" w:eastAsia="Tahoma" w:hAnsi="Tahoma" w:cs="Tahoma"/>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F743C"/>
    <w:multiLevelType w:val="multilevel"/>
    <w:tmpl w:val="003414BE"/>
    <w:lvl w:ilvl="0">
      <w:start w:val="1"/>
      <w:numFmt w:val="bullet"/>
      <w:lvlText w:val="&gt;"/>
      <w:lvlJc w:val="left"/>
      <w:rPr>
        <w:rFonts w:ascii="Wingdings" w:eastAsia="Wingdings" w:hAnsi="Wingdings" w:cs="Wingdings"/>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433BF6"/>
    <w:multiLevelType w:val="multilevel"/>
    <w:tmpl w:val="FF20F3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071038"/>
    <w:multiLevelType w:val="multilevel"/>
    <w:tmpl w:val="D612FA5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B62CA6"/>
    <w:multiLevelType w:val="multilevel"/>
    <w:tmpl w:val="2AFC88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10"/>
  </w:num>
  <w:num w:numId="5">
    <w:abstractNumId w:val="7"/>
  </w:num>
  <w:num w:numId="6">
    <w:abstractNumId w:val="9"/>
  </w:num>
  <w:num w:numId="7">
    <w:abstractNumId w:val="3"/>
  </w:num>
  <w:num w:numId="8">
    <w:abstractNumId w:val="2"/>
  </w:num>
  <w:num w:numId="9">
    <w:abstractNumId w:val="0"/>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savePreviewPicture/>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F2"/>
    <w:rsid w:val="00162430"/>
    <w:rsid w:val="001E7F4E"/>
    <w:rsid w:val="001F2E21"/>
    <w:rsid w:val="001F5A7F"/>
    <w:rsid w:val="0034024B"/>
    <w:rsid w:val="00356BB5"/>
    <w:rsid w:val="004F691E"/>
    <w:rsid w:val="0054015D"/>
    <w:rsid w:val="005C2858"/>
    <w:rsid w:val="00687E01"/>
    <w:rsid w:val="007A4904"/>
    <w:rsid w:val="00AF6087"/>
    <w:rsid w:val="00BC3B3D"/>
    <w:rsid w:val="00C3387B"/>
    <w:rsid w:val="00D366F2"/>
    <w:rsid w:val="00E0560E"/>
    <w:rsid w:val="00F86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75E61CE-F038-4136-935D-67104EFF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v-LV" w:eastAsia="lv-LV"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Tahoma" w:eastAsia="Tahoma" w:hAnsi="Tahoma" w:cs="Tahoma"/>
      <w:b w:val="0"/>
      <w:i w:val="0"/>
      <w:smallCaps w:val="0"/>
      <w:strike w:val="0"/>
      <w:sz w:val="18"/>
      <w:u w:val="none"/>
      <w:shd w:val="clear" w:color="auto" w:fill="auto"/>
    </w:rPr>
  </w:style>
  <w:style w:type="character" w:customStyle="1" w:styleId="Picturecaption1">
    <w:name w:val="Picture caption|1_"/>
    <w:basedOn w:val="DefaultParagraphFont"/>
    <w:link w:val="Picturecaption10"/>
    <w:rPr>
      <w:rFonts w:ascii="Tahoma" w:eastAsia="Tahoma" w:hAnsi="Tahoma" w:cs="Tahoma"/>
      <w:b w:val="0"/>
      <w:i w:val="0"/>
      <w:smallCaps w:val="0"/>
      <w:strike w:val="0"/>
      <w:color w:val="161616"/>
      <w:sz w:val="19"/>
      <w:u w:val="none"/>
      <w:shd w:val="clear" w:color="auto" w:fill="auto"/>
    </w:rPr>
  </w:style>
  <w:style w:type="character" w:customStyle="1" w:styleId="Bodytext3">
    <w:name w:val="Body text|3_"/>
    <w:basedOn w:val="DefaultParagraphFont"/>
    <w:link w:val="Bodytext30"/>
    <w:rPr>
      <w:rFonts w:ascii="Tahoma" w:eastAsia="Tahoma" w:hAnsi="Tahoma" w:cs="Tahoma"/>
      <w:b/>
      <w:i w:val="0"/>
      <w:smallCaps w:val="0"/>
      <w:strike w:val="0"/>
      <w:sz w:val="40"/>
      <w:u w:val="none"/>
      <w:shd w:val="clear" w:color="auto" w:fill="auto"/>
    </w:rPr>
  </w:style>
  <w:style w:type="character" w:customStyle="1" w:styleId="Bodytext4">
    <w:name w:val="Body text|4_"/>
    <w:basedOn w:val="DefaultParagraphFont"/>
    <w:link w:val="Bodytext40"/>
    <w:rPr>
      <w:rFonts w:ascii="Tahoma" w:eastAsia="Tahoma" w:hAnsi="Tahoma" w:cs="Tahoma"/>
      <w:b w:val="0"/>
      <w:i w:val="0"/>
      <w:smallCaps w:val="0"/>
      <w:strike w:val="0"/>
      <w:sz w:val="28"/>
      <w:u w:val="none"/>
      <w:shd w:val="clear" w:color="auto" w:fill="auto"/>
    </w:rPr>
  </w:style>
  <w:style w:type="character" w:customStyle="1" w:styleId="Bodytext1">
    <w:name w:val="Body text|1_"/>
    <w:basedOn w:val="DefaultParagraphFont"/>
    <w:link w:val="Bodytext10"/>
    <w:rPr>
      <w:rFonts w:ascii="Tahoma" w:eastAsia="Tahoma" w:hAnsi="Tahoma" w:cs="Tahoma"/>
      <w:b w:val="0"/>
      <w:i w:val="0"/>
      <w:smallCaps w:val="0"/>
      <w:strike w:val="0"/>
      <w:sz w:val="22"/>
      <w:u w:val="none"/>
      <w:shd w:val="clear" w:color="auto" w:fill="auto"/>
    </w:rPr>
  </w:style>
  <w:style w:type="character" w:customStyle="1" w:styleId="Bodytext6">
    <w:name w:val="Body text|6_"/>
    <w:basedOn w:val="DefaultParagraphFont"/>
    <w:link w:val="Bodytext60"/>
    <w:rPr>
      <w:rFonts w:ascii="Tahoma" w:eastAsia="Tahoma" w:hAnsi="Tahoma" w:cs="Tahoma"/>
      <w:b w:val="0"/>
      <w:i w:val="0"/>
      <w:smallCaps w:val="0"/>
      <w:strike w:val="0"/>
      <w:sz w:val="36"/>
      <w:u w:val="none"/>
      <w:shd w:val="clear" w:color="auto" w:fill="auto"/>
    </w:rPr>
  </w:style>
  <w:style w:type="character" w:customStyle="1" w:styleId="Headerorfooter2">
    <w:name w:val="Header or footer|2_"/>
    <w:basedOn w:val="DefaultParagraphFont"/>
    <w:link w:val="Headerorfooter20"/>
    <w:rPr>
      <w:b w:val="0"/>
      <w:i w:val="0"/>
      <w:smallCaps w:val="0"/>
      <w:strike w:val="0"/>
      <w:sz w:val="20"/>
      <w:u w:val="none"/>
      <w:shd w:val="clear" w:color="auto" w:fill="auto"/>
    </w:rPr>
  </w:style>
  <w:style w:type="character" w:customStyle="1" w:styleId="Tableofcontents1">
    <w:name w:val="Table of contents|1_"/>
    <w:basedOn w:val="DefaultParagraphFont"/>
    <w:link w:val="Tableofcontents10"/>
    <w:rPr>
      <w:rFonts w:ascii="Tahoma" w:eastAsia="Tahoma" w:hAnsi="Tahoma" w:cs="Tahoma"/>
      <w:b/>
      <w:i w:val="0"/>
      <w:smallCaps w:val="0"/>
      <w:strike w:val="0"/>
      <w:sz w:val="22"/>
      <w:u w:val="none"/>
      <w:shd w:val="clear" w:color="auto" w:fill="auto"/>
    </w:rPr>
  </w:style>
  <w:style w:type="character" w:customStyle="1" w:styleId="Heading21">
    <w:name w:val="Heading #2|1_"/>
    <w:basedOn w:val="DefaultParagraphFont"/>
    <w:link w:val="Heading210"/>
    <w:rPr>
      <w:rFonts w:ascii="Tahoma" w:eastAsia="Tahoma" w:hAnsi="Tahoma" w:cs="Tahoma"/>
      <w:b/>
      <w:i w:val="0"/>
      <w:smallCaps w:val="0"/>
      <w:strike w:val="0"/>
      <w:sz w:val="28"/>
      <w:u w:val="none"/>
      <w:shd w:val="clear" w:color="auto" w:fill="auto"/>
    </w:rPr>
  </w:style>
  <w:style w:type="character" w:customStyle="1" w:styleId="Bodytext5">
    <w:name w:val="Body text|5_"/>
    <w:basedOn w:val="DefaultParagraphFont"/>
    <w:link w:val="Bodytext50"/>
    <w:rPr>
      <w:rFonts w:ascii="Tahoma" w:eastAsia="Tahoma" w:hAnsi="Tahoma" w:cs="Tahoma"/>
      <w:b w:val="0"/>
      <w:i w:val="0"/>
      <w:smallCaps w:val="0"/>
      <w:strike w:val="0"/>
      <w:sz w:val="12"/>
      <w:u w:val="none"/>
      <w:shd w:val="clear" w:color="auto" w:fill="auto"/>
    </w:rPr>
  </w:style>
  <w:style w:type="character" w:customStyle="1" w:styleId="Bodytext7">
    <w:name w:val="Body text|7_"/>
    <w:basedOn w:val="DefaultParagraphFont"/>
    <w:link w:val="Bodytext70"/>
    <w:rPr>
      <w:rFonts w:ascii="Arial" w:eastAsia="Arial" w:hAnsi="Arial" w:cs="Arial"/>
      <w:b w:val="0"/>
      <w:i w:val="0"/>
      <w:smallCaps w:val="0"/>
      <w:strike w:val="0"/>
      <w:sz w:val="13"/>
      <w:u w:val="none"/>
      <w:shd w:val="clear" w:color="auto" w:fill="auto"/>
    </w:rPr>
  </w:style>
  <w:style w:type="character" w:customStyle="1" w:styleId="Bodytext2">
    <w:name w:val="Body text|2_"/>
    <w:basedOn w:val="DefaultParagraphFont"/>
    <w:link w:val="Bodytext20"/>
    <w:rPr>
      <w:rFonts w:ascii="Tahoma" w:eastAsia="Tahoma" w:hAnsi="Tahoma" w:cs="Tahoma"/>
      <w:b w:val="0"/>
      <w:i w:val="0"/>
      <w:smallCaps w:val="0"/>
      <w:strike w:val="0"/>
      <w:sz w:val="18"/>
      <w:u w:val="none"/>
      <w:shd w:val="clear" w:color="auto" w:fill="auto"/>
    </w:rPr>
  </w:style>
  <w:style w:type="character" w:customStyle="1" w:styleId="Heading31">
    <w:name w:val="Heading #3|1_"/>
    <w:basedOn w:val="DefaultParagraphFont"/>
    <w:link w:val="Heading310"/>
    <w:rPr>
      <w:rFonts w:ascii="Tahoma" w:eastAsia="Tahoma" w:hAnsi="Tahoma" w:cs="Tahoma"/>
      <w:b/>
      <w:i w:val="0"/>
      <w:smallCaps w:val="0"/>
      <w:strike w:val="0"/>
      <w:sz w:val="22"/>
      <w:u w:val="none"/>
      <w:shd w:val="clear" w:color="auto" w:fill="auto"/>
    </w:rPr>
  </w:style>
  <w:style w:type="character" w:customStyle="1" w:styleId="Heading11">
    <w:name w:val="Heading #1|1_"/>
    <w:basedOn w:val="DefaultParagraphFont"/>
    <w:link w:val="Heading110"/>
    <w:rPr>
      <w:rFonts w:ascii="Tahoma" w:eastAsia="Tahoma" w:hAnsi="Tahoma" w:cs="Tahoma"/>
      <w:b/>
      <w:i w:val="0"/>
      <w:smallCaps w:val="0"/>
      <w:strike w:val="0"/>
      <w:sz w:val="32"/>
      <w:u w:val="none"/>
      <w:shd w:val="clear" w:color="auto" w:fill="auto"/>
    </w:rPr>
  </w:style>
  <w:style w:type="paragraph" w:customStyle="1" w:styleId="Footnote10">
    <w:name w:val="Footnote|1"/>
    <w:basedOn w:val="Normal"/>
    <w:link w:val="Footnote1"/>
    <w:rPr>
      <w:rFonts w:ascii="Tahoma" w:eastAsia="Tahoma" w:hAnsi="Tahoma" w:cs="Tahoma"/>
      <w:sz w:val="18"/>
    </w:rPr>
  </w:style>
  <w:style w:type="paragraph" w:customStyle="1" w:styleId="Picturecaption10">
    <w:name w:val="Picture caption|1"/>
    <w:basedOn w:val="Normal"/>
    <w:link w:val="Picturecaption1"/>
    <w:rPr>
      <w:rFonts w:ascii="Tahoma" w:eastAsia="Tahoma" w:hAnsi="Tahoma" w:cs="Tahoma"/>
      <w:color w:val="161616"/>
      <w:sz w:val="19"/>
    </w:rPr>
  </w:style>
  <w:style w:type="paragraph" w:customStyle="1" w:styleId="Bodytext30">
    <w:name w:val="Body text|3"/>
    <w:basedOn w:val="Normal"/>
    <w:link w:val="Bodytext3"/>
    <w:pPr>
      <w:spacing w:after="1380"/>
      <w:ind w:left="1000"/>
    </w:pPr>
    <w:rPr>
      <w:rFonts w:ascii="Tahoma" w:eastAsia="Tahoma" w:hAnsi="Tahoma" w:cs="Tahoma"/>
      <w:b/>
      <w:sz w:val="40"/>
    </w:rPr>
  </w:style>
  <w:style w:type="paragraph" w:customStyle="1" w:styleId="Bodytext40">
    <w:name w:val="Body text|4"/>
    <w:basedOn w:val="Normal"/>
    <w:link w:val="Bodytext4"/>
    <w:pPr>
      <w:spacing w:after="780"/>
    </w:pPr>
    <w:rPr>
      <w:rFonts w:ascii="Tahoma" w:eastAsia="Tahoma" w:hAnsi="Tahoma" w:cs="Tahoma"/>
      <w:sz w:val="28"/>
    </w:rPr>
  </w:style>
  <w:style w:type="paragraph" w:customStyle="1" w:styleId="Bodytext10">
    <w:name w:val="Body text|1"/>
    <w:basedOn w:val="Normal"/>
    <w:link w:val="Bodytext1"/>
    <w:pPr>
      <w:spacing w:after="260"/>
    </w:pPr>
    <w:rPr>
      <w:rFonts w:ascii="Tahoma" w:eastAsia="Tahoma" w:hAnsi="Tahoma" w:cs="Tahoma"/>
      <w:sz w:val="22"/>
    </w:rPr>
  </w:style>
  <w:style w:type="paragraph" w:customStyle="1" w:styleId="Bodytext60">
    <w:name w:val="Body text|6"/>
    <w:basedOn w:val="Normal"/>
    <w:link w:val="Bodytext6"/>
    <w:pPr>
      <w:spacing w:after="2120"/>
      <w:ind w:left="1000"/>
    </w:pPr>
    <w:rPr>
      <w:rFonts w:ascii="Tahoma" w:eastAsia="Tahoma" w:hAnsi="Tahoma" w:cs="Tahoma"/>
      <w:sz w:val="36"/>
    </w:rPr>
  </w:style>
  <w:style w:type="paragraph" w:customStyle="1" w:styleId="Headerorfooter20">
    <w:name w:val="Header or footer|2"/>
    <w:basedOn w:val="Normal"/>
    <w:link w:val="Headerorfooter2"/>
    <w:rPr>
      <w:sz w:val="20"/>
    </w:rPr>
  </w:style>
  <w:style w:type="paragraph" w:customStyle="1" w:styleId="Tableofcontents10">
    <w:name w:val="Table of contents|1"/>
    <w:basedOn w:val="Normal"/>
    <w:link w:val="Tableofcontents1"/>
    <w:pPr>
      <w:spacing w:after="100"/>
      <w:ind w:firstLine="240"/>
    </w:pPr>
    <w:rPr>
      <w:rFonts w:ascii="Tahoma" w:eastAsia="Tahoma" w:hAnsi="Tahoma" w:cs="Tahoma"/>
      <w:b/>
      <w:sz w:val="22"/>
    </w:rPr>
  </w:style>
  <w:style w:type="paragraph" w:customStyle="1" w:styleId="Heading210">
    <w:name w:val="Heading #2|1"/>
    <w:basedOn w:val="Normal"/>
    <w:link w:val="Heading21"/>
    <w:pPr>
      <w:spacing w:after="290"/>
      <w:ind w:left="780"/>
      <w:outlineLvl w:val="1"/>
    </w:pPr>
    <w:rPr>
      <w:rFonts w:ascii="Tahoma" w:eastAsia="Tahoma" w:hAnsi="Tahoma" w:cs="Tahoma"/>
      <w:b/>
      <w:sz w:val="28"/>
    </w:rPr>
  </w:style>
  <w:style w:type="paragraph" w:customStyle="1" w:styleId="Bodytext50">
    <w:name w:val="Body text|5"/>
    <w:basedOn w:val="Normal"/>
    <w:link w:val="Bodytext5"/>
    <w:rPr>
      <w:rFonts w:ascii="Tahoma" w:eastAsia="Tahoma" w:hAnsi="Tahoma" w:cs="Tahoma"/>
      <w:sz w:val="12"/>
    </w:rPr>
  </w:style>
  <w:style w:type="paragraph" w:customStyle="1" w:styleId="Bodytext70">
    <w:name w:val="Body text|7"/>
    <w:basedOn w:val="Normal"/>
    <w:link w:val="Bodytext7"/>
    <w:pPr>
      <w:spacing w:after="30"/>
    </w:pPr>
    <w:rPr>
      <w:rFonts w:ascii="Arial" w:eastAsia="Arial" w:hAnsi="Arial" w:cs="Arial"/>
      <w:sz w:val="13"/>
    </w:rPr>
  </w:style>
  <w:style w:type="paragraph" w:customStyle="1" w:styleId="Bodytext20">
    <w:name w:val="Body text|2"/>
    <w:basedOn w:val="Normal"/>
    <w:link w:val="Bodytext2"/>
    <w:rPr>
      <w:rFonts w:ascii="Tahoma" w:eastAsia="Tahoma" w:hAnsi="Tahoma" w:cs="Tahoma"/>
      <w:sz w:val="18"/>
    </w:rPr>
  </w:style>
  <w:style w:type="paragraph" w:customStyle="1" w:styleId="Heading310">
    <w:name w:val="Heading #3|1"/>
    <w:basedOn w:val="Normal"/>
    <w:link w:val="Heading31"/>
    <w:pPr>
      <w:spacing w:after="260"/>
      <w:ind w:firstLine="630"/>
      <w:outlineLvl w:val="2"/>
    </w:pPr>
    <w:rPr>
      <w:rFonts w:ascii="Tahoma" w:eastAsia="Tahoma" w:hAnsi="Tahoma" w:cs="Tahoma"/>
      <w:b/>
      <w:sz w:val="22"/>
    </w:rPr>
  </w:style>
  <w:style w:type="paragraph" w:customStyle="1" w:styleId="Heading110">
    <w:name w:val="Heading #1|1"/>
    <w:basedOn w:val="Normal"/>
    <w:link w:val="Heading11"/>
    <w:pPr>
      <w:spacing w:after="260"/>
      <w:outlineLvl w:val="0"/>
    </w:pPr>
    <w:rPr>
      <w:rFonts w:ascii="Tahoma" w:eastAsia="Tahoma" w:hAnsi="Tahoma" w:cs="Tahoma"/>
      <w:b/>
      <w:sz w:val="32"/>
    </w:rPr>
  </w:style>
  <w:style w:type="paragraph" w:customStyle="1" w:styleId="P68B1DB1-Style271">
    <w:name w:val="P68B1DB1-Style271"/>
    <w:basedOn w:val="Bodytext10"/>
    <w:rPr>
      <w:b/>
    </w:rPr>
  </w:style>
  <w:style w:type="paragraph" w:customStyle="1" w:styleId="P68B1DB1-Style272">
    <w:name w:val="P68B1DB1-Style272"/>
    <w:basedOn w:val="Bodytext10"/>
    <w:rPr>
      <w:color w:val="161616"/>
    </w:rPr>
  </w:style>
  <w:style w:type="paragraph" w:customStyle="1" w:styleId="P68B1DB1-Style273">
    <w:name w:val="P68B1DB1-Style273"/>
    <w:basedOn w:val="Bodytext10"/>
    <w:rPr>
      <w:b/>
      <w:i/>
    </w:rPr>
  </w:style>
  <w:style w:type="paragraph" w:customStyle="1" w:styleId="P68B1DB1-Style334">
    <w:name w:val="P68B1DB1-Style334"/>
    <w:basedOn w:val="Headerorfooter20"/>
    <w:rPr>
      <w:rFonts w:ascii="Tahoma" w:eastAsia="Tahoma" w:hAnsi="Tahoma" w:cs="Tahoma"/>
      <w:sz w:val="18"/>
    </w:rPr>
  </w:style>
  <w:style w:type="paragraph" w:customStyle="1" w:styleId="P68B1DB1-Style25">
    <w:name w:val="P68B1DB1-Style25"/>
    <w:basedOn w:val="Footnote10"/>
    <w:rPr>
      <w:sz w:val="12"/>
    </w:rPr>
  </w:style>
  <w:style w:type="paragraph" w:customStyle="1" w:styleId="P68B1DB1-Style26">
    <w:name w:val="P68B1DB1-Style26"/>
    <w:basedOn w:val="Footnote10"/>
    <w:rPr>
      <w:shd w:val="clear" w:color="auto" w:fill="FFFFFF"/>
    </w:rPr>
  </w:style>
  <w:style w:type="paragraph" w:styleId="TOC2">
    <w:name w:val="toc 2"/>
    <w:basedOn w:val="Normal"/>
    <w:next w:val="Normal"/>
    <w:autoRedefine/>
    <w:uiPriority w:val="39"/>
    <w:unhideWhenUsed/>
    <w:rsid w:val="001F2E21"/>
    <w:pPr>
      <w:spacing w:after="100"/>
      <w:ind w:left="240"/>
    </w:pPr>
  </w:style>
  <w:style w:type="paragraph" w:styleId="TOC3">
    <w:name w:val="toc 3"/>
    <w:basedOn w:val="Normal"/>
    <w:next w:val="Normal"/>
    <w:autoRedefine/>
    <w:uiPriority w:val="39"/>
    <w:unhideWhenUsed/>
    <w:rsid w:val="001F2E21"/>
    <w:pPr>
      <w:spacing w:after="100"/>
      <w:ind w:left="480"/>
    </w:pPr>
  </w:style>
  <w:style w:type="paragraph" w:styleId="TOC1">
    <w:name w:val="toc 1"/>
    <w:basedOn w:val="Normal"/>
    <w:next w:val="Normal"/>
    <w:autoRedefine/>
    <w:uiPriority w:val="39"/>
    <w:unhideWhenUsed/>
    <w:rsid w:val="001F2E21"/>
    <w:pPr>
      <w:spacing w:after="100"/>
    </w:pPr>
  </w:style>
  <w:style w:type="character" w:styleId="Hyperlink">
    <w:name w:val="Hyperlink"/>
    <w:basedOn w:val="DefaultParagraphFont"/>
    <w:uiPriority w:val="99"/>
    <w:unhideWhenUsed/>
    <w:rsid w:val="001F2E21"/>
    <w:rPr>
      <w:color w:val="0563C1" w:themeColor="hyperlink"/>
      <w:u w:val="single"/>
    </w:rPr>
  </w:style>
  <w:style w:type="paragraph" w:styleId="Footer">
    <w:name w:val="footer"/>
    <w:basedOn w:val="Normal"/>
    <w:link w:val="FooterChar"/>
    <w:uiPriority w:val="99"/>
    <w:unhideWhenUsed/>
    <w:rsid w:val="001F2E21"/>
    <w:pPr>
      <w:tabs>
        <w:tab w:val="center" w:pos="4513"/>
        <w:tab w:val="right" w:pos="9026"/>
      </w:tabs>
    </w:pPr>
  </w:style>
  <w:style w:type="character" w:customStyle="1" w:styleId="FooterChar">
    <w:name w:val="Footer Char"/>
    <w:basedOn w:val="DefaultParagraphFont"/>
    <w:link w:val="Footer"/>
    <w:uiPriority w:val="99"/>
    <w:rsid w:val="001F2E21"/>
    <w:rPr>
      <w:color w:val="000000"/>
    </w:rPr>
  </w:style>
  <w:style w:type="paragraph" w:styleId="ListParagraph">
    <w:name w:val="List Paragraph"/>
    <w:basedOn w:val="Normal"/>
    <w:uiPriority w:val="34"/>
    <w:qFormat/>
    <w:rsid w:val="00540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CB8E-D718-4935-AA72-43B0BFF9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8850</Words>
  <Characters>5046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Zīle-Veisberga</dc:creator>
  <cp:lastModifiedBy>Samanta Nalivaiko</cp:lastModifiedBy>
  <cp:revision>2</cp:revision>
  <dcterms:created xsi:type="dcterms:W3CDTF">2022-02-23T06:58:00Z</dcterms:created>
  <dcterms:modified xsi:type="dcterms:W3CDTF">2022-02-23T06:58:00Z</dcterms:modified>
</cp:coreProperties>
</file>