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A96" w:rsidRPr="006C2944" w:rsidRDefault="00EB6A96" w:rsidP="00EB6A96">
      <w:pPr>
        <w:shd w:val="clear" w:color="auto" w:fill="FFFFFF"/>
        <w:spacing w:after="0"/>
        <w:jc w:val="center"/>
        <w:rPr>
          <w:rFonts w:ascii="Times New Roman" w:eastAsia="Times New Roman" w:hAnsi="Times New Roman" w:cs="Times New Roman"/>
          <w:b/>
          <w:bCs/>
          <w:sz w:val="24"/>
          <w:szCs w:val="24"/>
          <w:lang w:eastAsia="lv-LV"/>
        </w:rPr>
      </w:pPr>
      <w:r w:rsidRPr="006C2944">
        <w:rPr>
          <w:rFonts w:ascii="Times New Roman" w:eastAsia="Times New Roman" w:hAnsi="Times New Roman" w:cs="Times New Roman"/>
          <w:b/>
          <w:bCs/>
          <w:sz w:val="24"/>
          <w:szCs w:val="24"/>
          <w:lang w:eastAsia="lv-LV"/>
        </w:rPr>
        <w:t>Ministru kabineta noteikumu projekta „Grozījumi Ministru kabineta 2011.gada 18.janvāra noteikumos Nr.55 „Noteikumi par speciālo līdzekļu veidiem un to lietošanas kārtību””</w:t>
      </w:r>
      <w:r w:rsidR="00E649A9">
        <w:rPr>
          <w:rFonts w:ascii="Times New Roman" w:eastAsia="Times New Roman" w:hAnsi="Times New Roman" w:cs="Times New Roman"/>
          <w:b/>
          <w:bCs/>
          <w:sz w:val="24"/>
          <w:szCs w:val="24"/>
          <w:lang w:eastAsia="lv-LV"/>
        </w:rPr>
        <w:t xml:space="preserve"> </w:t>
      </w:r>
      <w:r w:rsidRPr="006C2944">
        <w:rPr>
          <w:rFonts w:ascii="Times New Roman" w:eastAsia="Times New Roman" w:hAnsi="Times New Roman" w:cs="Times New Roman"/>
          <w:b/>
          <w:bCs/>
          <w:sz w:val="24"/>
          <w:szCs w:val="24"/>
          <w:lang w:eastAsia="lv-LV"/>
        </w:rPr>
        <w:t>sākotnējās ietekmes novērtējuma ziņojums (anotācija)</w:t>
      </w:r>
    </w:p>
    <w:p w:rsidR="00E5323B" w:rsidRPr="00803C0E"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803C0E"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803C0E"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03C0E">
              <w:rPr>
                <w:rFonts w:ascii="Times New Roman" w:eastAsia="Times New Roman" w:hAnsi="Times New Roman" w:cs="Times New Roman"/>
                <w:b/>
                <w:bCs/>
                <w:iCs/>
                <w:color w:val="414142"/>
                <w:sz w:val="24"/>
                <w:szCs w:val="24"/>
                <w:lang w:eastAsia="lv-LV"/>
              </w:rPr>
              <w:t>Tiesību akta projekta anotācijas kopsavilkums</w:t>
            </w:r>
          </w:p>
        </w:tc>
      </w:tr>
      <w:tr w:rsidR="00E5323B" w:rsidRPr="00803C0E"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6C2944" w:rsidRPr="006C2944" w:rsidRDefault="006C2944" w:rsidP="006C2944">
            <w:pPr>
              <w:spacing w:after="0" w:line="240" w:lineRule="auto"/>
              <w:ind w:firstLine="4"/>
              <w:jc w:val="both"/>
              <w:rPr>
                <w:rFonts w:ascii="Times New Roman" w:eastAsia="Times New Roman" w:hAnsi="Times New Roman" w:cs="Times New Roman"/>
                <w:iCs/>
                <w:sz w:val="24"/>
                <w:szCs w:val="24"/>
                <w:lang w:eastAsia="lv-LV"/>
              </w:rPr>
            </w:pPr>
            <w:r w:rsidRPr="006C2944">
              <w:rPr>
                <w:rFonts w:ascii="Times New Roman" w:eastAsia="Times New Roman" w:hAnsi="Times New Roman" w:cs="Times New Roman"/>
                <w:iCs/>
                <w:sz w:val="24"/>
                <w:szCs w:val="24"/>
                <w:lang w:eastAsia="lv-LV"/>
              </w:rPr>
              <w:t>Saskaņā ar Ministru kabineta 2009. gada 15. decembra instrukcijas Nr. 19 “</w:t>
            </w:r>
            <w:r w:rsidRPr="006C2944">
              <w:rPr>
                <w:rFonts w:ascii="Times New Roman" w:eastAsia="Times New Roman" w:hAnsi="Times New Roman" w:cs="Times New Roman"/>
                <w:bCs/>
                <w:iCs/>
                <w:sz w:val="24"/>
                <w:szCs w:val="24"/>
                <w:lang w:eastAsia="lv-LV"/>
              </w:rPr>
              <w:t>Tiesību akta projekta sākotnējās ietekmes izvērtēšanas kārtība” 5.</w:t>
            </w:r>
            <w:r w:rsidRPr="006C2944">
              <w:rPr>
                <w:rFonts w:ascii="Times New Roman" w:eastAsia="Times New Roman" w:hAnsi="Times New Roman" w:cs="Times New Roman"/>
                <w:bCs/>
                <w:iCs/>
                <w:sz w:val="24"/>
                <w:szCs w:val="24"/>
                <w:vertAlign w:val="superscript"/>
                <w:lang w:eastAsia="lv-LV"/>
              </w:rPr>
              <w:t>1</w:t>
            </w:r>
            <w:r w:rsidRPr="006C2944">
              <w:rPr>
                <w:rFonts w:ascii="Times New Roman" w:eastAsia="Times New Roman" w:hAnsi="Times New Roman" w:cs="Times New Roman"/>
                <w:bCs/>
                <w:iCs/>
                <w:sz w:val="24"/>
                <w:szCs w:val="24"/>
                <w:lang w:eastAsia="lv-LV"/>
              </w:rPr>
              <w:t>punktu nav aizpildāms.</w:t>
            </w:r>
          </w:p>
          <w:p w:rsidR="006C2944" w:rsidRPr="006C2944" w:rsidRDefault="006C2944" w:rsidP="00CD0D44">
            <w:pPr>
              <w:spacing w:after="0" w:line="240" w:lineRule="auto"/>
              <w:ind w:firstLine="4"/>
              <w:jc w:val="both"/>
              <w:rPr>
                <w:rFonts w:ascii="Times New Roman" w:eastAsia="Times New Roman" w:hAnsi="Times New Roman" w:cs="Times New Roman"/>
                <w:iCs/>
                <w:sz w:val="24"/>
                <w:szCs w:val="24"/>
                <w:lang w:eastAsia="lv-LV"/>
              </w:rPr>
            </w:pPr>
          </w:p>
        </w:tc>
      </w:tr>
    </w:tbl>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03C0E"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803C0E"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03C0E">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495971"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Iekšlietu ministrijas iniciatīva</w:t>
            </w:r>
            <w:r w:rsidR="00E2720D" w:rsidRPr="00803C0E">
              <w:rPr>
                <w:rFonts w:ascii="Times New Roman" w:eastAsia="Times New Roman" w:hAnsi="Times New Roman" w:cs="Times New Roman"/>
                <w:iCs/>
                <w:sz w:val="24"/>
                <w:szCs w:val="24"/>
                <w:lang w:eastAsia="lv-LV"/>
              </w:rPr>
              <w:t xml:space="preserve"> un Valsts robežsardzes likuma 16.</w:t>
            </w:r>
            <w:r w:rsidR="00B616E5">
              <w:rPr>
                <w:rFonts w:ascii="Times New Roman" w:eastAsia="Times New Roman" w:hAnsi="Times New Roman" w:cs="Times New Roman"/>
                <w:iCs/>
                <w:sz w:val="24"/>
                <w:szCs w:val="24"/>
                <w:lang w:eastAsia="lv-LV"/>
              </w:rPr>
              <w:t xml:space="preserve"> </w:t>
            </w:r>
            <w:r w:rsidR="00E2720D" w:rsidRPr="00803C0E">
              <w:rPr>
                <w:rFonts w:ascii="Times New Roman" w:eastAsia="Times New Roman" w:hAnsi="Times New Roman" w:cs="Times New Roman"/>
                <w:iCs/>
                <w:sz w:val="24"/>
                <w:szCs w:val="24"/>
                <w:lang w:eastAsia="lv-LV"/>
              </w:rPr>
              <w:t>panta astotā daļa.</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rsidR="00732200" w:rsidRDefault="00732200" w:rsidP="00495971">
            <w:pPr>
              <w:spacing w:after="0"/>
              <w:jc w:val="both"/>
              <w:rPr>
                <w:rFonts w:ascii="Times New Roman" w:hAnsi="Times New Roman"/>
                <w:sz w:val="24"/>
                <w:szCs w:val="26"/>
              </w:rPr>
            </w:pPr>
            <w:r w:rsidRPr="00846994">
              <w:rPr>
                <w:rFonts w:ascii="Times New Roman" w:hAnsi="Times New Roman"/>
                <w:sz w:val="24"/>
                <w:szCs w:val="26"/>
              </w:rPr>
              <w:t xml:space="preserve">Saskaņā ar Iekšējās drošības likuma </w:t>
            </w:r>
            <w:r w:rsidR="005F0474">
              <w:rPr>
                <w:rFonts w:ascii="Times New Roman" w:hAnsi="Times New Roman"/>
                <w:sz w:val="24"/>
                <w:szCs w:val="26"/>
              </w:rPr>
              <w:t>7. panta pirmās daļas 9. punktu</w:t>
            </w:r>
            <w:r w:rsidRPr="00846994">
              <w:rPr>
                <w:rFonts w:ascii="Times New Roman" w:hAnsi="Times New Roman"/>
                <w:sz w:val="24"/>
                <w:szCs w:val="26"/>
              </w:rPr>
              <w:t xml:space="preserve">, lai nodrošinātu </w:t>
            </w:r>
            <w:r w:rsidR="00F50665">
              <w:rPr>
                <w:rFonts w:ascii="Times New Roman" w:hAnsi="Times New Roman"/>
                <w:sz w:val="24"/>
                <w:szCs w:val="26"/>
              </w:rPr>
              <w:t xml:space="preserve">Iekšējās drošības birojam (turpmāk –Birojs) </w:t>
            </w:r>
            <w:r w:rsidRPr="00846994">
              <w:rPr>
                <w:rFonts w:ascii="Times New Roman" w:hAnsi="Times New Roman"/>
                <w:sz w:val="24"/>
                <w:szCs w:val="26"/>
              </w:rPr>
              <w:t>no</w:t>
            </w:r>
            <w:r w:rsidR="006C2944">
              <w:rPr>
                <w:rFonts w:ascii="Times New Roman" w:hAnsi="Times New Roman"/>
                <w:sz w:val="24"/>
                <w:szCs w:val="26"/>
              </w:rPr>
              <w:t>teikto funkciju izpildi</w:t>
            </w:r>
            <w:r w:rsidRPr="00846994">
              <w:rPr>
                <w:rFonts w:ascii="Times New Roman" w:hAnsi="Times New Roman"/>
                <w:sz w:val="24"/>
                <w:szCs w:val="26"/>
              </w:rPr>
              <w:t xml:space="preserve">, </w:t>
            </w:r>
            <w:r w:rsidR="00F50665">
              <w:rPr>
                <w:rFonts w:ascii="Times New Roman" w:hAnsi="Times New Roman"/>
                <w:sz w:val="24"/>
                <w:szCs w:val="26"/>
              </w:rPr>
              <w:t>Biroja</w:t>
            </w:r>
            <w:r w:rsidRPr="00846994">
              <w:rPr>
                <w:rFonts w:ascii="Times New Roman" w:hAnsi="Times New Roman"/>
                <w:sz w:val="24"/>
                <w:szCs w:val="26"/>
              </w:rPr>
              <w:t xml:space="preserve"> amatpersonas  glabā, nēsā un pielieto dienesta šaujamieročus, kā arī lieto fizisku spēku un speciālos līdzekļus atbilstoši likumam “Par policiju” (turpmāk – Likums).</w:t>
            </w:r>
            <w:r>
              <w:rPr>
                <w:rFonts w:ascii="Times New Roman" w:hAnsi="Times New Roman"/>
                <w:sz w:val="24"/>
                <w:szCs w:val="26"/>
              </w:rPr>
              <w:t xml:space="preserve"> </w:t>
            </w:r>
          </w:p>
          <w:p w:rsidR="00846994" w:rsidRDefault="00732200" w:rsidP="00732200">
            <w:pPr>
              <w:spacing w:after="0"/>
              <w:jc w:val="both"/>
              <w:rPr>
                <w:rFonts w:ascii="Times New Roman" w:hAnsi="Times New Roman"/>
                <w:sz w:val="24"/>
                <w:szCs w:val="26"/>
              </w:rPr>
            </w:pPr>
            <w:r>
              <w:rPr>
                <w:rFonts w:ascii="Times New Roman" w:hAnsi="Times New Roman"/>
                <w:sz w:val="24"/>
                <w:szCs w:val="26"/>
              </w:rPr>
              <w:t xml:space="preserve"> Atbilstoši Likuma 13.panta pirmajai daļai speciālie līdzekļi tiek lietoti, lai </w:t>
            </w:r>
            <w:r w:rsidR="00091A37" w:rsidRPr="00803C0E">
              <w:rPr>
                <w:rFonts w:ascii="Times New Roman" w:hAnsi="Times New Roman"/>
                <w:sz w:val="24"/>
                <w:szCs w:val="26"/>
              </w:rPr>
              <w:t xml:space="preserve">atvairītu uzbrukumu personām, policijas darbiniekiem un personām, kas pilda dienesta pienākumus sabiedrības drošības garantēšanā un cīņā pret noziedzību, atvairītu uzbrukumu ēkām, telpām, celtnēm un transportlīdzekļiem neatkarīgi no to piederības vai atbrīvotu apbruņotu personu ieņemtos objektus, atbrīvotu ķīlniekus, kā arī savaldītu aizturētās, arestētās, apcietinātās un notiesātās personas, ja tās nepakļaujas vai pretojas policijas darbiniekiem vai ir pamats uzskatīt, ka tās var bēgt vai nodarīt kaitējumu apkārtējiem cilvēkiem vai sev, pārtrauktu ļaunprātīgu nepakļaušanos likumīgām prasībām, kuras izvirza policijas darbinieki vai citas personas, pildot dienesta pienākumus sabiedriskās kārtības garantēšanā un cīņā pret noziedzību. </w:t>
            </w:r>
          </w:p>
          <w:p w:rsidR="009A6D5A" w:rsidRDefault="006C2944" w:rsidP="0040171D">
            <w:pPr>
              <w:spacing w:after="0"/>
              <w:jc w:val="both"/>
              <w:rPr>
                <w:rFonts w:ascii="Times New Roman" w:hAnsi="Times New Roman"/>
                <w:sz w:val="24"/>
                <w:szCs w:val="26"/>
              </w:rPr>
            </w:pPr>
            <w:r>
              <w:rPr>
                <w:rFonts w:ascii="Times New Roman" w:hAnsi="Times New Roman"/>
                <w:sz w:val="24"/>
                <w:szCs w:val="26"/>
              </w:rPr>
              <w:t>Ministru kabineta</w:t>
            </w:r>
            <w:r w:rsidRPr="006C2944">
              <w:rPr>
                <w:rFonts w:ascii="Times New Roman" w:hAnsi="Times New Roman"/>
                <w:sz w:val="24"/>
                <w:szCs w:val="26"/>
              </w:rPr>
              <w:t xml:space="preserve"> </w:t>
            </w:r>
            <w:r w:rsidRPr="006C2944">
              <w:rPr>
                <w:rFonts w:ascii="Times New Roman" w:hAnsi="Times New Roman"/>
                <w:bCs/>
                <w:sz w:val="24"/>
                <w:szCs w:val="26"/>
              </w:rPr>
              <w:t>2011. gada 18. janvāra noteiku</w:t>
            </w:r>
            <w:r w:rsidR="005F0474">
              <w:rPr>
                <w:rFonts w:ascii="Times New Roman" w:hAnsi="Times New Roman"/>
                <w:bCs/>
                <w:sz w:val="24"/>
                <w:szCs w:val="26"/>
              </w:rPr>
              <w:t>mu</w:t>
            </w:r>
            <w:r w:rsidRPr="006C2944">
              <w:rPr>
                <w:rFonts w:ascii="Times New Roman" w:hAnsi="Times New Roman"/>
                <w:bCs/>
                <w:sz w:val="24"/>
                <w:szCs w:val="26"/>
              </w:rPr>
              <w:t xml:space="preserve"> Nr. 55 “Noteikumi par speciālo līdzekļu veidiem un to lietošanas kārtību” (turpmāk – Ministru kabineta noteikumi)</w:t>
            </w:r>
            <w:r w:rsidRPr="006C2944">
              <w:rPr>
                <w:rFonts w:ascii="Times New Roman" w:hAnsi="Times New Roman"/>
                <w:sz w:val="24"/>
                <w:szCs w:val="26"/>
              </w:rPr>
              <w:t xml:space="preserve"> </w:t>
            </w:r>
            <w:r>
              <w:rPr>
                <w:rFonts w:ascii="Times New Roman" w:hAnsi="Times New Roman"/>
                <w:sz w:val="24"/>
                <w:szCs w:val="26"/>
              </w:rPr>
              <w:t>2.11. apakšpunktā minēti speciālie līdzekļi</w:t>
            </w:r>
            <w:r w:rsidR="00091A37" w:rsidRPr="00803C0E">
              <w:rPr>
                <w:rFonts w:ascii="Times New Roman" w:hAnsi="Times New Roman"/>
                <w:sz w:val="24"/>
                <w:szCs w:val="26"/>
              </w:rPr>
              <w:t xml:space="preserve"> - </w:t>
            </w:r>
            <w:r>
              <w:rPr>
                <w:rFonts w:ascii="Times New Roman" w:hAnsi="Times New Roman"/>
                <w:sz w:val="24"/>
                <w:szCs w:val="26"/>
              </w:rPr>
              <w:t>tādu elementu izšaušanas ierīces</w:t>
            </w:r>
            <w:r w:rsidR="00091A37" w:rsidRPr="00803C0E">
              <w:rPr>
                <w:rFonts w:ascii="Times New Roman" w:hAnsi="Times New Roman"/>
                <w:sz w:val="24"/>
                <w:szCs w:val="26"/>
              </w:rPr>
              <w:t>, kuri nav paredzēti letālu seku radīšanai (piemēram, gāzes, krāsas, gumijas izšaušanas ierīces) (turpmāk arī – neletālais ierocis)</w:t>
            </w:r>
            <w:r>
              <w:rPr>
                <w:rFonts w:ascii="Times New Roman" w:hAnsi="Times New Roman"/>
                <w:sz w:val="24"/>
                <w:szCs w:val="26"/>
              </w:rPr>
              <w:t xml:space="preserve">. </w:t>
            </w:r>
          </w:p>
          <w:p w:rsidR="009A6D5A" w:rsidRDefault="009A6D5A" w:rsidP="0040171D">
            <w:pPr>
              <w:spacing w:after="0"/>
              <w:jc w:val="both"/>
              <w:rPr>
                <w:rFonts w:ascii="Times New Roman" w:hAnsi="Times New Roman"/>
                <w:sz w:val="24"/>
                <w:szCs w:val="26"/>
              </w:rPr>
            </w:pPr>
            <w:r>
              <w:rPr>
                <w:rFonts w:ascii="Times New Roman" w:hAnsi="Times New Roman"/>
                <w:sz w:val="24"/>
                <w:szCs w:val="26"/>
              </w:rPr>
              <w:t xml:space="preserve">Atbilstoši </w:t>
            </w:r>
            <w:r w:rsidRPr="009A6D5A">
              <w:rPr>
                <w:rFonts w:ascii="Times New Roman" w:hAnsi="Times New Roman"/>
                <w:sz w:val="24"/>
                <w:szCs w:val="26"/>
              </w:rPr>
              <w:t xml:space="preserve">Ministru kabineta noteikumu 31. </w:t>
            </w:r>
            <w:r>
              <w:rPr>
                <w:rFonts w:ascii="Times New Roman" w:hAnsi="Times New Roman"/>
                <w:sz w:val="24"/>
                <w:szCs w:val="26"/>
              </w:rPr>
              <w:t>punktam</w:t>
            </w:r>
            <w:r w:rsidRPr="009A6D5A">
              <w:rPr>
                <w:rFonts w:ascii="Times New Roman" w:hAnsi="Times New Roman"/>
                <w:sz w:val="24"/>
                <w:szCs w:val="26"/>
              </w:rPr>
              <w:t xml:space="preserve"> </w:t>
            </w:r>
            <w:r>
              <w:rPr>
                <w:rFonts w:ascii="Times New Roman" w:hAnsi="Times New Roman"/>
                <w:sz w:val="24"/>
                <w:szCs w:val="26"/>
              </w:rPr>
              <w:t>neletālos ieročus</w:t>
            </w:r>
            <w:r w:rsidRPr="009A6D5A">
              <w:rPr>
                <w:rFonts w:ascii="Times New Roman" w:hAnsi="Times New Roman"/>
                <w:sz w:val="24"/>
                <w:szCs w:val="26"/>
              </w:rPr>
              <w:t xml:space="preserve"> lieto gadījumos, ja ar pirotehnisko vai pneimatisko lādiņu, kas sprāgstot raida traumējošus vai </w:t>
            </w:r>
            <w:r w:rsidRPr="009A6D5A">
              <w:rPr>
                <w:rFonts w:ascii="Times New Roman" w:hAnsi="Times New Roman"/>
                <w:sz w:val="24"/>
                <w:szCs w:val="26"/>
              </w:rPr>
              <w:lastRenderedPageBreak/>
              <w:t>krāsu saturošus elementus, nepieciešams īslaicīgi dezorientēt vai iezīmēt personu vai personu grupu</w:t>
            </w:r>
            <w:r>
              <w:rPr>
                <w:rFonts w:ascii="Times New Roman" w:hAnsi="Times New Roman"/>
                <w:sz w:val="24"/>
                <w:szCs w:val="26"/>
              </w:rPr>
              <w:t>.</w:t>
            </w:r>
          </w:p>
          <w:p w:rsidR="00DE3E7C" w:rsidRDefault="009A6D5A" w:rsidP="00A5167D">
            <w:pPr>
              <w:spacing w:after="0"/>
              <w:jc w:val="both"/>
              <w:rPr>
                <w:rFonts w:ascii="Times New Roman" w:hAnsi="Times New Roman"/>
                <w:sz w:val="24"/>
                <w:szCs w:val="26"/>
              </w:rPr>
            </w:pPr>
            <w:r w:rsidRPr="009A6D5A">
              <w:rPr>
                <w:rFonts w:ascii="Times New Roman" w:hAnsi="Times New Roman"/>
                <w:sz w:val="24"/>
                <w:szCs w:val="26"/>
              </w:rPr>
              <w:t>Lai gan nav vienotas oficiālas statistikas par neletālā ieroča pielietošanu, praksē pieņemts, ka neletālo ieroci var izmantot agresīvas, neapbruņotas personas (vai personu grupas) apturēšanai vai uzbrukuma atvairīšanai, nemieru novēršanai un objektu vai ci</w:t>
            </w:r>
            <w:r>
              <w:rPr>
                <w:rFonts w:ascii="Times New Roman" w:hAnsi="Times New Roman"/>
                <w:sz w:val="24"/>
                <w:szCs w:val="26"/>
              </w:rPr>
              <w:t xml:space="preserve">lvēku marķēšanai ar krāsu. </w:t>
            </w:r>
          </w:p>
          <w:p w:rsidR="00091A37" w:rsidRPr="00803C0E" w:rsidRDefault="006C2944" w:rsidP="00A5167D">
            <w:pPr>
              <w:spacing w:after="0"/>
              <w:jc w:val="both"/>
              <w:rPr>
                <w:rFonts w:ascii="Times New Roman" w:hAnsi="Times New Roman"/>
                <w:sz w:val="24"/>
                <w:szCs w:val="26"/>
              </w:rPr>
            </w:pPr>
            <w:r>
              <w:rPr>
                <w:rFonts w:ascii="Times New Roman" w:hAnsi="Times New Roman"/>
                <w:sz w:val="24"/>
                <w:szCs w:val="26"/>
              </w:rPr>
              <w:t>Atbilstoši M</w:t>
            </w:r>
            <w:r w:rsidR="009A6D5A">
              <w:rPr>
                <w:rFonts w:ascii="Times New Roman" w:hAnsi="Times New Roman"/>
                <w:sz w:val="24"/>
                <w:szCs w:val="26"/>
              </w:rPr>
              <w:t>inistru kabineta noteikumu 2.</w:t>
            </w:r>
            <w:r w:rsidR="009A6D5A">
              <w:rPr>
                <w:rFonts w:ascii="Times New Roman" w:hAnsi="Times New Roman"/>
                <w:sz w:val="24"/>
                <w:szCs w:val="26"/>
                <w:vertAlign w:val="superscript"/>
              </w:rPr>
              <w:t xml:space="preserve">2 </w:t>
            </w:r>
            <w:r w:rsidR="009A6D5A">
              <w:rPr>
                <w:rFonts w:ascii="Times New Roman" w:hAnsi="Times New Roman"/>
                <w:sz w:val="24"/>
                <w:szCs w:val="26"/>
              </w:rPr>
              <w:t>punktam šobrīd Biroja amatpersonām, pildot dienesta pienākumus</w:t>
            </w:r>
            <w:r w:rsidR="005238EC">
              <w:rPr>
                <w:rFonts w:ascii="Times New Roman" w:hAnsi="Times New Roman"/>
                <w:sz w:val="24"/>
                <w:szCs w:val="26"/>
              </w:rPr>
              <w:t>,</w:t>
            </w:r>
            <w:r w:rsidR="009A6D5A">
              <w:rPr>
                <w:rFonts w:ascii="Times New Roman" w:hAnsi="Times New Roman"/>
                <w:sz w:val="24"/>
                <w:szCs w:val="26"/>
              </w:rPr>
              <w:t xml:space="preserve"> nav tiesību lietot neletālos ieročus.</w:t>
            </w:r>
            <w:r w:rsidR="00091A37" w:rsidRPr="00803C0E">
              <w:rPr>
                <w:rFonts w:ascii="Times New Roman" w:hAnsi="Times New Roman"/>
                <w:sz w:val="24"/>
                <w:szCs w:val="26"/>
              </w:rPr>
              <w:t xml:space="preserve"> </w:t>
            </w:r>
            <w:r w:rsidR="009669E9" w:rsidRPr="00583FCD">
              <w:rPr>
                <w:rFonts w:ascii="Times New Roman" w:hAnsi="Times New Roman"/>
                <w:sz w:val="24"/>
                <w:szCs w:val="26"/>
              </w:rPr>
              <w:t xml:space="preserve">Tomēr, ievērojot to, ka, balstoties uz apdraudējuma izvērtējumu, ir pielietojams </w:t>
            </w:r>
            <w:r w:rsidR="005F0474" w:rsidRPr="00583FCD">
              <w:rPr>
                <w:rFonts w:ascii="Times New Roman" w:hAnsi="Times New Roman"/>
                <w:sz w:val="24"/>
                <w:szCs w:val="26"/>
              </w:rPr>
              <w:t xml:space="preserve">iespējamais saudzējošākais </w:t>
            </w:r>
            <w:r w:rsidR="009669E9" w:rsidRPr="00583FCD">
              <w:rPr>
                <w:rFonts w:ascii="Times New Roman" w:hAnsi="Times New Roman"/>
                <w:sz w:val="24"/>
                <w:szCs w:val="26"/>
              </w:rPr>
              <w:t xml:space="preserve"> līdzeklis, kas ir samērīgs ar esošo apdraudējumu, ir secināms, ka Biroja amatpersonām, pildot dienesta pienākumus,</w:t>
            </w:r>
            <w:r w:rsidR="00DE3E7C" w:rsidRPr="00583FCD">
              <w:rPr>
                <w:rFonts w:ascii="Times New Roman" w:hAnsi="Times New Roman"/>
                <w:sz w:val="24"/>
                <w:szCs w:val="26"/>
              </w:rPr>
              <w:t xml:space="preserve"> būtu</w:t>
            </w:r>
            <w:r w:rsidR="009669E9" w:rsidRPr="00583FCD">
              <w:rPr>
                <w:rFonts w:ascii="Times New Roman" w:hAnsi="Times New Roman"/>
                <w:sz w:val="24"/>
                <w:szCs w:val="26"/>
              </w:rPr>
              <w:t xml:space="preserve"> pieš</w:t>
            </w:r>
            <w:r w:rsidR="00DE3E7C" w:rsidRPr="00583FCD">
              <w:rPr>
                <w:rFonts w:ascii="Times New Roman" w:hAnsi="Times New Roman"/>
                <w:sz w:val="24"/>
                <w:szCs w:val="26"/>
              </w:rPr>
              <w:t>ķiramas</w:t>
            </w:r>
            <w:r w:rsidR="009669E9" w:rsidRPr="00583FCD">
              <w:rPr>
                <w:rFonts w:ascii="Times New Roman" w:hAnsi="Times New Roman"/>
                <w:sz w:val="24"/>
                <w:szCs w:val="26"/>
              </w:rPr>
              <w:t xml:space="preserve"> tiesības lietot </w:t>
            </w:r>
            <w:r w:rsidR="00DE3E7C" w:rsidRPr="00583FCD">
              <w:rPr>
                <w:rFonts w:ascii="Times New Roman" w:hAnsi="Times New Roman"/>
                <w:sz w:val="24"/>
                <w:szCs w:val="26"/>
              </w:rPr>
              <w:t xml:space="preserve">arī </w:t>
            </w:r>
            <w:r w:rsidR="009669E9" w:rsidRPr="00583FCD">
              <w:rPr>
                <w:rFonts w:ascii="Times New Roman" w:hAnsi="Times New Roman"/>
                <w:sz w:val="24"/>
                <w:szCs w:val="26"/>
              </w:rPr>
              <w:t>neletālo ieroci.</w:t>
            </w:r>
            <w:r w:rsidR="009669E9">
              <w:rPr>
                <w:rFonts w:ascii="Times New Roman" w:hAnsi="Times New Roman"/>
                <w:sz w:val="24"/>
                <w:szCs w:val="26"/>
              </w:rPr>
              <w:t xml:space="preserve"> Līdz ar to p</w:t>
            </w:r>
            <w:r w:rsidR="00846994">
              <w:rPr>
                <w:rFonts w:ascii="Times New Roman" w:hAnsi="Times New Roman"/>
                <w:sz w:val="24"/>
                <w:szCs w:val="26"/>
              </w:rPr>
              <w:t>rojekts paredz paplašināt Biroja</w:t>
            </w:r>
            <w:r w:rsidR="00091A37" w:rsidRPr="00803C0E">
              <w:rPr>
                <w:rFonts w:ascii="Times New Roman" w:hAnsi="Times New Roman"/>
                <w:sz w:val="24"/>
                <w:szCs w:val="26"/>
              </w:rPr>
              <w:t xml:space="preserve"> amatp</w:t>
            </w:r>
            <w:r w:rsidR="00846994">
              <w:rPr>
                <w:rFonts w:ascii="Times New Roman" w:hAnsi="Times New Roman"/>
                <w:sz w:val="24"/>
                <w:szCs w:val="26"/>
              </w:rPr>
              <w:t>ersonu tiesības izmantot</w:t>
            </w:r>
            <w:r w:rsidR="00091A37" w:rsidRPr="00803C0E">
              <w:rPr>
                <w:rFonts w:ascii="Times New Roman" w:hAnsi="Times New Roman"/>
                <w:sz w:val="24"/>
                <w:szCs w:val="26"/>
              </w:rPr>
              <w:t xml:space="preserve"> speciālo</w:t>
            </w:r>
            <w:r w:rsidR="00846994">
              <w:rPr>
                <w:rFonts w:ascii="Times New Roman" w:hAnsi="Times New Roman"/>
                <w:sz w:val="24"/>
                <w:szCs w:val="26"/>
              </w:rPr>
              <w:t>s līdzekļus,</w:t>
            </w:r>
            <w:r w:rsidR="005238EC">
              <w:rPr>
                <w:rFonts w:ascii="Times New Roman" w:hAnsi="Times New Roman"/>
                <w:sz w:val="24"/>
                <w:szCs w:val="26"/>
              </w:rPr>
              <w:t xml:space="preserve"> nosakot, ka tās</w:t>
            </w:r>
            <w:r w:rsidR="00846994">
              <w:rPr>
                <w:rFonts w:ascii="Times New Roman" w:hAnsi="Times New Roman"/>
                <w:sz w:val="24"/>
                <w:szCs w:val="26"/>
              </w:rPr>
              <w:t xml:space="preserve"> ir</w:t>
            </w:r>
            <w:r w:rsidR="005238EC">
              <w:rPr>
                <w:rFonts w:ascii="Times New Roman" w:hAnsi="Times New Roman"/>
                <w:sz w:val="24"/>
                <w:szCs w:val="26"/>
              </w:rPr>
              <w:t xml:space="preserve"> tiesīgas</w:t>
            </w:r>
            <w:r w:rsidR="009669E9">
              <w:rPr>
                <w:rFonts w:ascii="Times New Roman" w:hAnsi="Times New Roman"/>
                <w:sz w:val="24"/>
                <w:szCs w:val="26"/>
              </w:rPr>
              <w:t xml:space="preserve"> lietot</w:t>
            </w:r>
            <w:r w:rsidR="00091A37" w:rsidRPr="00803C0E">
              <w:rPr>
                <w:rFonts w:ascii="Times New Roman" w:hAnsi="Times New Roman"/>
                <w:sz w:val="24"/>
                <w:szCs w:val="26"/>
              </w:rPr>
              <w:t xml:space="preserve"> </w:t>
            </w:r>
            <w:r w:rsidR="00846994">
              <w:rPr>
                <w:rFonts w:ascii="Times New Roman" w:hAnsi="Times New Roman"/>
                <w:sz w:val="24"/>
                <w:szCs w:val="26"/>
              </w:rPr>
              <w:t xml:space="preserve">arī </w:t>
            </w:r>
            <w:r w:rsidR="009669E9">
              <w:rPr>
                <w:rFonts w:ascii="Times New Roman" w:hAnsi="Times New Roman"/>
                <w:sz w:val="24"/>
                <w:szCs w:val="26"/>
              </w:rPr>
              <w:t>Ministru kabineta noteikumu 2.11. apakšpunktā minētos speciālos līdzekļus.</w:t>
            </w:r>
          </w:p>
          <w:p w:rsidR="00E2720D" w:rsidRPr="00803C0E" w:rsidRDefault="00846994" w:rsidP="00091A37">
            <w:pPr>
              <w:spacing w:after="0" w:line="240" w:lineRule="auto"/>
              <w:jc w:val="both"/>
              <w:rPr>
                <w:rFonts w:ascii="Times New Roman" w:hAnsi="Times New Roman"/>
                <w:sz w:val="24"/>
                <w:szCs w:val="26"/>
              </w:rPr>
            </w:pPr>
            <w:r>
              <w:rPr>
                <w:rFonts w:ascii="Times New Roman" w:hAnsi="Times New Roman"/>
                <w:sz w:val="24"/>
                <w:szCs w:val="26"/>
              </w:rPr>
              <w:t xml:space="preserve">Atbilstoši </w:t>
            </w:r>
            <w:r w:rsidR="00091A37" w:rsidRPr="00803C0E">
              <w:rPr>
                <w:rFonts w:ascii="Times New Roman" w:hAnsi="Times New Roman"/>
                <w:sz w:val="24"/>
                <w:szCs w:val="26"/>
              </w:rPr>
              <w:t>Iekšējās drošības</w:t>
            </w:r>
            <w:r>
              <w:rPr>
                <w:rFonts w:ascii="Times New Roman" w:hAnsi="Times New Roman"/>
                <w:sz w:val="24"/>
                <w:szCs w:val="26"/>
              </w:rPr>
              <w:t xml:space="preserve"> biroja likuma 4. pantā noteiktajām funkcijām,</w:t>
            </w:r>
            <w:r w:rsidR="00091A37" w:rsidRPr="00803C0E">
              <w:rPr>
                <w:rFonts w:ascii="Times New Roman" w:hAnsi="Times New Roman"/>
                <w:sz w:val="24"/>
                <w:szCs w:val="26"/>
              </w:rPr>
              <w:t xml:space="preserve"> Biroja amatpersona neletālo ieroci nepieciešamības gadījumā</w:t>
            </w:r>
            <w:r w:rsidR="009669E9">
              <w:rPr>
                <w:rFonts w:ascii="Times New Roman" w:hAnsi="Times New Roman"/>
                <w:sz w:val="24"/>
                <w:szCs w:val="26"/>
              </w:rPr>
              <w:t xml:space="preserve"> tiks</w:t>
            </w:r>
            <w:r w:rsidR="00091A37" w:rsidRPr="00803C0E">
              <w:rPr>
                <w:rFonts w:ascii="Times New Roman" w:hAnsi="Times New Roman"/>
                <w:sz w:val="24"/>
                <w:szCs w:val="26"/>
              </w:rPr>
              <w:t xml:space="preserve"> izmanto</w:t>
            </w:r>
            <w:r w:rsidR="009669E9">
              <w:rPr>
                <w:rFonts w:ascii="Times New Roman" w:hAnsi="Times New Roman"/>
                <w:sz w:val="24"/>
                <w:szCs w:val="26"/>
              </w:rPr>
              <w:t>t</w:t>
            </w:r>
            <w:r w:rsidR="00091A37" w:rsidRPr="00803C0E">
              <w:rPr>
                <w:rFonts w:ascii="Times New Roman" w:hAnsi="Times New Roman"/>
                <w:sz w:val="24"/>
                <w:szCs w:val="26"/>
              </w:rPr>
              <w:t>s agresīvas, neapbruņotas personas (vai personu grupas) apturēšanai un uzbrukuma atvairīšanai (īslaicīgai personas vai personu grupas dezorientēšanai). Lēmumu par to, ka attiecīgajā operatīvās darbības pasākumā vai izmeklēšanas darbībā nepieciešamības gadījumā izmantojams neletālais ierocis pieņems Biroja priekšnieka pilnvarota amatpersona pirms attiecīgā pasākuma vai darbības veikšanas.</w:t>
            </w:r>
            <w:r w:rsidR="00E2720D" w:rsidRPr="00803C0E">
              <w:rPr>
                <w:rFonts w:ascii="Times New Roman" w:hAnsi="Times New Roman"/>
                <w:sz w:val="24"/>
                <w:szCs w:val="26"/>
              </w:rPr>
              <w:t xml:space="preserve"> </w:t>
            </w:r>
          </w:p>
          <w:p w:rsidR="00E2720D" w:rsidRPr="00803C0E" w:rsidRDefault="00E2720D" w:rsidP="00091A37">
            <w:pPr>
              <w:spacing w:after="0" w:line="240" w:lineRule="auto"/>
              <w:jc w:val="both"/>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Saskaņā ar Valsts robežsardzes likuma stāšanos spēkā, kas aizstāj Robežsardzes likumu, ir jāprecizē Ministru kabineta noteikumu izdošanas tiesiskais pamatojums. Papildus ņemot vērā to, ka pieņemtajā Valsts robežsardzes likumā pēc būtības tika saglabāts izpildvarai dotais pilnvarojums un Ministru kabineta noteikumu izdošanas un spēkā esamības tiesiskais pamats nepazuda, nav īstenojušies nepieciešamie priekšnoteikumi Oficiālo publikāciju un tiesiskās informācijas likuma 9.panta piektajā daļā ietvertās tiesību normas piemērošanai, līdz ar to netiek izdoti jauni Ministru kabineta noteikumi.</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495971"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Iekšlietu ministrija, Iekšējās drošības birojs</w:t>
            </w:r>
            <w:r w:rsidR="00E2720D" w:rsidRPr="00803C0E">
              <w:rPr>
                <w:rFonts w:ascii="Times New Roman" w:eastAsia="Times New Roman" w:hAnsi="Times New Roman" w:cs="Times New Roman"/>
                <w:iCs/>
                <w:sz w:val="24"/>
                <w:szCs w:val="24"/>
                <w:lang w:eastAsia="lv-LV"/>
              </w:rPr>
              <w:t>, Valsts robežsardze</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495971"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Nav</w:t>
            </w:r>
          </w:p>
        </w:tc>
      </w:tr>
    </w:tbl>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03C0E"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803C0E"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03C0E">
              <w:rPr>
                <w:rFonts w:ascii="Times New Roman" w:eastAsia="Times New Roman" w:hAnsi="Times New Roman" w:cs="Times New Roman"/>
                <w:b/>
                <w:bCs/>
                <w:iCs/>
                <w:color w:val="414142"/>
                <w:sz w:val="24"/>
                <w:szCs w:val="24"/>
                <w:lang w:eastAsia="lv-LV"/>
              </w:rPr>
              <w:lastRenderedPageBreak/>
              <w:t>II. Tiesību akta projekta ietekme uz sabiedrību, tautsaimniecības attīstību un administratīvo slogu</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091A37" w:rsidP="00A5167D">
            <w:pPr>
              <w:spacing w:after="0" w:line="240" w:lineRule="auto"/>
              <w:rPr>
                <w:rFonts w:ascii="Times New Roman" w:eastAsia="Times New Roman" w:hAnsi="Times New Roman" w:cs="Times New Roman"/>
                <w:iCs/>
                <w:color w:val="A6A6A6" w:themeColor="background1" w:themeShade="A6"/>
                <w:sz w:val="24"/>
                <w:szCs w:val="24"/>
                <w:lang w:eastAsia="lv-LV"/>
              </w:rPr>
            </w:pPr>
            <w:r w:rsidRPr="00803C0E">
              <w:rPr>
                <w:rFonts w:ascii="Times New Roman" w:eastAsia="Times New Roman" w:hAnsi="Times New Roman" w:cs="Times New Roman"/>
                <w:sz w:val="24"/>
                <w:szCs w:val="24"/>
                <w:lang w:eastAsia="lv-LV"/>
              </w:rPr>
              <w:t>Personas, pret kurām tiks pielietoti speciālie līdzekļi</w:t>
            </w:r>
            <w:r w:rsidR="00A5167D" w:rsidRPr="00803C0E">
              <w:rPr>
                <w:rFonts w:ascii="Times New Roman" w:eastAsia="Times New Roman" w:hAnsi="Times New Roman" w:cs="Times New Roman"/>
                <w:sz w:val="24"/>
                <w:szCs w:val="24"/>
                <w:lang w:eastAsia="lv-LV"/>
              </w:rPr>
              <w:t>.</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097B96"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Projekts šo jomu neskar</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097B96"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Projekts šo jomu neskar</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097B96"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Projekts šo jomu neskar</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097B96"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Nav</w:t>
            </w:r>
          </w:p>
        </w:tc>
      </w:tr>
    </w:tbl>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803C0E"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803C0E"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03C0E">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097B96" w:rsidRPr="00803C0E"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97B96" w:rsidRPr="00803C0E" w:rsidRDefault="00097B96" w:rsidP="00097B96">
            <w:pPr>
              <w:spacing w:after="0" w:line="240" w:lineRule="auto"/>
              <w:jc w:val="center"/>
              <w:rPr>
                <w:rFonts w:ascii="Times New Roman" w:eastAsia="Times New Roman" w:hAnsi="Times New Roman" w:cs="Times New Roman"/>
                <w:bCs/>
                <w:iCs/>
                <w:color w:val="414142"/>
                <w:sz w:val="24"/>
                <w:szCs w:val="24"/>
                <w:lang w:eastAsia="lv-LV"/>
              </w:rPr>
            </w:pPr>
            <w:r w:rsidRPr="00803C0E">
              <w:rPr>
                <w:rFonts w:ascii="Times New Roman" w:eastAsia="Times New Roman" w:hAnsi="Times New Roman" w:cs="Times New Roman"/>
                <w:bCs/>
                <w:iCs/>
                <w:color w:val="414142"/>
                <w:sz w:val="24"/>
                <w:szCs w:val="24"/>
                <w:lang w:eastAsia="lv-LV"/>
              </w:rPr>
              <w:t>Projekts šo jomu neskar</w:t>
            </w:r>
          </w:p>
        </w:tc>
      </w:tr>
    </w:tbl>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803C0E"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803C0E"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03C0E">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23320E" w:rsidRPr="00803C0E" w:rsidTr="0023320E">
        <w:trPr>
          <w:trHeight w:val="335"/>
          <w:tblCellSpacing w:w="15" w:type="dxa"/>
        </w:trPr>
        <w:tc>
          <w:tcPr>
            <w:tcW w:w="4967" w:type="pct"/>
            <w:tcBorders>
              <w:top w:val="outset" w:sz="6" w:space="0" w:color="auto"/>
              <w:left w:val="outset" w:sz="6" w:space="0" w:color="auto"/>
              <w:right w:val="outset" w:sz="6" w:space="0" w:color="auto"/>
            </w:tcBorders>
            <w:hideMark/>
          </w:tcPr>
          <w:p w:rsidR="0023320E" w:rsidRPr="00803C0E" w:rsidRDefault="0023320E" w:rsidP="0023320E">
            <w:pPr>
              <w:spacing w:after="0" w:line="240" w:lineRule="auto"/>
              <w:jc w:val="center"/>
              <w:rPr>
                <w:rFonts w:ascii="Times New Roman" w:eastAsia="Times New Roman" w:hAnsi="Times New Roman" w:cs="Times New Roman"/>
                <w:iCs/>
                <w:color w:val="A6A6A6" w:themeColor="background1" w:themeShade="A6"/>
                <w:sz w:val="24"/>
                <w:szCs w:val="24"/>
                <w:lang w:eastAsia="lv-LV"/>
              </w:rPr>
            </w:pPr>
            <w:r w:rsidRPr="00803C0E">
              <w:rPr>
                <w:rFonts w:ascii="Times New Roman" w:eastAsia="Times New Roman" w:hAnsi="Times New Roman" w:cs="Times New Roman"/>
                <w:iCs/>
                <w:color w:val="414142"/>
                <w:sz w:val="24"/>
                <w:szCs w:val="24"/>
                <w:lang w:eastAsia="lv-LV"/>
              </w:rPr>
              <w:t>Projekts šo jomu neskar</w:t>
            </w:r>
          </w:p>
        </w:tc>
      </w:tr>
    </w:tbl>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803C0E"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5F2C" w:rsidRPr="00803C0E"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03C0E">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23320E" w:rsidRPr="00803C0E" w:rsidTr="00A5167D">
        <w:trPr>
          <w:trHeight w:val="423"/>
          <w:tblCellSpacing w:w="15" w:type="dxa"/>
        </w:trPr>
        <w:tc>
          <w:tcPr>
            <w:tcW w:w="4967" w:type="pct"/>
            <w:tcBorders>
              <w:top w:val="outset" w:sz="6" w:space="0" w:color="auto"/>
              <w:left w:val="outset" w:sz="6" w:space="0" w:color="auto"/>
              <w:right w:val="outset" w:sz="6" w:space="0" w:color="auto"/>
            </w:tcBorders>
            <w:hideMark/>
          </w:tcPr>
          <w:p w:rsidR="0023320E" w:rsidRPr="00803C0E" w:rsidRDefault="0023320E" w:rsidP="00F670B4">
            <w:pPr>
              <w:spacing w:after="0" w:line="240" w:lineRule="auto"/>
              <w:jc w:val="center"/>
              <w:rPr>
                <w:rFonts w:ascii="Times New Roman" w:eastAsia="Times New Roman" w:hAnsi="Times New Roman" w:cs="Times New Roman"/>
                <w:iCs/>
                <w:color w:val="A6A6A6" w:themeColor="background1" w:themeShade="A6"/>
                <w:sz w:val="24"/>
                <w:szCs w:val="24"/>
                <w:lang w:eastAsia="lv-LV"/>
              </w:rPr>
            </w:pPr>
            <w:r w:rsidRPr="00803C0E">
              <w:rPr>
                <w:rFonts w:ascii="Times New Roman" w:eastAsia="Times New Roman" w:hAnsi="Times New Roman" w:cs="Times New Roman"/>
                <w:iCs/>
                <w:color w:val="414142"/>
                <w:sz w:val="24"/>
                <w:szCs w:val="24"/>
                <w:lang w:eastAsia="lv-LV"/>
              </w:rPr>
              <w:t>Projekts šo jomu neskar</w:t>
            </w:r>
          </w:p>
        </w:tc>
      </w:tr>
    </w:tbl>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p>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03C0E"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803C0E"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03C0E">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1E7380" w:rsidP="001E7380">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4F642B">
              <w:rPr>
                <w:rFonts w:ascii="Times New Roman" w:hAnsi="Times New Roman" w:cs="Times New Roman"/>
                <w:bCs/>
                <w:sz w:val="24"/>
                <w:szCs w:val="24"/>
              </w:rPr>
              <w:t>Atbilstoši Ministru kabineta 2009. gada 25. augusta noteikumiem Nr. 970 "Sabiedrības līdzdalības kārtība attīstības plānošanas procesā", lai informēt</w:t>
            </w:r>
            <w:r>
              <w:rPr>
                <w:rFonts w:ascii="Times New Roman" w:hAnsi="Times New Roman" w:cs="Times New Roman"/>
                <w:bCs/>
                <w:sz w:val="24"/>
                <w:szCs w:val="24"/>
              </w:rPr>
              <w:t xml:space="preserve">u sabiedrību par noteikumu projektu </w:t>
            </w:r>
            <w:r w:rsidRPr="004F642B">
              <w:rPr>
                <w:rFonts w:ascii="Times New Roman" w:hAnsi="Times New Roman" w:cs="Times New Roman"/>
                <w:bCs/>
                <w:sz w:val="24"/>
                <w:szCs w:val="24"/>
              </w:rPr>
              <w:t xml:space="preserve">un dotu iespēju izteikt viedokli, informācija par </w:t>
            </w:r>
            <w:r>
              <w:rPr>
                <w:rFonts w:ascii="Times New Roman" w:hAnsi="Times New Roman" w:cs="Times New Roman"/>
                <w:bCs/>
                <w:sz w:val="24"/>
                <w:szCs w:val="24"/>
              </w:rPr>
              <w:t xml:space="preserve"> noteikumu </w:t>
            </w:r>
            <w:r w:rsidRPr="004F642B">
              <w:rPr>
                <w:rFonts w:ascii="Times New Roman" w:hAnsi="Times New Roman" w:cs="Times New Roman"/>
                <w:bCs/>
                <w:sz w:val="24"/>
                <w:szCs w:val="24"/>
              </w:rPr>
              <w:t>projektu ievietota Iekšlietu ministrijas un Valsts kancelejas tīmekļa vietnē.</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1E7380" w:rsidP="001E7380">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4F642B">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w:t>
            </w:r>
            <w:r>
              <w:rPr>
                <w:rFonts w:ascii="Times New Roman" w:eastAsia="Times New Roman" w:hAnsi="Times New Roman" w:cs="Times New Roman"/>
                <w:iCs/>
                <w:sz w:val="24"/>
                <w:szCs w:val="24"/>
                <w:lang w:eastAsia="lv-LV"/>
              </w:rPr>
              <w:t xml:space="preserve">rakstiski sniegt viedokli  par noteikumu </w:t>
            </w:r>
            <w:r w:rsidRPr="004F642B">
              <w:rPr>
                <w:rFonts w:ascii="Times New Roman" w:eastAsia="Times New Roman" w:hAnsi="Times New Roman" w:cs="Times New Roman"/>
                <w:iCs/>
                <w:sz w:val="24"/>
                <w:szCs w:val="24"/>
                <w:lang w:eastAsia="lv-LV"/>
              </w:rPr>
              <w:t>projektu tā izstrādes stadij</w:t>
            </w:r>
            <w:r w:rsidR="00224324">
              <w:rPr>
                <w:rFonts w:ascii="Times New Roman" w:eastAsia="Times New Roman" w:hAnsi="Times New Roman" w:cs="Times New Roman"/>
                <w:iCs/>
                <w:sz w:val="24"/>
                <w:szCs w:val="24"/>
                <w:lang w:eastAsia="lv-LV"/>
              </w:rPr>
              <w:t>ā, informācija par to</w:t>
            </w:r>
            <w:bookmarkStart w:id="0" w:name="_GoBack"/>
            <w:bookmarkEnd w:id="0"/>
            <w:r w:rsidRPr="004F642B">
              <w:rPr>
                <w:rFonts w:ascii="Times New Roman" w:eastAsia="Times New Roman" w:hAnsi="Times New Roman" w:cs="Times New Roman"/>
                <w:iCs/>
                <w:sz w:val="24"/>
                <w:szCs w:val="24"/>
                <w:lang w:eastAsia="lv-LV"/>
              </w:rPr>
              <w:t xml:space="preserve"> ievietota Iekšlietu ministrijas tīmekļa vietnē sadaļas “Sabiedrības līdzdalība” apakšsadaļā “Diskusiju dokumenti”.  </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1E7380"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Sadaļa tiks aizpildīta pēc viedokļu saņemšanas.</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23320E"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Nav</w:t>
            </w:r>
          </w:p>
        </w:tc>
      </w:tr>
    </w:tbl>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03C0E"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803C0E"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03C0E">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A5167D"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Iekšējās drošības birojs</w:t>
            </w:r>
            <w:r w:rsidR="00E2720D" w:rsidRPr="00803C0E">
              <w:rPr>
                <w:rFonts w:ascii="Times New Roman" w:eastAsia="Times New Roman" w:hAnsi="Times New Roman" w:cs="Times New Roman"/>
                <w:iCs/>
                <w:sz w:val="24"/>
                <w:szCs w:val="24"/>
                <w:lang w:eastAsia="lv-LV"/>
              </w:rPr>
              <w:t>, Valsts robežsardze</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Projekta izpildes ietekme uz pārvaldes funkcijām un institucionālo struktūru.</w:t>
            </w:r>
            <w:r w:rsidRPr="00803C0E">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A5167D" w:rsidP="00A5167D">
            <w:pPr>
              <w:spacing w:after="0" w:line="240" w:lineRule="auto"/>
              <w:rPr>
                <w:rFonts w:ascii="Times New Roman" w:eastAsia="Times New Roman" w:hAnsi="Times New Roman" w:cs="Times New Roman"/>
                <w:iCs/>
                <w:color w:val="A6A6A6" w:themeColor="background1" w:themeShade="A6"/>
                <w:sz w:val="24"/>
                <w:szCs w:val="24"/>
                <w:lang w:eastAsia="lv-LV"/>
              </w:rPr>
            </w:pPr>
            <w:r w:rsidRPr="00803C0E">
              <w:rPr>
                <w:rFonts w:ascii="Times New Roman" w:eastAsia="Times New Roman" w:hAnsi="Times New Roman" w:cs="Times New Roman"/>
                <w:sz w:val="24"/>
                <w:szCs w:val="24"/>
                <w:lang w:eastAsia="lv-LV"/>
              </w:rPr>
              <w:t>Noteikumu projekts neietekmēs pārvaldes funkcijas un institucionālo struktūru. Projekts neparedz jaunu institūciju izveidi, esošo institūciju likvidēšanu vai reorganizēšanu.</w:t>
            </w:r>
          </w:p>
        </w:tc>
      </w:tr>
      <w:tr w:rsidR="00E5323B" w:rsidRPr="00803C0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803C0E" w:rsidRDefault="00E5323B" w:rsidP="00E5323B">
            <w:pPr>
              <w:spacing w:after="0" w:line="240" w:lineRule="auto"/>
              <w:rPr>
                <w:rFonts w:ascii="Times New Roman" w:eastAsia="Times New Roman" w:hAnsi="Times New Roman" w:cs="Times New Roman"/>
                <w:iCs/>
                <w:color w:val="414142"/>
                <w:sz w:val="24"/>
                <w:szCs w:val="24"/>
                <w:lang w:eastAsia="lv-LV"/>
              </w:rPr>
            </w:pPr>
            <w:r w:rsidRPr="00803C0E">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803C0E" w:rsidRDefault="00E5323B"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803C0E" w:rsidRDefault="00A5167D" w:rsidP="00E5323B">
            <w:pPr>
              <w:spacing w:after="0" w:line="240" w:lineRule="auto"/>
              <w:rPr>
                <w:rFonts w:ascii="Times New Roman" w:eastAsia="Times New Roman" w:hAnsi="Times New Roman" w:cs="Times New Roman"/>
                <w:iCs/>
                <w:sz w:val="24"/>
                <w:szCs w:val="24"/>
                <w:lang w:eastAsia="lv-LV"/>
              </w:rPr>
            </w:pPr>
            <w:r w:rsidRPr="00803C0E">
              <w:rPr>
                <w:rFonts w:ascii="Times New Roman" w:eastAsia="Times New Roman" w:hAnsi="Times New Roman" w:cs="Times New Roman"/>
                <w:iCs/>
                <w:sz w:val="24"/>
                <w:szCs w:val="24"/>
                <w:lang w:eastAsia="lv-LV"/>
              </w:rPr>
              <w:t>Nav</w:t>
            </w:r>
          </w:p>
        </w:tc>
      </w:tr>
    </w:tbl>
    <w:p w:rsidR="00E5323B" w:rsidRPr="00803C0E" w:rsidRDefault="00E5323B" w:rsidP="00894C55">
      <w:pPr>
        <w:spacing w:after="0" w:line="240" w:lineRule="auto"/>
        <w:rPr>
          <w:rFonts w:ascii="Times New Roman" w:hAnsi="Times New Roman" w:cs="Times New Roman"/>
          <w:sz w:val="32"/>
          <w:szCs w:val="28"/>
        </w:rPr>
      </w:pPr>
    </w:p>
    <w:p w:rsidR="007933A8" w:rsidRPr="00583FCD" w:rsidRDefault="00685023" w:rsidP="00685023">
      <w:pPr>
        <w:tabs>
          <w:tab w:val="left" w:pos="5954"/>
        </w:tabs>
        <w:rPr>
          <w:rFonts w:ascii="Times New Roman" w:eastAsia="Times New Roman" w:hAnsi="Times New Roman" w:cs="Times New Roman"/>
          <w:sz w:val="24"/>
          <w:szCs w:val="24"/>
          <w:lang w:eastAsia="lv-LV"/>
        </w:rPr>
      </w:pPr>
      <w:r w:rsidRPr="00583FCD">
        <w:rPr>
          <w:rFonts w:ascii="Times New Roman" w:eastAsia="Times New Roman" w:hAnsi="Times New Roman" w:cs="Times New Roman"/>
          <w:sz w:val="24"/>
          <w:szCs w:val="24"/>
          <w:lang w:eastAsia="lv-LV"/>
        </w:rPr>
        <w:t>Iekšlietu ministrs</w:t>
      </w:r>
      <w:r w:rsidRPr="00583FCD">
        <w:rPr>
          <w:rFonts w:ascii="Times New Roman" w:eastAsia="Times New Roman" w:hAnsi="Times New Roman" w:cs="Times New Roman"/>
          <w:sz w:val="24"/>
          <w:szCs w:val="24"/>
          <w:lang w:eastAsia="lv-LV"/>
        </w:rPr>
        <w:tab/>
      </w:r>
      <w:r w:rsidRPr="00583FCD">
        <w:rPr>
          <w:rFonts w:ascii="Times New Roman" w:eastAsia="Times New Roman" w:hAnsi="Times New Roman" w:cs="Times New Roman"/>
          <w:sz w:val="24"/>
          <w:szCs w:val="24"/>
          <w:lang w:eastAsia="lv-LV"/>
        </w:rPr>
        <w:tab/>
      </w:r>
      <w:r w:rsidRPr="00583FCD">
        <w:rPr>
          <w:rFonts w:ascii="Times New Roman" w:eastAsia="Times New Roman" w:hAnsi="Times New Roman" w:cs="Times New Roman"/>
          <w:sz w:val="24"/>
          <w:szCs w:val="24"/>
          <w:lang w:eastAsia="lv-LV"/>
        </w:rPr>
        <w:tab/>
        <w:t>Sandis Ģirģens</w:t>
      </w:r>
    </w:p>
    <w:p w:rsidR="00685023" w:rsidRPr="00583FCD" w:rsidRDefault="00685023" w:rsidP="00685023">
      <w:pPr>
        <w:tabs>
          <w:tab w:val="left" w:pos="5954"/>
        </w:tabs>
        <w:rPr>
          <w:rFonts w:ascii="Times New Roman" w:eastAsia="Times New Roman" w:hAnsi="Times New Roman" w:cs="Times New Roman"/>
          <w:sz w:val="24"/>
          <w:szCs w:val="24"/>
          <w:lang w:eastAsia="lv-LV"/>
        </w:rPr>
      </w:pPr>
      <w:r w:rsidRPr="00583FCD">
        <w:rPr>
          <w:rFonts w:ascii="Times New Roman" w:eastAsia="Times New Roman" w:hAnsi="Times New Roman" w:cs="Times New Roman"/>
          <w:sz w:val="24"/>
          <w:szCs w:val="24"/>
          <w:lang w:eastAsia="lv-LV"/>
        </w:rPr>
        <w:t>Vīza: valsts sekretārs</w:t>
      </w:r>
      <w:r w:rsidRPr="00583FCD">
        <w:rPr>
          <w:rFonts w:ascii="Times New Roman" w:eastAsia="Times New Roman" w:hAnsi="Times New Roman" w:cs="Times New Roman"/>
          <w:sz w:val="24"/>
          <w:szCs w:val="24"/>
          <w:lang w:eastAsia="lv-LV"/>
        </w:rPr>
        <w:tab/>
        <w:t xml:space="preserve">           Dimitrijs Trofimovs</w:t>
      </w:r>
    </w:p>
    <w:p w:rsidR="00894C55" w:rsidRPr="00803C0E" w:rsidRDefault="00894C55" w:rsidP="007933A8">
      <w:pPr>
        <w:tabs>
          <w:tab w:val="left" w:pos="6237"/>
        </w:tabs>
        <w:spacing w:after="0" w:line="240" w:lineRule="auto"/>
        <w:rPr>
          <w:rFonts w:ascii="Times New Roman" w:hAnsi="Times New Roman" w:cs="Times New Roman"/>
          <w:sz w:val="28"/>
          <w:szCs w:val="28"/>
        </w:rPr>
      </w:pPr>
    </w:p>
    <w:p w:rsidR="00894C55" w:rsidRPr="00803C0E" w:rsidRDefault="00894C55" w:rsidP="00894C55">
      <w:pPr>
        <w:tabs>
          <w:tab w:val="left" w:pos="6237"/>
        </w:tabs>
        <w:spacing w:after="0" w:line="240" w:lineRule="auto"/>
        <w:ind w:firstLine="720"/>
        <w:rPr>
          <w:rFonts w:ascii="Times New Roman" w:hAnsi="Times New Roman" w:cs="Times New Roman"/>
          <w:sz w:val="28"/>
          <w:szCs w:val="2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583FCD" w:rsidRDefault="00583FCD" w:rsidP="00894C55">
      <w:pPr>
        <w:tabs>
          <w:tab w:val="left" w:pos="6237"/>
        </w:tabs>
        <w:spacing w:after="0" w:line="240" w:lineRule="auto"/>
        <w:rPr>
          <w:rFonts w:ascii="Times New Roman" w:hAnsi="Times New Roman" w:cs="Times New Roman"/>
          <w:sz w:val="18"/>
          <w:szCs w:val="18"/>
        </w:rPr>
      </w:pPr>
    </w:p>
    <w:p w:rsidR="00894C55" w:rsidRPr="00583FCD" w:rsidRDefault="00685023" w:rsidP="00894C55">
      <w:pPr>
        <w:tabs>
          <w:tab w:val="left" w:pos="6237"/>
        </w:tabs>
        <w:spacing w:after="0" w:line="240" w:lineRule="auto"/>
        <w:rPr>
          <w:rFonts w:ascii="Times New Roman" w:hAnsi="Times New Roman" w:cs="Times New Roman"/>
          <w:sz w:val="18"/>
          <w:szCs w:val="18"/>
        </w:rPr>
      </w:pPr>
      <w:r w:rsidRPr="00583FCD">
        <w:rPr>
          <w:rFonts w:ascii="Times New Roman" w:hAnsi="Times New Roman" w:cs="Times New Roman"/>
          <w:sz w:val="18"/>
          <w:szCs w:val="18"/>
        </w:rPr>
        <w:t>Ārgalis</w:t>
      </w:r>
      <w:r w:rsidR="00D133F8" w:rsidRPr="00583FCD">
        <w:rPr>
          <w:rFonts w:ascii="Times New Roman" w:hAnsi="Times New Roman" w:cs="Times New Roman"/>
          <w:sz w:val="18"/>
          <w:szCs w:val="18"/>
        </w:rPr>
        <w:t xml:space="preserve"> 67</w:t>
      </w:r>
      <w:r w:rsidRPr="00583FCD">
        <w:rPr>
          <w:rFonts w:ascii="Times New Roman" w:hAnsi="Times New Roman" w:cs="Times New Roman"/>
          <w:sz w:val="18"/>
          <w:szCs w:val="18"/>
        </w:rPr>
        <w:t>209082</w:t>
      </w:r>
    </w:p>
    <w:p w:rsidR="00894C55" w:rsidRPr="00583FCD" w:rsidRDefault="00224324" w:rsidP="00894C55">
      <w:pPr>
        <w:tabs>
          <w:tab w:val="left" w:pos="6237"/>
        </w:tabs>
        <w:spacing w:after="0" w:line="240" w:lineRule="auto"/>
        <w:rPr>
          <w:rFonts w:ascii="Times New Roman" w:hAnsi="Times New Roman" w:cs="Times New Roman"/>
          <w:sz w:val="18"/>
          <w:szCs w:val="18"/>
        </w:rPr>
      </w:pPr>
      <w:hyperlink r:id="rId7" w:history="1">
        <w:r w:rsidR="00E2720D" w:rsidRPr="00583FCD">
          <w:rPr>
            <w:rStyle w:val="Hyperlink"/>
            <w:rFonts w:ascii="Times New Roman" w:hAnsi="Times New Roman" w:cs="Times New Roman"/>
            <w:sz w:val="18"/>
            <w:szCs w:val="18"/>
          </w:rPr>
          <w:t>andris.argalis@idb.gov.lv</w:t>
        </w:r>
      </w:hyperlink>
    </w:p>
    <w:p w:rsidR="00E2720D" w:rsidRPr="00583FCD" w:rsidRDefault="00E2720D" w:rsidP="00894C55">
      <w:pPr>
        <w:tabs>
          <w:tab w:val="left" w:pos="6237"/>
        </w:tabs>
        <w:spacing w:after="0" w:line="240" w:lineRule="auto"/>
        <w:rPr>
          <w:rFonts w:ascii="Times New Roman" w:hAnsi="Times New Roman" w:cs="Times New Roman"/>
          <w:sz w:val="18"/>
          <w:szCs w:val="18"/>
        </w:rPr>
      </w:pPr>
    </w:p>
    <w:p w:rsidR="00E2720D" w:rsidRPr="00583FCD" w:rsidRDefault="00E2720D" w:rsidP="00E2720D">
      <w:pPr>
        <w:pStyle w:val="BodyText3"/>
        <w:spacing w:after="0"/>
        <w:rPr>
          <w:color w:val="000000"/>
          <w:sz w:val="18"/>
          <w:szCs w:val="18"/>
        </w:rPr>
      </w:pPr>
      <w:r w:rsidRPr="00583FCD">
        <w:rPr>
          <w:color w:val="000000"/>
          <w:sz w:val="18"/>
          <w:szCs w:val="18"/>
        </w:rPr>
        <w:t>K.Žegoda, 67913554</w:t>
      </w:r>
    </w:p>
    <w:p w:rsidR="00E2720D" w:rsidRPr="00583FCD" w:rsidRDefault="00E2720D" w:rsidP="00E2720D">
      <w:pPr>
        <w:pStyle w:val="BodyText3"/>
        <w:spacing w:after="0"/>
        <w:rPr>
          <w:sz w:val="18"/>
          <w:szCs w:val="18"/>
        </w:rPr>
      </w:pPr>
      <w:r w:rsidRPr="00583FCD">
        <w:rPr>
          <w:color w:val="000000"/>
          <w:sz w:val="18"/>
          <w:szCs w:val="18"/>
        </w:rPr>
        <w:t>Katazina.Zegoda</w:t>
      </w:r>
      <w:hyperlink r:id="rId8" w:history="1">
        <w:r w:rsidRPr="00583FCD">
          <w:rPr>
            <w:color w:val="000000"/>
            <w:sz w:val="18"/>
            <w:szCs w:val="18"/>
          </w:rPr>
          <w:t>@rs.gov.lv</w:t>
        </w:r>
      </w:hyperlink>
    </w:p>
    <w:p w:rsidR="00E2720D" w:rsidRPr="0040171D" w:rsidRDefault="00E2720D" w:rsidP="00894C55">
      <w:pPr>
        <w:tabs>
          <w:tab w:val="left" w:pos="6237"/>
        </w:tabs>
        <w:spacing w:after="0" w:line="240" w:lineRule="auto"/>
        <w:rPr>
          <w:rFonts w:ascii="Times New Roman" w:hAnsi="Times New Roman" w:cs="Times New Roman"/>
          <w:sz w:val="24"/>
          <w:szCs w:val="28"/>
        </w:rPr>
      </w:pPr>
    </w:p>
    <w:p w:rsidR="00685023" w:rsidRPr="0040171D" w:rsidRDefault="00685023">
      <w:pPr>
        <w:tabs>
          <w:tab w:val="left" w:pos="6237"/>
        </w:tabs>
        <w:spacing w:after="0" w:line="240" w:lineRule="auto"/>
        <w:rPr>
          <w:rFonts w:ascii="Times New Roman" w:hAnsi="Times New Roman" w:cs="Times New Roman"/>
          <w:sz w:val="24"/>
          <w:szCs w:val="28"/>
        </w:rPr>
      </w:pPr>
    </w:p>
    <w:sectPr w:rsidR="00685023" w:rsidRPr="0040171D" w:rsidSect="007933A8">
      <w:headerReference w:type="even" r:id="rId9"/>
      <w:headerReference w:type="default" r:id="rId10"/>
      <w:footerReference w:type="even" r:id="rId11"/>
      <w:footerReference w:type="default" r:id="rId12"/>
      <w:headerReference w:type="first" r:id="rId13"/>
      <w:footerReference w:type="first" r:id="rId14"/>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8D" w:rsidRDefault="00EB0A8D" w:rsidP="00894C55">
      <w:pPr>
        <w:spacing w:after="0" w:line="240" w:lineRule="auto"/>
      </w:pPr>
      <w:r>
        <w:separator/>
      </w:r>
    </w:p>
  </w:endnote>
  <w:endnote w:type="continuationSeparator" w:id="0">
    <w:p w:rsidR="00EB0A8D" w:rsidRDefault="00EB0A8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C0E" w:rsidRDefault="00803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71" w:rsidRPr="004127F1" w:rsidRDefault="004127F1" w:rsidP="004127F1">
    <w:pPr>
      <w:pStyle w:val="Footer"/>
    </w:pPr>
    <w:r w:rsidRPr="004127F1">
      <w:rPr>
        <w:rFonts w:ascii="Times New Roman" w:hAnsi="Times New Roman" w:cs="Times New Roman"/>
        <w:sz w:val="20"/>
        <w:szCs w:val="20"/>
      </w:rPr>
      <w:t>IEMAnot_</w:t>
    </w:r>
    <w:r w:rsidR="00803C0E">
      <w:rPr>
        <w:rFonts w:ascii="Times New Roman" w:hAnsi="Times New Roman" w:cs="Times New Roman"/>
        <w:sz w:val="20"/>
        <w:szCs w:val="20"/>
      </w:rPr>
      <w:t>1504</w:t>
    </w:r>
    <w:r w:rsidRPr="004127F1">
      <w:rPr>
        <w:rFonts w:ascii="Times New Roman" w:hAnsi="Times New Roman" w:cs="Times New Roman"/>
        <w:sz w:val="20"/>
        <w:szCs w:val="20"/>
      </w:rPr>
      <w:t>21_groz_MK55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971" w:rsidRPr="009A2654" w:rsidRDefault="00495971">
    <w:pPr>
      <w:pStyle w:val="Footer"/>
      <w:rPr>
        <w:rFonts w:ascii="Times New Roman" w:hAnsi="Times New Roman" w:cs="Times New Roman"/>
        <w:sz w:val="20"/>
        <w:szCs w:val="20"/>
      </w:rPr>
    </w:pPr>
    <w:r>
      <w:rPr>
        <w:rFonts w:ascii="Times New Roman" w:hAnsi="Times New Roman" w:cs="Times New Roman"/>
        <w:sz w:val="20"/>
        <w:szCs w:val="20"/>
      </w:rPr>
      <w:t>MKanot_010916_nosaukums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8D" w:rsidRDefault="00EB0A8D" w:rsidP="00894C55">
      <w:pPr>
        <w:spacing w:after="0" w:line="240" w:lineRule="auto"/>
      </w:pPr>
      <w:r>
        <w:separator/>
      </w:r>
    </w:p>
  </w:footnote>
  <w:footnote w:type="continuationSeparator" w:id="0">
    <w:p w:rsidR="00EB0A8D" w:rsidRDefault="00EB0A8D"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C0E" w:rsidRDefault="00803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495971" w:rsidRPr="00C25B49" w:rsidRDefault="0049597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24324">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C0E" w:rsidRDefault="00803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0AC4"/>
    <w:rsid w:val="00091A37"/>
    <w:rsid w:val="00097B96"/>
    <w:rsid w:val="001B104A"/>
    <w:rsid w:val="001E7380"/>
    <w:rsid w:val="00224324"/>
    <w:rsid w:val="0023320E"/>
    <w:rsid w:val="00243426"/>
    <w:rsid w:val="002E1C05"/>
    <w:rsid w:val="003B0BF9"/>
    <w:rsid w:val="003E0791"/>
    <w:rsid w:val="003F28AC"/>
    <w:rsid w:val="0040171D"/>
    <w:rsid w:val="004127F1"/>
    <w:rsid w:val="004454FE"/>
    <w:rsid w:val="00456E40"/>
    <w:rsid w:val="00471F27"/>
    <w:rsid w:val="00495971"/>
    <w:rsid w:val="0050178F"/>
    <w:rsid w:val="005238EC"/>
    <w:rsid w:val="00583FCD"/>
    <w:rsid w:val="005F0474"/>
    <w:rsid w:val="00655F2C"/>
    <w:rsid w:val="00685023"/>
    <w:rsid w:val="00687EE3"/>
    <w:rsid w:val="006C2944"/>
    <w:rsid w:val="006E1081"/>
    <w:rsid w:val="00720585"/>
    <w:rsid w:val="00732200"/>
    <w:rsid w:val="00760D7D"/>
    <w:rsid w:val="00773AF6"/>
    <w:rsid w:val="007933A8"/>
    <w:rsid w:val="00795F71"/>
    <w:rsid w:val="007E5F7A"/>
    <w:rsid w:val="007E73AB"/>
    <w:rsid w:val="007F3423"/>
    <w:rsid w:val="00803C0E"/>
    <w:rsid w:val="00816C11"/>
    <w:rsid w:val="00817F3D"/>
    <w:rsid w:val="00846994"/>
    <w:rsid w:val="00894C55"/>
    <w:rsid w:val="009669E9"/>
    <w:rsid w:val="009A2654"/>
    <w:rsid w:val="009A6D5A"/>
    <w:rsid w:val="00A10FC3"/>
    <w:rsid w:val="00A5167D"/>
    <w:rsid w:val="00A6073E"/>
    <w:rsid w:val="00A87ACD"/>
    <w:rsid w:val="00AE5567"/>
    <w:rsid w:val="00AF1239"/>
    <w:rsid w:val="00B16480"/>
    <w:rsid w:val="00B2165C"/>
    <w:rsid w:val="00B616E5"/>
    <w:rsid w:val="00BA20AA"/>
    <w:rsid w:val="00BD4425"/>
    <w:rsid w:val="00C25B49"/>
    <w:rsid w:val="00CC0D2D"/>
    <w:rsid w:val="00CD0D44"/>
    <w:rsid w:val="00CE5657"/>
    <w:rsid w:val="00D133F8"/>
    <w:rsid w:val="00D14A3E"/>
    <w:rsid w:val="00D46DBC"/>
    <w:rsid w:val="00DA4965"/>
    <w:rsid w:val="00DB7C02"/>
    <w:rsid w:val="00DE3E7C"/>
    <w:rsid w:val="00E2720D"/>
    <w:rsid w:val="00E3716B"/>
    <w:rsid w:val="00E5323B"/>
    <w:rsid w:val="00E649A9"/>
    <w:rsid w:val="00E8749E"/>
    <w:rsid w:val="00E90C01"/>
    <w:rsid w:val="00EA486E"/>
    <w:rsid w:val="00EB0A8D"/>
    <w:rsid w:val="00EB6A96"/>
    <w:rsid w:val="00EF52D7"/>
    <w:rsid w:val="00F50665"/>
    <w:rsid w:val="00F57B0C"/>
    <w:rsid w:val="00F6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7728E40-6665-4AD9-AA4B-A4FD750E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rsid w:val="00E2720D"/>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rsid w:val="00E2720D"/>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E2720D"/>
    <w:rPr>
      <w:vertAlign w:val="superscript"/>
    </w:rPr>
  </w:style>
  <w:style w:type="paragraph" w:styleId="BodyText3">
    <w:name w:val="Body Text 3"/>
    <w:basedOn w:val="Normal"/>
    <w:link w:val="BodyText3Char"/>
    <w:rsid w:val="00E2720D"/>
    <w:pPr>
      <w:suppressAutoHyphens/>
      <w:spacing w:after="120" w:line="240" w:lineRule="auto"/>
    </w:pPr>
    <w:rPr>
      <w:rFonts w:ascii="Times New Roman" w:eastAsia="Times New Roman" w:hAnsi="Times New Roman" w:cs="Times New Roman"/>
      <w:sz w:val="16"/>
      <w:szCs w:val="16"/>
      <w:lang w:eastAsia="zh-CN"/>
    </w:rPr>
  </w:style>
  <w:style w:type="character" w:customStyle="1" w:styleId="BodyText3Char">
    <w:name w:val="Body Text 3 Char"/>
    <w:basedOn w:val="DefaultParagraphFont"/>
    <w:link w:val="BodyText3"/>
    <w:rsid w:val="00E2720D"/>
    <w:rPr>
      <w:rFonts w:ascii="Times New Roman" w:eastAsia="Times New Roma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820539677">
      <w:bodyDiv w:val="1"/>
      <w:marLeft w:val="0"/>
      <w:marRight w:val="0"/>
      <w:marTop w:val="0"/>
      <w:marBottom w:val="0"/>
      <w:divBdr>
        <w:top w:val="none" w:sz="0" w:space="0" w:color="auto"/>
        <w:left w:val="none" w:sz="0" w:space="0" w:color="auto"/>
        <w:bottom w:val="none" w:sz="0" w:space="0" w:color="auto"/>
        <w:right w:val="none" w:sz="0" w:space="0" w:color="auto"/>
      </w:divBdr>
    </w:div>
    <w:div w:id="2044280623">
      <w:bodyDiv w:val="1"/>
      <w:marLeft w:val="0"/>
      <w:marRight w:val="0"/>
      <w:marTop w:val="0"/>
      <w:marBottom w:val="0"/>
      <w:divBdr>
        <w:top w:val="none" w:sz="0" w:space="0" w:color="auto"/>
        <w:left w:val="none" w:sz="0" w:space="0" w:color="auto"/>
        <w:bottom w:val="none" w:sz="0" w:space="0" w:color="auto"/>
        <w:right w:val="none" w:sz="0" w:space="0" w:color="auto"/>
      </w:divBdr>
      <w:divsChild>
        <w:div w:id="1543859271">
          <w:marLeft w:val="0"/>
          <w:marRight w:val="0"/>
          <w:marTop w:val="480"/>
          <w:marBottom w:val="240"/>
          <w:divBdr>
            <w:top w:val="none" w:sz="0" w:space="0" w:color="auto"/>
            <w:left w:val="none" w:sz="0" w:space="0" w:color="auto"/>
            <w:bottom w:val="none" w:sz="0" w:space="0" w:color="auto"/>
            <w:right w:val="none" w:sz="0" w:space="0" w:color="auto"/>
          </w:divBdr>
        </w:div>
        <w:div w:id="146359831">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ba.apine@rs.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ris.argalis@idb.gov.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E9264-DE42-409F-B12E-58FB6BB8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4790</Words>
  <Characters>2731</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Inese Sproģe</cp:lastModifiedBy>
  <cp:revision>17</cp:revision>
  <dcterms:created xsi:type="dcterms:W3CDTF">2021-04-21T09:46:00Z</dcterms:created>
  <dcterms:modified xsi:type="dcterms:W3CDTF">2021-04-21T12:53:00Z</dcterms:modified>
</cp:coreProperties>
</file>