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6C" w:rsidRPr="00B2203E" w:rsidRDefault="00E24A6C" w:rsidP="00E24A6C">
      <w:pPr>
        <w:spacing w:after="0" w:line="240" w:lineRule="auto"/>
        <w:jc w:val="center"/>
        <w:rPr>
          <w:rFonts w:ascii="Times New Roman" w:hAnsi="Times New Roman" w:cs="Times New Roman"/>
          <w:b/>
          <w:sz w:val="28"/>
          <w:szCs w:val="28"/>
        </w:rPr>
      </w:pPr>
      <w:r w:rsidRPr="00B2203E">
        <w:rPr>
          <w:rFonts w:ascii="Times New Roman" w:hAnsi="Times New Roman" w:cs="Times New Roman"/>
          <w:b/>
          <w:sz w:val="28"/>
          <w:szCs w:val="28"/>
        </w:rPr>
        <w:t>INFORMATĪVAIS ZIŅOJUMS</w:t>
      </w:r>
    </w:p>
    <w:p w:rsidR="00031F4D" w:rsidRDefault="00E24A6C" w:rsidP="00E24A6C">
      <w:pPr>
        <w:spacing w:after="0" w:line="240" w:lineRule="auto"/>
        <w:jc w:val="center"/>
        <w:rPr>
          <w:rFonts w:ascii="Times New Roman" w:hAnsi="Times New Roman" w:cs="Times New Roman"/>
          <w:sz w:val="28"/>
          <w:szCs w:val="28"/>
        </w:rPr>
      </w:pPr>
      <w:r w:rsidRPr="00B2203E">
        <w:rPr>
          <w:rFonts w:ascii="Times New Roman" w:hAnsi="Times New Roman" w:cs="Times New Roman"/>
          <w:b/>
          <w:sz w:val="28"/>
          <w:szCs w:val="28"/>
        </w:rPr>
        <w:t>par</w:t>
      </w:r>
      <w:r w:rsidR="001B7B17" w:rsidRPr="001B7B17">
        <w:rPr>
          <w:rFonts w:ascii="Times New Roman" w:hAnsi="Times New Roman" w:cs="Times New Roman"/>
          <w:b/>
          <w:sz w:val="28"/>
          <w:szCs w:val="28"/>
        </w:rPr>
        <w:t xml:space="preserve"> ugunsdrošības </w:t>
      </w:r>
      <w:r w:rsidR="00C6697B">
        <w:rPr>
          <w:rFonts w:ascii="Times New Roman" w:hAnsi="Times New Roman" w:cs="Times New Roman"/>
          <w:b/>
          <w:sz w:val="28"/>
          <w:szCs w:val="28"/>
        </w:rPr>
        <w:t xml:space="preserve">un civilās aizsardzības </w:t>
      </w:r>
      <w:r w:rsidR="001B7B17" w:rsidRPr="001B7B17">
        <w:rPr>
          <w:rFonts w:ascii="Times New Roman" w:hAnsi="Times New Roman" w:cs="Times New Roman"/>
          <w:b/>
          <w:sz w:val="28"/>
          <w:szCs w:val="28"/>
        </w:rPr>
        <w:t>risku novērtēšanas instrumentu, tā izveidošanas un uzturēšanas izmaksām</w:t>
      </w:r>
    </w:p>
    <w:p w:rsidR="00E24A6C" w:rsidRPr="00DA7A49" w:rsidRDefault="00E24A6C" w:rsidP="00E24A6C">
      <w:pPr>
        <w:spacing w:after="0" w:line="240" w:lineRule="auto"/>
        <w:jc w:val="center"/>
        <w:rPr>
          <w:rFonts w:ascii="Times New Roman" w:hAnsi="Times New Roman" w:cs="Times New Roman"/>
          <w:b/>
          <w:sz w:val="28"/>
          <w:szCs w:val="28"/>
        </w:rPr>
      </w:pPr>
    </w:p>
    <w:p w:rsidR="00E24A6C" w:rsidRPr="00DA7A49" w:rsidRDefault="00144211" w:rsidP="00E24A6C">
      <w:pPr>
        <w:pStyle w:val="Sarakstarindkopa"/>
        <w:numPr>
          <w:ilvl w:val="0"/>
          <w:numId w:val="1"/>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Ievads </w:t>
      </w:r>
      <w:r w:rsidR="00E24A6C" w:rsidRPr="00DA7A49">
        <w:rPr>
          <w:rFonts w:ascii="Times New Roman" w:hAnsi="Times New Roman" w:cs="Times New Roman"/>
          <w:b/>
          <w:sz w:val="28"/>
          <w:szCs w:val="28"/>
        </w:rPr>
        <w:t xml:space="preserve"> </w:t>
      </w:r>
    </w:p>
    <w:p w:rsidR="006E79B7" w:rsidRDefault="006E79B7" w:rsidP="006E79B7">
      <w:pPr>
        <w:pStyle w:val="Sarakstarindkopa"/>
        <w:spacing w:after="0" w:line="240" w:lineRule="auto"/>
        <w:ind w:left="0" w:firstLine="709"/>
        <w:jc w:val="both"/>
        <w:rPr>
          <w:rFonts w:ascii="Times New Roman" w:hAnsi="Times New Roman" w:cs="Times New Roman"/>
          <w:sz w:val="28"/>
          <w:szCs w:val="28"/>
        </w:rPr>
      </w:pPr>
      <w:r w:rsidRPr="006E79B7">
        <w:rPr>
          <w:rFonts w:ascii="Times New Roman" w:hAnsi="Times New Roman" w:cs="Times New Roman"/>
          <w:sz w:val="28"/>
          <w:szCs w:val="28"/>
        </w:rPr>
        <w:t>Ministru kabineta 2019.gada 8.janvāra sēdē (</w:t>
      </w:r>
      <w:r w:rsidRPr="0064142C">
        <w:rPr>
          <w:rFonts w:ascii="Times New Roman" w:hAnsi="Times New Roman" w:cs="Times New Roman"/>
          <w:i/>
          <w:sz w:val="28"/>
          <w:szCs w:val="28"/>
        </w:rPr>
        <w:t>prot.Nr.1, 28.§</w:t>
      </w:r>
      <w:r w:rsidRPr="006E79B7">
        <w:rPr>
          <w:rFonts w:ascii="Times New Roman" w:hAnsi="Times New Roman" w:cs="Times New Roman"/>
          <w:sz w:val="28"/>
          <w:szCs w:val="28"/>
        </w:rPr>
        <w:t>)</w:t>
      </w:r>
      <w:r>
        <w:rPr>
          <w:rFonts w:ascii="Times New Roman" w:hAnsi="Times New Roman" w:cs="Times New Roman"/>
          <w:sz w:val="28"/>
          <w:szCs w:val="28"/>
        </w:rPr>
        <w:t xml:space="preserve"> tika pieņemts </w:t>
      </w:r>
      <w:r w:rsidRPr="00B15215">
        <w:rPr>
          <w:rFonts w:ascii="Times New Roman" w:hAnsi="Times New Roman" w:cs="Times New Roman"/>
          <w:sz w:val="28"/>
          <w:szCs w:val="28"/>
        </w:rPr>
        <w:t>Ministru kabineta 201</w:t>
      </w:r>
      <w:r>
        <w:rPr>
          <w:rFonts w:ascii="Times New Roman" w:hAnsi="Times New Roman" w:cs="Times New Roman"/>
          <w:sz w:val="28"/>
          <w:szCs w:val="28"/>
        </w:rPr>
        <w:t>9.gada 9.janvāra rīkojums Nr.7 “Par konceptuālo ziņojumu “</w:t>
      </w:r>
      <w:r w:rsidRPr="00B15215">
        <w:rPr>
          <w:rFonts w:ascii="Times New Roman" w:hAnsi="Times New Roman" w:cs="Times New Roman"/>
          <w:sz w:val="28"/>
          <w:szCs w:val="28"/>
        </w:rPr>
        <w:t>Par valsts politiku ugunsdrošīb</w:t>
      </w:r>
      <w:r>
        <w:rPr>
          <w:rFonts w:ascii="Times New Roman" w:hAnsi="Times New Roman" w:cs="Times New Roman"/>
          <w:sz w:val="28"/>
          <w:szCs w:val="28"/>
        </w:rPr>
        <w:t>as jomā””, kura 4.tabulas</w:t>
      </w:r>
      <w:r w:rsidRPr="00B15215">
        <w:rPr>
          <w:rFonts w:ascii="Times New Roman" w:hAnsi="Times New Roman" w:cs="Times New Roman"/>
          <w:sz w:val="28"/>
          <w:szCs w:val="28"/>
        </w:rPr>
        <w:t xml:space="preserve"> 11.punkts</w:t>
      </w:r>
      <w:r>
        <w:rPr>
          <w:rFonts w:ascii="Times New Roman" w:hAnsi="Times New Roman" w:cs="Times New Roman"/>
          <w:sz w:val="28"/>
          <w:szCs w:val="28"/>
        </w:rPr>
        <w:t xml:space="preserve"> nosaka izstr</w:t>
      </w:r>
      <w:r w:rsidR="0064142C">
        <w:rPr>
          <w:rFonts w:ascii="Times New Roman" w:hAnsi="Times New Roman" w:cs="Times New Roman"/>
          <w:sz w:val="28"/>
          <w:szCs w:val="28"/>
        </w:rPr>
        <w:t xml:space="preserve">ādāt informatīvo ziņojumu par </w:t>
      </w:r>
      <w:r w:rsidRPr="006E79B7">
        <w:rPr>
          <w:rFonts w:ascii="Times New Roman" w:hAnsi="Times New Roman" w:cs="Times New Roman"/>
          <w:sz w:val="28"/>
          <w:szCs w:val="28"/>
        </w:rPr>
        <w:t xml:space="preserve">ugunsdrošības </w:t>
      </w:r>
      <w:r w:rsidR="00C6697B">
        <w:rPr>
          <w:rFonts w:ascii="Times New Roman" w:hAnsi="Times New Roman" w:cs="Times New Roman"/>
          <w:sz w:val="28"/>
          <w:szCs w:val="28"/>
        </w:rPr>
        <w:t xml:space="preserve">un civilās aizsardzības </w:t>
      </w:r>
      <w:r w:rsidRPr="006E79B7">
        <w:rPr>
          <w:rFonts w:ascii="Times New Roman" w:hAnsi="Times New Roman" w:cs="Times New Roman"/>
          <w:sz w:val="28"/>
          <w:szCs w:val="28"/>
        </w:rPr>
        <w:t>risku novērtēšanas instrumentu, tā izveidošanas un uzturēšanas izmaksām</w:t>
      </w:r>
      <w:r w:rsidR="00C857AB">
        <w:rPr>
          <w:rFonts w:ascii="Times New Roman" w:hAnsi="Times New Roman" w:cs="Times New Roman"/>
          <w:sz w:val="28"/>
          <w:szCs w:val="28"/>
        </w:rPr>
        <w:t xml:space="preserve"> (turpmāk – informatīvais ziņojums)</w:t>
      </w:r>
      <w:r w:rsidR="0064142C">
        <w:rPr>
          <w:rFonts w:ascii="Times New Roman" w:hAnsi="Times New Roman" w:cs="Times New Roman"/>
          <w:sz w:val="28"/>
          <w:szCs w:val="28"/>
        </w:rPr>
        <w:t>.</w:t>
      </w:r>
    </w:p>
    <w:p w:rsidR="00B15215" w:rsidRDefault="0064142C" w:rsidP="00FD7634">
      <w:pPr>
        <w:pStyle w:val="Sarakstarindkopa"/>
        <w:spacing w:after="0" w:line="240" w:lineRule="auto"/>
        <w:ind w:left="0" w:firstLine="709"/>
        <w:jc w:val="both"/>
        <w:rPr>
          <w:rFonts w:ascii="Times New Roman" w:hAnsi="Times New Roman" w:cs="Times New Roman"/>
          <w:sz w:val="28"/>
          <w:szCs w:val="28"/>
        </w:rPr>
      </w:pPr>
      <w:r w:rsidRPr="0064142C">
        <w:rPr>
          <w:rFonts w:ascii="Times New Roman" w:hAnsi="Times New Roman" w:cs="Times New Roman"/>
          <w:sz w:val="28"/>
          <w:szCs w:val="28"/>
        </w:rPr>
        <w:t>Eiropas Komisijas Strukturālo reformu atbalsta projekta „Iekšlietu struktūras iestāžu darba efek</w:t>
      </w:r>
      <w:r>
        <w:rPr>
          <w:rFonts w:ascii="Times New Roman" w:hAnsi="Times New Roman" w:cs="Times New Roman"/>
          <w:sz w:val="28"/>
          <w:szCs w:val="28"/>
        </w:rPr>
        <w:t>tivitātes paaugstināšana” (SRAP-</w:t>
      </w:r>
      <w:r w:rsidRPr="0064142C">
        <w:rPr>
          <w:rFonts w:ascii="Times New Roman" w:hAnsi="Times New Roman" w:cs="Times New Roman"/>
          <w:sz w:val="28"/>
          <w:szCs w:val="28"/>
        </w:rPr>
        <w:t xml:space="preserve">1) ziņojumā norādīts, ka </w:t>
      </w:r>
      <w:r>
        <w:rPr>
          <w:rFonts w:ascii="Times New Roman" w:hAnsi="Times New Roman" w:cs="Times New Roman"/>
          <w:sz w:val="28"/>
          <w:szCs w:val="28"/>
        </w:rPr>
        <w:t xml:space="preserve">Valsts ugunsdzēsības un glābšanas dienesta (turpmāk – VUGD) struktūrvienību </w:t>
      </w:r>
      <w:r w:rsidRPr="0064142C">
        <w:rPr>
          <w:rFonts w:ascii="Times New Roman" w:hAnsi="Times New Roman" w:cs="Times New Roman"/>
          <w:sz w:val="28"/>
          <w:szCs w:val="28"/>
        </w:rPr>
        <w:t xml:space="preserve">izvietojuma tīkls ir jāveido, balstoties uz risku kartēšanas rezultātiem un sabiedrībai piedāvātā pakalpojuma tvērumu. Resursu plānošana jāveic atbilstoši </w:t>
      </w:r>
      <w:r>
        <w:rPr>
          <w:rFonts w:ascii="Times New Roman" w:hAnsi="Times New Roman" w:cs="Times New Roman"/>
          <w:sz w:val="28"/>
          <w:szCs w:val="28"/>
        </w:rPr>
        <w:t xml:space="preserve">riska </w:t>
      </w:r>
      <w:proofErr w:type="spellStart"/>
      <w:r w:rsidRPr="0064142C">
        <w:rPr>
          <w:rFonts w:ascii="Times New Roman" w:hAnsi="Times New Roman" w:cs="Times New Roman"/>
          <w:sz w:val="28"/>
          <w:szCs w:val="28"/>
        </w:rPr>
        <w:t>izvērtējuma</w:t>
      </w:r>
      <w:proofErr w:type="spellEnd"/>
      <w:r>
        <w:rPr>
          <w:rFonts w:ascii="Times New Roman" w:hAnsi="Times New Roman" w:cs="Times New Roman"/>
          <w:sz w:val="28"/>
          <w:szCs w:val="28"/>
        </w:rPr>
        <w:t xml:space="preserve"> rezultātiem.</w:t>
      </w:r>
    </w:p>
    <w:p w:rsidR="009D0B20" w:rsidRDefault="00103BB3" w:rsidP="004D54A4">
      <w:pPr>
        <w:pStyle w:val="Sarakstarindkopa"/>
        <w:spacing w:after="0" w:line="240" w:lineRule="auto"/>
        <w:ind w:left="0" w:firstLine="709"/>
        <w:jc w:val="both"/>
        <w:rPr>
          <w:rFonts w:ascii="Times New Roman" w:hAnsi="Times New Roman" w:cs="Times New Roman"/>
          <w:sz w:val="28"/>
          <w:szCs w:val="28"/>
        </w:rPr>
      </w:pPr>
      <w:r w:rsidRPr="00103BB3">
        <w:rPr>
          <w:rFonts w:ascii="Times New Roman" w:hAnsi="Times New Roman" w:cs="Times New Roman"/>
          <w:sz w:val="28"/>
          <w:szCs w:val="28"/>
        </w:rPr>
        <w:t>Ņemot vērā minēto, tika izstrādāts šis informatīvais ziņojums.</w:t>
      </w:r>
      <w:r>
        <w:rPr>
          <w:rFonts w:ascii="Times New Roman" w:hAnsi="Times New Roman" w:cs="Times New Roman"/>
          <w:sz w:val="28"/>
          <w:szCs w:val="28"/>
        </w:rPr>
        <w:t xml:space="preserve"> </w:t>
      </w:r>
    </w:p>
    <w:p w:rsidR="00103BB3" w:rsidRPr="00FD7634" w:rsidRDefault="00103BB3" w:rsidP="004D54A4">
      <w:pPr>
        <w:pStyle w:val="Sarakstarindkopa"/>
        <w:spacing w:after="0" w:line="240" w:lineRule="auto"/>
        <w:ind w:left="0" w:firstLine="709"/>
        <w:jc w:val="both"/>
        <w:rPr>
          <w:rFonts w:ascii="Times New Roman" w:hAnsi="Times New Roman" w:cs="Times New Roman"/>
          <w:sz w:val="28"/>
          <w:szCs w:val="28"/>
        </w:rPr>
      </w:pPr>
    </w:p>
    <w:p w:rsidR="00E24A6C" w:rsidRPr="00DA7A49" w:rsidRDefault="00B2203E" w:rsidP="00E24A6C">
      <w:pPr>
        <w:pStyle w:val="Sarakstarindkopa"/>
        <w:numPr>
          <w:ilvl w:val="0"/>
          <w:numId w:val="1"/>
        </w:numPr>
        <w:tabs>
          <w:tab w:val="left" w:pos="993"/>
        </w:tabs>
        <w:spacing w:after="0" w:line="240" w:lineRule="auto"/>
        <w:ind w:left="0" w:firstLine="709"/>
        <w:jc w:val="both"/>
        <w:rPr>
          <w:rFonts w:ascii="Times New Roman" w:hAnsi="Times New Roman" w:cs="Times New Roman"/>
          <w:b/>
          <w:sz w:val="28"/>
          <w:szCs w:val="28"/>
        </w:rPr>
      </w:pPr>
      <w:r w:rsidRPr="00DA7A49">
        <w:rPr>
          <w:rFonts w:ascii="Times New Roman" w:hAnsi="Times New Roman" w:cs="Times New Roman"/>
          <w:b/>
          <w:sz w:val="28"/>
          <w:szCs w:val="28"/>
        </w:rPr>
        <w:t>Situācijas apraksts</w:t>
      </w:r>
    </w:p>
    <w:p w:rsidR="0064142C" w:rsidRDefault="0064142C" w:rsidP="0064142C">
      <w:pPr>
        <w:pStyle w:val="Sarakstarindkopa"/>
        <w:spacing w:after="0" w:line="240" w:lineRule="auto"/>
        <w:ind w:left="0" w:firstLine="709"/>
        <w:jc w:val="both"/>
        <w:rPr>
          <w:rFonts w:ascii="Times New Roman" w:hAnsi="Times New Roman" w:cs="Times New Roman"/>
          <w:sz w:val="28"/>
          <w:szCs w:val="28"/>
        </w:rPr>
      </w:pPr>
      <w:r w:rsidRPr="00144211">
        <w:rPr>
          <w:rFonts w:ascii="Times New Roman" w:hAnsi="Times New Roman" w:cs="Times New Roman"/>
          <w:sz w:val="28"/>
          <w:szCs w:val="28"/>
        </w:rPr>
        <w:t>Ministru kab</w:t>
      </w:r>
      <w:r w:rsidR="00240B39">
        <w:rPr>
          <w:rFonts w:ascii="Times New Roman" w:hAnsi="Times New Roman" w:cs="Times New Roman"/>
          <w:sz w:val="28"/>
          <w:szCs w:val="28"/>
        </w:rPr>
        <w:t xml:space="preserve">ineta 2020.gada 18.augusta sēdē </w:t>
      </w:r>
      <w:r w:rsidR="009068C6">
        <w:rPr>
          <w:rFonts w:ascii="Times New Roman" w:hAnsi="Times New Roman" w:cs="Times New Roman"/>
          <w:sz w:val="28"/>
          <w:szCs w:val="28"/>
        </w:rPr>
        <w:t xml:space="preserve">tika </w:t>
      </w:r>
      <w:r w:rsidR="00240B39">
        <w:rPr>
          <w:rFonts w:ascii="Times New Roman" w:hAnsi="Times New Roman" w:cs="Times New Roman"/>
          <w:sz w:val="28"/>
          <w:szCs w:val="28"/>
        </w:rPr>
        <w:t>izskatīts un atbalstīts</w:t>
      </w:r>
      <w:r w:rsidRPr="00144211">
        <w:rPr>
          <w:rFonts w:ascii="Times New Roman" w:hAnsi="Times New Roman" w:cs="Times New Roman"/>
          <w:sz w:val="28"/>
          <w:szCs w:val="28"/>
        </w:rPr>
        <w:t xml:space="preserve"> (</w:t>
      </w:r>
      <w:r w:rsidR="00240B39" w:rsidRPr="00240B39">
        <w:rPr>
          <w:rFonts w:ascii="Times New Roman" w:hAnsi="Times New Roman" w:cs="Times New Roman"/>
          <w:i/>
          <w:sz w:val="28"/>
          <w:szCs w:val="28"/>
        </w:rPr>
        <w:t>prot.</w:t>
      </w:r>
      <w:r w:rsidRPr="00240B39">
        <w:rPr>
          <w:rFonts w:ascii="Times New Roman" w:hAnsi="Times New Roman" w:cs="Times New Roman"/>
          <w:i/>
          <w:sz w:val="28"/>
          <w:szCs w:val="28"/>
        </w:rPr>
        <w:t>Nr.49, 37.§</w:t>
      </w:r>
      <w:r w:rsidRPr="00144211">
        <w:rPr>
          <w:rFonts w:ascii="Times New Roman" w:hAnsi="Times New Roman" w:cs="Times New Roman"/>
          <w:sz w:val="28"/>
          <w:szCs w:val="28"/>
        </w:rPr>
        <w:t>)</w:t>
      </w:r>
      <w:r>
        <w:rPr>
          <w:rFonts w:ascii="Times New Roman" w:hAnsi="Times New Roman" w:cs="Times New Roman"/>
          <w:sz w:val="28"/>
          <w:szCs w:val="28"/>
        </w:rPr>
        <w:t xml:space="preserve"> </w:t>
      </w:r>
      <w:r w:rsidR="00240B39">
        <w:rPr>
          <w:rFonts w:ascii="Times New Roman" w:hAnsi="Times New Roman" w:cs="Times New Roman"/>
          <w:sz w:val="28"/>
          <w:szCs w:val="28"/>
        </w:rPr>
        <w:t>i</w:t>
      </w:r>
      <w:r>
        <w:rPr>
          <w:rFonts w:ascii="Times New Roman" w:hAnsi="Times New Roman" w:cs="Times New Roman"/>
          <w:sz w:val="28"/>
          <w:szCs w:val="28"/>
        </w:rPr>
        <w:t>nformatīvais ziņojums “</w:t>
      </w:r>
      <w:r w:rsidRPr="00144211">
        <w:rPr>
          <w:rFonts w:ascii="Times New Roman" w:hAnsi="Times New Roman" w:cs="Times New Roman"/>
          <w:sz w:val="28"/>
          <w:szCs w:val="28"/>
        </w:rPr>
        <w:t xml:space="preserve">Par informācijas </w:t>
      </w:r>
      <w:r>
        <w:rPr>
          <w:rFonts w:ascii="Times New Roman" w:hAnsi="Times New Roman" w:cs="Times New Roman"/>
          <w:sz w:val="28"/>
          <w:szCs w:val="28"/>
        </w:rPr>
        <w:t>sistēmu “</w:t>
      </w:r>
      <w:r w:rsidRPr="00144211">
        <w:rPr>
          <w:rFonts w:ascii="Times New Roman" w:hAnsi="Times New Roman" w:cs="Times New Roman"/>
          <w:sz w:val="28"/>
          <w:szCs w:val="28"/>
        </w:rPr>
        <w:t>Ugunsdrošības uzraudzības un civilās aizsar</w:t>
      </w:r>
      <w:r>
        <w:rPr>
          <w:rFonts w:ascii="Times New Roman" w:hAnsi="Times New Roman" w:cs="Times New Roman"/>
          <w:sz w:val="28"/>
          <w:szCs w:val="28"/>
        </w:rPr>
        <w:t>dzības darba vadība un kontrole”</w:t>
      </w:r>
      <w:r w:rsidRPr="00144211">
        <w:rPr>
          <w:rFonts w:ascii="Times New Roman" w:hAnsi="Times New Roman" w:cs="Times New Roman"/>
          <w:sz w:val="28"/>
          <w:szCs w:val="28"/>
        </w:rPr>
        <w:t xml:space="preserve"> un "Ugunsdrošības s</w:t>
      </w:r>
      <w:r>
        <w:rPr>
          <w:rFonts w:ascii="Times New Roman" w:hAnsi="Times New Roman" w:cs="Times New Roman"/>
          <w:sz w:val="28"/>
          <w:szCs w:val="28"/>
        </w:rPr>
        <w:t xml:space="preserve">tāvokļa </w:t>
      </w:r>
      <w:proofErr w:type="spellStart"/>
      <w:r>
        <w:rPr>
          <w:rFonts w:ascii="Times New Roman" w:hAnsi="Times New Roman" w:cs="Times New Roman"/>
          <w:sz w:val="28"/>
          <w:szCs w:val="28"/>
        </w:rPr>
        <w:t>pašdeklarēšanas</w:t>
      </w:r>
      <w:proofErr w:type="spellEnd"/>
      <w:r>
        <w:rPr>
          <w:rFonts w:ascii="Times New Roman" w:hAnsi="Times New Roman" w:cs="Times New Roman"/>
          <w:sz w:val="28"/>
          <w:szCs w:val="28"/>
        </w:rPr>
        <w:t xml:space="preserve"> sistēma”</w:t>
      </w:r>
      <w:r w:rsidRPr="00144211">
        <w:rPr>
          <w:rFonts w:ascii="Times New Roman" w:hAnsi="Times New Roman" w:cs="Times New Roman"/>
          <w:sz w:val="28"/>
          <w:szCs w:val="28"/>
        </w:rPr>
        <w:t xml:space="preserve"> ieviešanu, izveidošanu un uzturēšanu</w:t>
      </w:r>
      <w:r>
        <w:rPr>
          <w:rFonts w:ascii="Times New Roman" w:hAnsi="Times New Roman" w:cs="Times New Roman"/>
          <w:sz w:val="28"/>
          <w:szCs w:val="28"/>
        </w:rPr>
        <w:t>”.</w:t>
      </w:r>
      <w:r w:rsidR="00745C34">
        <w:rPr>
          <w:rFonts w:ascii="Times New Roman" w:hAnsi="Times New Roman" w:cs="Times New Roman"/>
          <w:sz w:val="28"/>
          <w:szCs w:val="28"/>
        </w:rPr>
        <w:t xml:space="preserve"> Vienlaikus Ministru kabineta 2010.gada 27.aprīļa noteikumu Nr.398 “</w:t>
      </w:r>
      <w:r w:rsidR="00745C34" w:rsidRPr="00745C34">
        <w:rPr>
          <w:rFonts w:ascii="Times New Roman" w:hAnsi="Times New Roman" w:cs="Times New Roman"/>
          <w:sz w:val="28"/>
          <w:szCs w:val="28"/>
        </w:rPr>
        <w:t>Valsts ugunsdzēsības un glābšanas dienesta nolikums</w:t>
      </w:r>
      <w:r w:rsidR="00745C34">
        <w:rPr>
          <w:rFonts w:ascii="Times New Roman" w:hAnsi="Times New Roman" w:cs="Times New Roman"/>
          <w:sz w:val="28"/>
          <w:szCs w:val="28"/>
        </w:rPr>
        <w:t xml:space="preserve">” </w:t>
      </w:r>
      <w:r w:rsidR="00745C34" w:rsidRPr="00745C34">
        <w:rPr>
          <w:rFonts w:ascii="Times New Roman" w:hAnsi="Times New Roman" w:cs="Times New Roman"/>
          <w:sz w:val="28"/>
          <w:szCs w:val="28"/>
        </w:rPr>
        <w:t>4.1. apakšpunkt</w:t>
      </w:r>
      <w:r w:rsidR="00745C34">
        <w:rPr>
          <w:rFonts w:ascii="Times New Roman" w:hAnsi="Times New Roman" w:cs="Times New Roman"/>
          <w:sz w:val="28"/>
          <w:szCs w:val="28"/>
        </w:rPr>
        <w:t>s nosaka, ka viens no VUGD uzdevumiem ir</w:t>
      </w:r>
      <w:r w:rsidR="00745C34" w:rsidRPr="00745C34">
        <w:rPr>
          <w:rFonts w:ascii="Times New Roman" w:hAnsi="Times New Roman" w:cs="Times New Roman"/>
          <w:sz w:val="28"/>
          <w:szCs w:val="28"/>
        </w:rPr>
        <w:t xml:space="preserve"> apzināt ugunsdrošības stāvokli Latvijā un iespējamos apdraudējumus un, pamatojoties uz to analīzi, sniegt valsts un pašvaldību iestādēm, kā arī citām personām priekšlikumus par situācijas uzlabošanu ugunsdrošības un civilās aizsardzības jomā</w:t>
      </w:r>
      <w:r w:rsidR="00745C34">
        <w:rPr>
          <w:rFonts w:ascii="Times New Roman" w:hAnsi="Times New Roman" w:cs="Times New Roman"/>
          <w:sz w:val="28"/>
          <w:szCs w:val="28"/>
        </w:rPr>
        <w:t>.</w:t>
      </w:r>
    </w:p>
    <w:p w:rsidR="00103BB3" w:rsidRDefault="00B63716" w:rsidP="00103BB3">
      <w:pPr>
        <w:pStyle w:val="Sarakstarindkop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2020.gadā tik</w:t>
      </w:r>
      <w:r w:rsidR="00F34488">
        <w:rPr>
          <w:rFonts w:ascii="Times New Roman" w:hAnsi="Times New Roman" w:cs="Times New Roman"/>
          <w:sz w:val="28"/>
          <w:szCs w:val="28"/>
        </w:rPr>
        <w:t>a</w:t>
      </w:r>
      <w:r>
        <w:rPr>
          <w:rFonts w:ascii="Times New Roman" w:hAnsi="Times New Roman" w:cs="Times New Roman"/>
          <w:sz w:val="28"/>
          <w:szCs w:val="28"/>
        </w:rPr>
        <w:t xml:space="preserve"> īstenots </w:t>
      </w:r>
      <w:r w:rsidR="00103BB3" w:rsidRPr="00B15215">
        <w:rPr>
          <w:rFonts w:ascii="Times New Roman" w:hAnsi="Times New Roman" w:cs="Times New Roman"/>
          <w:sz w:val="28"/>
          <w:szCs w:val="28"/>
        </w:rPr>
        <w:t>Eiropas Komisijas Struktu</w:t>
      </w:r>
      <w:r>
        <w:rPr>
          <w:rFonts w:ascii="Times New Roman" w:hAnsi="Times New Roman" w:cs="Times New Roman"/>
          <w:sz w:val="28"/>
          <w:szCs w:val="28"/>
        </w:rPr>
        <w:t>rālo reformu atbalsta projekts “</w:t>
      </w:r>
      <w:r w:rsidR="00103BB3" w:rsidRPr="00B15215">
        <w:rPr>
          <w:rFonts w:ascii="Times New Roman" w:hAnsi="Times New Roman" w:cs="Times New Roman"/>
          <w:sz w:val="28"/>
          <w:szCs w:val="28"/>
        </w:rPr>
        <w:t>Iekšlietu nozares iestāžu darbības efekt</w:t>
      </w:r>
      <w:r>
        <w:rPr>
          <w:rFonts w:ascii="Times New Roman" w:hAnsi="Times New Roman" w:cs="Times New Roman"/>
          <w:sz w:val="28"/>
          <w:szCs w:val="28"/>
        </w:rPr>
        <w:t>ivitātes paaugstināšana Latvijā”</w:t>
      </w:r>
      <w:r w:rsidR="00103BB3" w:rsidRPr="00B15215">
        <w:rPr>
          <w:rFonts w:ascii="Times New Roman" w:hAnsi="Times New Roman" w:cs="Times New Roman"/>
          <w:sz w:val="28"/>
          <w:szCs w:val="28"/>
        </w:rPr>
        <w:t xml:space="preserve"> </w:t>
      </w:r>
      <w:r>
        <w:rPr>
          <w:rFonts w:ascii="Times New Roman" w:hAnsi="Times New Roman" w:cs="Times New Roman"/>
          <w:sz w:val="28"/>
          <w:szCs w:val="28"/>
        </w:rPr>
        <w:t>SRAP-2</w:t>
      </w:r>
      <w:r w:rsidR="00103BB3" w:rsidRPr="00B15215">
        <w:rPr>
          <w:rFonts w:ascii="Times New Roman" w:hAnsi="Times New Roman" w:cs="Times New Roman"/>
          <w:sz w:val="28"/>
          <w:szCs w:val="28"/>
        </w:rPr>
        <w:t xml:space="preserve"> (</w:t>
      </w:r>
      <w:r w:rsidR="00103BB3" w:rsidRPr="00B15215">
        <w:rPr>
          <w:rFonts w:ascii="Times New Roman" w:hAnsi="Times New Roman" w:cs="Times New Roman"/>
          <w:i/>
          <w:sz w:val="28"/>
          <w:szCs w:val="28"/>
        </w:rPr>
        <w:t>Ugunsdrošības uzraudzības procesa nākotnes modeļa izstrādes posma noslēguma ziņojums</w:t>
      </w:r>
      <w:r w:rsidR="00103BB3" w:rsidRPr="00B15215">
        <w:rPr>
          <w:rFonts w:ascii="Times New Roman" w:hAnsi="Times New Roman" w:cs="Times New Roman"/>
          <w:sz w:val="28"/>
          <w:szCs w:val="28"/>
        </w:rPr>
        <w:t>)</w:t>
      </w:r>
      <w:r w:rsidR="00103BB3">
        <w:rPr>
          <w:rFonts w:ascii="Times New Roman" w:hAnsi="Times New Roman" w:cs="Times New Roman"/>
          <w:sz w:val="28"/>
          <w:szCs w:val="28"/>
        </w:rPr>
        <w:t>.</w:t>
      </w:r>
      <w:r>
        <w:rPr>
          <w:rFonts w:ascii="Times New Roman" w:hAnsi="Times New Roman" w:cs="Times New Roman"/>
          <w:sz w:val="28"/>
          <w:szCs w:val="28"/>
        </w:rPr>
        <w:t xml:space="preserve"> Minētā projekta ietvaros tika </w:t>
      </w:r>
      <w:r w:rsidR="00855B08">
        <w:rPr>
          <w:rFonts w:ascii="Times New Roman" w:hAnsi="Times New Roman" w:cs="Times New Roman"/>
          <w:sz w:val="28"/>
          <w:szCs w:val="28"/>
        </w:rPr>
        <w:t>ņemts vērā</w:t>
      </w:r>
      <w:r>
        <w:rPr>
          <w:rFonts w:ascii="Times New Roman" w:hAnsi="Times New Roman" w:cs="Times New Roman"/>
          <w:sz w:val="28"/>
          <w:szCs w:val="28"/>
        </w:rPr>
        <w:t xml:space="preserve"> </w:t>
      </w:r>
      <w:r w:rsidRPr="00B63716">
        <w:rPr>
          <w:rFonts w:ascii="Times New Roman" w:hAnsi="Times New Roman" w:cs="Times New Roman"/>
          <w:sz w:val="28"/>
          <w:szCs w:val="28"/>
        </w:rPr>
        <w:t>Ministru kabineta 2020.gada 18.augusta sēdē izskatīt</w:t>
      </w:r>
      <w:r w:rsidR="00855B08">
        <w:rPr>
          <w:rFonts w:ascii="Times New Roman" w:hAnsi="Times New Roman" w:cs="Times New Roman"/>
          <w:sz w:val="28"/>
          <w:szCs w:val="28"/>
        </w:rPr>
        <w:t>ais</w:t>
      </w:r>
      <w:r w:rsidRPr="00B63716">
        <w:rPr>
          <w:rFonts w:ascii="Times New Roman" w:hAnsi="Times New Roman" w:cs="Times New Roman"/>
          <w:sz w:val="28"/>
          <w:szCs w:val="28"/>
        </w:rPr>
        <w:t xml:space="preserve"> un atbalstīt</w:t>
      </w:r>
      <w:r w:rsidR="00855B08">
        <w:rPr>
          <w:rFonts w:ascii="Times New Roman" w:hAnsi="Times New Roman" w:cs="Times New Roman"/>
          <w:sz w:val="28"/>
          <w:szCs w:val="28"/>
        </w:rPr>
        <w:t>ai</w:t>
      </w:r>
      <w:r w:rsidRPr="00B63716">
        <w:rPr>
          <w:rFonts w:ascii="Times New Roman" w:hAnsi="Times New Roman" w:cs="Times New Roman"/>
          <w:sz w:val="28"/>
          <w:szCs w:val="28"/>
        </w:rPr>
        <w:t>s</w:t>
      </w:r>
      <w:r w:rsidR="00855B08">
        <w:rPr>
          <w:rFonts w:ascii="Times New Roman" w:hAnsi="Times New Roman" w:cs="Times New Roman"/>
          <w:sz w:val="28"/>
          <w:szCs w:val="28"/>
        </w:rPr>
        <w:t xml:space="preserve"> informatīvais ziņojums un izstrādāts </w:t>
      </w:r>
      <w:r w:rsidR="00855B08" w:rsidRPr="00855B08">
        <w:rPr>
          <w:rFonts w:ascii="Times New Roman" w:hAnsi="Times New Roman" w:cs="Times New Roman"/>
          <w:sz w:val="28"/>
          <w:szCs w:val="28"/>
        </w:rPr>
        <w:t xml:space="preserve">ugunsdrošības uzraudzības </w:t>
      </w:r>
      <w:r w:rsidR="00855B08">
        <w:rPr>
          <w:rFonts w:ascii="Times New Roman" w:hAnsi="Times New Roman" w:cs="Times New Roman"/>
          <w:sz w:val="28"/>
          <w:szCs w:val="28"/>
        </w:rPr>
        <w:t xml:space="preserve">procesa nākotnes modelis, kas balstās uz darba organizāciju digitālā vidē un sevī ietver </w:t>
      </w:r>
      <w:r w:rsidR="00EF3BEF">
        <w:rPr>
          <w:rFonts w:ascii="Times New Roman" w:hAnsi="Times New Roman" w:cs="Times New Roman"/>
          <w:sz w:val="28"/>
          <w:szCs w:val="28"/>
        </w:rPr>
        <w:t xml:space="preserve">tādus risinājumus kā </w:t>
      </w:r>
      <w:r w:rsidR="00855B08">
        <w:rPr>
          <w:rFonts w:ascii="Times New Roman" w:hAnsi="Times New Roman" w:cs="Times New Roman"/>
          <w:sz w:val="28"/>
          <w:szCs w:val="28"/>
        </w:rPr>
        <w:t>klientu portāls</w:t>
      </w:r>
      <w:r w:rsidR="00EF3BEF">
        <w:rPr>
          <w:rFonts w:ascii="Times New Roman" w:hAnsi="Times New Roman" w:cs="Times New Roman"/>
          <w:sz w:val="28"/>
          <w:szCs w:val="28"/>
        </w:rPr>
        <w:t xml:space="preserve">, </w:t>
      </w:r>
      <w:proofErr w:type="spellStart"/>
      <w:r w:rsidR="00EF3BEF">
        <w:rPr>
          <w:rFonts w:ascii="Times New Roman" w:hAnsi="Times New Roman" w:cs="Times New Roman"/>
          <w:sz w:val="28"/>
          <w:szCs w:val="28"/>
        </w:rPr>
        <w:t>pašdeklarācijas</w:t>
      </w:r>
      <w:proofErr w:type="spellEnd"/>
      <w:r w:rsidR="00EF3BEF">
        <w:rPr>
          <w:rFonts w:ascii="Times New Roman" w:hAnsi="Times New Roman" w:cs="Times New Roman"/>
          <w:sz w:val="28"/>
          <w:szCs w:val="28"/>
        </w:rPr>
        <w:t xml:space="preserve"> risinājums, i</w:t>
      </w:r>
      <w:r w:rsidR="00EF3BEF" w:rsidRPr="00EF3BEF">
        <w:rPr>
          <w:rFonts w:ascii="Times New Roman" w:hAnsi="Times New Roman" w:cs="Times New Roman"/>
          <w:sz w:val="28"/>
          <w:szCs w:val="28"/>
        </w:rPr>
        <w:t>ekšējās saziņas portāls</w:t>
      </w:r>
      <w:r w:rsidR="00E858E8">
        <w:t xml:space="preserve">, </w:t>
      </w:r>
      <w:r w:rsidR="00E858E8">
        <w:rPr>
          <w:rFonts w:ascii="Times New Roman" w:hAnsi="Times New Roman" w:cs="Times New Roman"/>
          <w:sz w:val="28"/>
          <w:szCs w:val="28"/>
        </w:rPr>
        <w:t>d</w:t>
      </w:r>
      <w:r w:rsidR="00E858E8" w:rsidRPr="00E858E8">
        <w:rPr>
          <w:rFonts w:ascii="Times New Roman" w:hAnsi="Times New Roman" w:cs="Times New Roman"/>
          <w:sz w:val="28"/>
          <w:szCs w:val="28"/>
        </w:rPr>
        <w:t>arba izpildes vadības (resursu vadības) sistēma</w:t>
      </w:r>
      <w:r w:rsidR="00E858E8">
        <w:rPr>
          <w:rFonts w:ascii="Times New Roman" w:hAnsi="Times New Roman" w:cs="Times New Roman"/>
          <w:sz w:val="28"/>
          <w:szCs w:val="28"/>
        </w:rPr>
        <w:t>, e</w:t>
      </w:r>
      <w:r w:rsidR="00E858E8" w:rsidRPr="00E858E8">
        <w:rPr>
          <w:rFonts w:ascii="Times New Roman" w:hAnsi="Times New Roman" w:cs="Times New Roman"/>
          <w:sz w:val="28"/>
          <w:szCs w:val="28"/>
        </w:rPr>
        <w:t>lektroniska dokumentu aprite</w:t>
      </w:r>
      <w:r w:rsidR="00E858E8">
        <w:rPr>
          <w:rFonts w:ascii="Times New Roman" w:hAnsi="Times New Roman" w:cs="Times New Roman"/>
          <w:sz w:val="28"/>
          <w:szCs w:val="28"/>
        </w:rPr>
        <w:t>, p</w:t>
      </w:r>
      <w:r w:rsidR="00E858E8" w:rsidRPr="00E858E8">
        <w:rPr>
          <w:rFonts w:ascii="Times New Roman" w:hAnsi="Times New Roman" w:cs="Times New Roman"/>
          <w:sz w:val="28"/>
          <w:szCs w:val="28"/>
        </w:rPr>
        <w:t>ārbaudes veikšanas digitāls atbalsts</w:t>
      </w:r>
      <w:r w:rsidR="00E858E8">
        <w:rPr>
          <w:rFonts w:ascii="Times New Roman" w:hAnsi="Times New Roman" w:cs="Times New Roman"/>
          <w:sz w:val="28"/>
          <w:szCs w:val="28"/>
        </w:rPr>
        <w:t>, o</w:t>
      </w:r>
      <w:r w:rsidR="00E858E8" w:rsidRPr="00E858E8">
        <w:rPr>
          <w:rFonts w:ascii="Times New Roman" w:hAnsi="Times New Roman" w:cs="Times New Roman"/>
          <w:sz w:val="28"/>
          <w:szCs w:val="28"/>
        </w:rPr>
        <w:t>bjektu datubāze</w:t>
      </w:r>
      <w:r w:rsidR="00E858E8">
        <w:rPr>
          <w:rFonts w:ascii="Times New Roman" w:hAnsi="Times New Roman" w:cs="Times New Roman"/>
          <w:sz w:val="28"/>
          <w:szCs w:val="28"/>
        </w:rPr>
        <w:t>, d</w:t>
      </w:r>
      <w:r w:rsidR="00E858E8" w:rsidRPr="00E858E8">
        <w:rPr>
          <w:rFonts w:ascii="Times New Roman" w:hAnsi="Times New Roman" w:cs="Times New Roman"/>
          <w:sz w:val="28"/>
          <w:szCs w:val="28"/>
        </w:rPr>
        <w:t>atu apmaiņa ar citām datu krātuvēm</w:t>
      </w:r>
      <w:r w:rsidR="00E858E8">
        <w:rPr>
          <w:rFonts w:ascii="Times New Roman" w:hAnsi="Times New Roman" w:cs="Times New Roman"/>
          <w:sz w:val="28"/>
          <w:szCs w:val="28"/>
        </w:rPr>
        <w:t xml:space="preserve">. Visiem risinājumiem ir sagatavotas procesu shēmas un </w:t>
      </w:r>
      <w:r w:rsidR="009068C6">
        <w:rPr>
          <w:rFonts w:ascii="Times New Roman" w:hAnsi="Times New Roman" w:cs="Times New Roman"/>
          <w:sz w:val="28"/>
          <w:szCs w:val="28"/>
        </w:rPr>
        <w:t xml:space="preserve">aprēķinātas </w:t>
      </w:r>
      <w:r w:rsidR="00E858E8">
        <w:rPr>
          <w:rFonts w:ascii="Times New Roman" w:hAnsi="Times New Roman" w:cs="Times New Roman"/>
          <w:sz w:val="28"/>
          <w:szCs w:val="28"/>
        </w:rPr>
        <w:t xml:space="preserve">ieviešanas un uzturēšanas izmaksas. Vienlaikus minētajā projektā ietverts </w:t>
      </w:r>
      <w:r w:rsidR="00F34488">
        <w:rPr>
          <w:rFonts w:ascii="Times New Roman" w:hAnsi="Times New Roman" w:cs="Times New Roman"/>
          <w:sz w:val="28"/>
          <w:szCs w:val="28"/>
        </w:rPr>
        <w:t xml:space="preserve">uzraugāmo objektu </w:t>
      </w:r>
      <w:r w:rsidR="00E858E8">
        <w:rPr>
          <w:rFonts w:ascii="Times New Roman" w:hAnsi="Times New Roman" w:cs="Times New Roman"/>
          <w:sz w:val="28"/>
          <w:szCs w:val="28"/>
        </w:rPr>
        <w:t xml:space="preserve">riska analīzes rīks:  </w:t>
      </w:r>
    </w:p>
    <w:tbl>
      <w:tblPr>
        <w:tblStyle w:val="Reatabula"/>
        <w:tblW w:w="0" w:type="auto"/>
        <w:tblLook w:val="04A0" w:firstRow="1" w:lastRow="0" w:firstColumn="1" w:lastColumn="0" w:noHBand="0" w:noVBand="1"/>
      </w:tblPr>
      <w:tblGrid>
        <w:gridCol w:w="4530"/>
        <w:gridCol w:w="4531"/>
      </w:tblGrid>
      <w:tr w:rsidR="00103BB3" w:rsidRPr="004D54A4" w:rsidTr="00F34488">
        <w:tc>
          <w:tcPr>
            <w:tcW w:w="4530" w:type="dxa"/>
            <w:shd w:val="clear" w:color="auto" w:fill="BFBFBF" w:themeFill="background1" w:themeFillShade="BF"/>
          </w:tcPr>
          <w:p w:rsidR="00103BB3" w:rsidRPr="00E858E8" w:rsidRDefault="00103BB3" w:rsidP="00E858E8">
            <w:pPr>
              <w:pStyle w:val="Sarakstarindkopa"/>
              <w:ind w:left="0"/>
              <w:jc w:val="center"/>
              <w:rPr>
                <w:rFonts w:ascii="Times New Roman" w:hAnsi="Times New Roman" w:cs="Times New Roman"/>
                <w:caps/>
                <w:sz w:val="24"/>
                <w:szCs w:val="24"/>
              </w:rPr>
            </w:pPr>
            <w:r w:rsidRPr="00E858E8">
              <w:rPr>
                <w:rFonts w:ascii="Times New Roman" w:hAnsi="Times New Roman" w:cs="Times New Roman"/>
                <w:caps/>
                <w:sz w:val="24"/>
                <w:szCs w:val="24"/>
              </w:rPr>
              <w:lastRenderedPageBreak/>
              <w:t>Īss raksturojums</w:t>
            </w:r>
          </w:p>
        </w:tc>
        <w:tc>
          <w:tcPr>
            <w:tcW w:w="4531" w:type="dxa"/>
            <w:shd w:val="clear" w:color="auto" w:fill="BFBFBF" w:themeFill="background1" w:themeFillShade="BF"/>
          </w:tcPr>
          <w:p w:rsidR="00103BB3" w:rsidRPr="00E858E8" w:rsidRDefault="00103BB3" w:rsidP="00E858E8">
            <w:pPr>
              <w:pStyle w:val="Sarakstarindkopa"/>
              <w:ind w:left="0"/>
              <w:jc w:val="center"/>
              <w:rPr>
                <w:rFonts w:ascii="Times New Roman" w:hAnsi="Times New Roman" w:cs="Times New Roman"/>
                <w:caps/>
                <w:sz w:val="24"/>
                <w:szCs w:val="24"/>
              </w:rPr>
            </w:pPr>
            <w:r w:rsidRPr="00E858E8">
              <w:rPr>
                <w:rFonts w:ascii="Times New Roman" w:hAnsi="Times New Roman" w:cs="Times New Roman"/>
                <w:caps/>
                <w:sz w:val="24"/>
                <w:szCs w:val="24"/>
              </w:rPr>
              <w:t>Galvenās funkcijas</w:t>
            </w:r>
          </w:p>
        </w:tc>
      </w:tr>
      <w:tr w:rsidR="00103BB3" w:rsidRPr="004D54A4" w:rsidTr="006316FD">
        <w:tc>
          <w:tcPr>
            <w:tcW w:w="4530" w:type="dxa"/>
          </w:tcPr>
          <w:p w:rsidR="00103BB3" w:rsidRPr="004D54A4" w:rsidRDefault="00E858E8" w:rsidP="00E858E8">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w:t>
            </w:r>
            <w:r w:rsidR="00103BB3" w:rsidRPr="004D54A4">
              <w:rPr>
                <w:rFonts w:ascii="Times New Roman" w:hAnsi="Times New Roman" w:cs="Times New Roman"/>
                <w:sz w:val="24"/>
                <w:szCs w:val="24"/>
              </w:rPr>
              <w:t>iska analīzes risinājums, kas izmanto gan automatizēti (integrācija ar ārējiem reģistriem), gan manuāli iegūtus datus</w:t>
            </w:r>
          </w:p>
          <w:p w:rsidR="00103BB3" w:rsidRPr="004D54A4" w:rsidRDefault="00103BB3" w:rsidP="006316FD">
            <w:pPr>
              <w:pStyle w:val="Sarakstarindkopa"/>
              <w:ind w:left="0"/>
              <w:jc w:val="both"/>
              <w:rPr>
                <w:rFonts w:ascii="Times New Roman" w:hAnsi="Times New Roman" w:cs="Times New Roman"/>
                <w:sz w:val="24"/>
                <w:szCs w:val="24"/>
              </w:rPr>
            </w:pPr>
          </w:p>
        </w:tc>
        <w:tc>
          <w:tcPr>
            <w:tcW w:w="4531" w:type="dxa"/>
          </w:tcPr>
          <w:p w:rsidR="00E858E8" w:rsidRDefault="00E858E8" w:rsidP="00E858E8">
            <w:pPr>
              <w:pStyle w:val="Sarakstarindkopa"/>
              <w:numPr>
                <w:ilvl w:val="0"/>
                <w:numId w:val="2"/>
              </w:numPr>
              <w:ind w:left="177" w:hanging="177"/>
              <w:jc w:val="both"/>
              <w:rPr>
                <w:rFonts w:ascii="Times New Roman" w:hAnsi="Times New Roman" w:cs="Times New Roman"/>
                <w:sz w:val="24"/>
                <w:szCs w:val="24"/>
              </w:rPr>
            </w:pPr>
            <w:r>
              <w:rPr>
                <w:rFonts w:ascii="Times New Roman" w:hAnsi="Times New Roman" w:cs="Times New Roman"/>
                <w:sz w:val="24"/>
                <w:szCs w:val="24"/>
              </w:rPr>
              <w:t>u</w:t>
            </w:r>
            <w:r w:rsidR="00103BB3" w:rsidRPr="004D54A4">
              <w:rPr>
                <w:rFonts w:ascii="Times New Roman" w:hAnsi="Times New Roman" w:cs="Times New Roman"/>
                <w:sz w:val="24"/>
                <w:szCs w:val="24"/>
              </w:rPr>
              <w:t>gunsdrošības riska analīzes rīks, kas ļauj noteikt ugunsdrošības risku objektos, balstoties uz izstrādātu modeli un palīdz noteik</w:t>
            </w:r>
            <w:r>
              <w:rPr>
                <w:rFonts w:ascii="Times New Roman" w:hAnsi="Times New Roman" w:cs="Times New Roman"/>
                <w:sz w:val="24"/>
                <w:szCs w:val="24"/>
              </w:rPr>
              <w:t>t prioritāti objektu pārbaudēm</w:t>
            </w:r>
          </w:p>
          <w:p w:rsidR="00E858E8" w:rsidRDefault="00E858E8" w:rsidP="00E858E8">
            <w:pPr>
              <w:pStyle w:val="Sarakstarindkopa"/>
              <w:numPr>
                <w:ilvl w:val="0"/>
                <w:numId w:val="2"/>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espēja veikt esošo objektu klasifikācij</w:t>
            </w:r>
            <w:r>
              <w:rPr>
                <w:rFonts w:ascii="Times New Roman" w:hAnsi="Times New Roman" w:cs="Times New Roman"/>
                <w:sz w:val="24"/>
                <w:szCs w:val="24"/>
              </w:rPr>
              <w:t>u pēc to ugunsdrošības riska</w:t>
            </w:r>
          </w:p>
          <w:p w:rsidR="00103BB3" w:rsidRPr="00E858E8" w:rsidRDefault="00E858E8" w:rsidP="00E858E8">
            <w:pPr>
              <w:pStyle w:val="Sarakstarindkopa"/>
              <w:numPr>
                <w:ilvl w:val="0"/>
                <w:numId w:val="2"/>
              </w:numPr>
              <w:ind w:left="177" w:hanging="177"/>
              <w:jc w:val="both"/>
              <w:rPr>
                <w:rFonts w:ascii="Times New Roman" w:hAnsi="Times New Roman" w:cs="Times New Roman"/>
                <w:sz w:val="24"/>
                <w:szCs w:val="24"/>
              </w:rPr>
            </w:pPr>
            <w:r>
              <w:rPr>
                <w:rFonts w:ascii="Times New Roman" w:hAnsi="Times New Roman" w:cs="Times New Roman"/>
                <w:sz w:val="24"/>
                <w:szCs w:val="24"/>
              </w:rPr>
              <w:t>d</w:t>
            </w:r>
            <w:r w:rsidR="00103BB3" w:rsidRPr="004D54A4">
              <w:rPr>
                <w:rFonts w:ascii="Times New Roman" w:hAnsi="Times New Roman" w:cs="Times New Roman"/>
                <w:sz w:val="24"/>
                <w:szCs w:val="24"/>
              </w:rPr>
              <w:t>atu apmaiņa ar citām datu krātuvēm ugunsdrošības riska analīzei.</w:t>
            </w:r>
          </w:p>
        </w:tc>
      </w:tr>
      <w:tr w:rsidR="00103BB3" w:rsidRPr="004D54A4" w:rsidTr="006316FD">
        <w:tc>
          <w:tcPr>
            <w:tcW w:w="4530" w:type="dxa"/>
          </w:tcPr>
          <w:p w:rsidR="00103BB3" w:rsidRPr="004D54A4" w:rsidRDefault="00E858E8" w:rsidP="006316FD">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d</w:t>
            </w:r>
            <w:r w:rsidR="00103BB3" w:rsidRPr="004D54A4">
              <w:rPr>
                <w:rFonts w:ascii="Times New Roman" w:hAnsi="Times New Roman" w:cs="Times New Roman"/>
                <w:sz w:val="24"/>
                <w:szCs w:val="24"/>
              </w:rPr>
              <w:t>atu apmaiņas savienojumu veidošana ar valsts un pašvaldību reģistriem, informācijas sistēmām ar mērķi iegūt plašu datu kopumu ugunsdrošības risku analīzei.</w:t>
            </w:r>
          </w:p>
        </w:tc>
        <w:tc>
          <w:tcPr>
            <w:tcW w:w="4531" w:type="dxa"/>
          </w:tcPr>
          <w:p w:rsidR="00E858E8" w:rsidRDefault="00E858E8" w:rsidP="00E858E8">
            <w:pPr>
              <w:pStyle w:val="Sarakstarindkopa"/>
              <w:numPr>
                <w:ilvl w:val="0"/>
                <w:numId w:val="3"/>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ntegrācijas ar va</w:t>
            </w:r>
            <w:r>
              <w:rPr>
                <w:rFonts w:ascii="Times New Roman" w:hAnsi="Times New Roman" w:cs="Times New Roman"/>
                <w:sz w:val="24"/>
                <w:szCs w:val="24"/>
              </w:rPr>
              <w:t>lsts, pašvaldību reģistriem</w:t>
            </w:r>
          </w:p>
          <w:p w:rsidR="00F34488" w:rsidRDefault="00E858E8" w:rsidP="00E858E8">
            <w:pPr>
              <w:pStyle w:val="Sarakstarindkopa"/>
              <w:numPr>
                <w:ilvl w:val="0"/>
                <w:numId w:val="3"/>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ntegrācija ar ĢIS, vizuālām datu attēlo</w:t>
            </w:r>
            <w:r w:rsidR="00F34488">
              <w:rPr>
                <w:rFonts w:ascii="Times New Roman" w:hAnsi="Times New Roman" w:cs="Times New Roman"/>
                <w:sz w:val="24"/>
                <w:szCs w:val="24"/>
              </w:rPr>
              <w:t>šanas / kartēšanas sistēmām</w:t>
            </w:r>
          </w:p>
          <w:p w:rsidR="00F34488" w:rsidRDefault="00F34488" w:rsidP="00E858E8">
            <w:pPr>
              <w:pStyle w:val="Sarakstarindkopa"/>
              <w:numPr>
                <w:ilvl w:val="0"/>
                <w:numId w:val="3"/>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ntegrācija ar to institūciju datubāzēm, kas sniedz papildus informatīvo līmeni u</w:t>
            </w:r>
            <w:r>
              <w:rPr>
                <w:rFonts w:ascii="Times New Roman" w:hAnsi="Times New Roman" w:cs="Times New Roman"/>
                <w:sz w:val="24"/>
                <w:szCs w:val="24"/>
              </w:rPr>
              <w:t>gunsdrošības risku analīzei</w:t>
            </w:r>
          </w:p>
          <w:p w:rsidR="00F34488" w:rsidRDefault="00F34488" w:rsidP="00E858E8">
            <w:pPr>
              <w:pStyle w:val="Sarakstarindkopa"/>
              <w:numPr>
                <w:ilvl w:val="0"/>
                <w:numId w:val="3"/>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ntegrācija (tās pilnveidošana) ar to BIS būvobjektu un na</w:t>
            </w:r>
            <w:r>
              <w:rPr>
                <w:rFonts w:ascii="Times New Roman" w:hAnsi="Times New Roman" w:cs="Times New Roman"/>
                <w:sz w:val="24"/>
                <w:szCs w:val="24"/>
              </w:rPr>
              <w:t xml:space="preserve">mu </w:t>
            </w:r>
            <w:proofErr w:type="spellStart"/>
            <w:r>
              <w:rPr>
                <w:rFonts w:ascii="Times New Roman" w:hAnsi="Times New Roman" w:cs="Times New Roman"/>
                <w:sz w:val="24"/>
                <w:szCs w:val="24"/>
              </w:rPr>
              <w:t>apsaimniekotāju</w:t>
            </w:r>
            <w:proofErr w:type="spellEnd"/>
            <w:r>
              <w:rPr>
                <w:rFonts w:ascii="Times New Roman" w:hAnsi="Times New Roman" w:cs="Times New Roman"/>
                <w:sz w:val="24"/>
                <w:szCs w:val="24"/>
              </w:rPr>
              <w:t xml:space="preserve"> datubāzi</w:t>
            </w:r>
          </w:p>
          <w:p w:rsidR="00103BB3" w:rsidRPr="004D54A4" w:rsidRDefault="00F34488" w:rsidP="00F34488">
            <w:pPr>
              <w:pStyle w:val="Sarakstarindkopa"/>
              <w:numPr>
                <w:ilvl w:val="0"/>
                <w:numId w:val="3"/>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103BB3" w:rsidRPr="004D54A4">
              <w:rPr>
                <w:rFonts w:ascii="Times New Roman" w:hAnsi="Times New Roman" w:cs="Times New Roman"/>
                <w:sz w:val="24"/>
                <w:szCs w:val="24"/>
              </w:rPr>
              <w:t>ntegrācija ar V</w:t>
            </w:r>
            <w:r>
              <w:rPr>
                <w:rFonts w:ascii="Times New Roman" w:hAnsi="Times New Roman" w:cs="Times New Roman"/>
                <w:sz w:val="24"/>
                <w:szCs w:val="24"/>
              </w:rPr>
              <w:t>alsts ieņēmumu dienesta un Valsts kases sistēmām</w:t>
            </w:r>
          </w:p>
        </w:tc>
      </w:tr>
    </w:tbl>
    <w:p w:rsidR="008F0C1D" w:rsidRDefault="008F0C1D" w:rsidP="008F0C1D">
      <w:pPr>
        <w:pStyle w:val="Sarakstarindkop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Process notiek</w:t>
      </w:r>
      <w:r w:rsidRPr="009D0B20">
        <w:rPr>
          <w:rFonts w:ascii="Times New Roman" w:hAnsi="Times New Roman" w:cs="Times New Roman"/>
          <w:sz w:val="28"/>
          <w:szCs w:val="28"/>
        </w:rPr>
        <w:t xml:space="preserve"> reizi gadā, pirms objektu uzraudzības plānošanas uzsākšanas. Šis process ir automatizēts.</w:t>
      </w:r>
      <w:r>
        <w:rPr>
          <w:rFonts w:ascii="Times New Roman" w:hAnsi="Times New Roman" w:cs="Times New Roman"/>
          <w:sz w:val="28"/>
          <w:szCs w:val="28"/>
        </w:rPr>
        <w:t xml:space="preserve"> </w:t>
      </w:r>
      <w:r w:rsidRPr="009D0B20">
        <w:rPr>
          <w:rFonts w:ascii="Times New Roman" w:hAnsi="Times New Roman" w:cs="Times New Roman"/>
          <w:sz w:val="28"/>
          <w:szCs w:val="28"/>
        </w:rPr>
        <w:t xml:space="preserve">Sistēmā tiek uzkrāta informācija, kas nepieciešama riska analīzes veikšanai. Šim nolūkam tiek izmantoti jaunākie pieejamie dati. </w:t>
      </w:r>
      <w:r>
        <w:rPr>
          <w:rFonts w:ascii="Times New Roman" w:hAnsi="Times New Roman" w:cs="Times New Roman"/>
          <w:sz w:val="28"/>
          <w:szCs w:val="28"/>
        </w:rPr>
        <w:t xml:space="preserve">Pamatojoties uz datiem tiek noteikts riska koeficients. </w:t>
      </w:r>
      <w:r w:rsidRPr="009D0B20">
        <w:rPr>
          <w:rFonts w:ascii="Times New Roman" w:hAnsi="Times New Roman" w:cs="Times New Roman"/>
          <w:sz w:val="28"/>
          <w:szCs w:val="28"/>
        </w:rPr>
        <w:t>Iztrūkstoši dati par objektu, piemēram, nav datu no iepriekšējām pārbaudēm (objektā nekad nav bijusi veikta ugunsdrošības pārbaude), tiek ņemti vērā riska koeficienta aprēķinā, piemērojot tam augstāku riska koeficientu.</w:t>
      </w:r>
      <w:r>
        <w:rPr>
          <w:rFonts w:ascii="Times New Roman" w:hAnsi="Times New Roman" w:cs="Times New Roman"/>
          <w:sz w:val="28"/>
          <w:szCs w:val="28"/>
        </w:rPr>
        <w:t xml:space="preserve"> </w:t>
      </w:r>
      <w:r w:rsidRPr="009D0B20">
        <w:rPr>
          <w:rFonts w:ascii="Times New Roman" w:hAnsi="Times New Roman" w:cs="Times New Roman"/>
          <w:sz w:val="28"/>
          <w:szCs w:val="28"/>
        </w:rPr>
        <w:t>Riska analīzes gaitā iegūtie koeficienti tiek apkopoti un uzglabāti tālākai lietošanai plānošanas procesā.</w:t>
      </w:r>
    </w:p>
    <w:p w:rsidR="008F0C1D" w:rsidRDefault="008F0C1D" w:rsidP="008F0C1D">
      <w:pPr>
        <w:pStyle w:val="Sarakstarindkopa"/>
        <w:spacing w:after="0" w:line="240" w:lineRule="auto"/>
        <w:ind w:left="0" w:firstLine="709"/>
        <w:jc w:val="both"/>
        <w:rPr>
          <w:rFonts w:ascii="Times New Roman" w:hAnsi="Times New Roman" w:cs="Times New Roman"/>
          <w:sz w:val="28"/>
          <w:szCs w:val="28"/>
        </w:rPr>
      </w:pPr>
      <w:r w:rsidRPr="009D0B20">
        <w:rPr>
          <w:rFonts w:ascii="Times New Roman" w:hAnsi="Times New Roman" w:cs="Times New Roman"/>
          <w:sz w:val="28"/>
          <w:szCs w:val="28"/>
        </w:rPr>
        <w:t xml:space="preserve">Datu avoti, kas </w:t>
      </w:r>
      <w:r>
        <w:rPr>
          <w:rFonts w:ascii="Times New Roman" w:hAnsi="Times New Roman" w:cs="Times New Roman"/>
          <w:sz w:val="28"/>
          <w:szCs w:val="28"/>
        </w:rPr>
        <w:t xml:space="preserve">tiks </w:t>
      </w:r>
      <w:r w:rsidRPr="009D0B20">
        <w:rPr>
          <w:rFonts w:ascii="Times New Roman" w:hAnsi="Times New Roman" w:cs="Times New Roman"/>
          <w:sz w:val="28"/>
          <w:szCs w:val="28"/>
        </w:rPr>
        <w:t xml:space="preserve">pielietoti </w:t>
      </w:r>
      <w:r w:rsidR="00471363">
        <w:rPr>
          <w:rFonts w:ascii="Times New Roman" w:hAnsi="Times New Roman" w:cs="Times New Roman"/>
          <w:sz w:val="28"/>
          <w:szCs w:val="28"/>
        </w:rPr>
        <w:t>objektu riska analīzes procesā</w:t>
      </w:r>
      <w:r>
        <w:rPr>
          <w:rFonts w:ascii="Times New Roman" w:hAnsi="Times New Roman" w:cs="Times New Roman"/>
          <w:sz w:val="28"/>
          <w:szCs w:val="28"/>
        </w:rPr>
        <w:t>:</w:t>
      </w:r>
    </w:p>
    <w:tbl>
      <w:tblPr>
        <w:tblStyle w:val="Reatabula"/>
        <w:tblW w:w="0" w:type="auto"/>
        <w:tblLook w:val="04A0" w:firstRow="1" w:lastRow="0" w:firstColumn="1" w:lastColumn="0" w:noHBand="0" w:noVBand="1"/>
      </w:tblPr>
      <w:tblGrid>
        <w:gridCol w:w="4530"/>
        <w:gridCol w:w="4531"/>
      </w:tblGrid>
      <w:tr w:rsidR="008F0C1D" w:rsidRPr="004D54A4" w:rsidTr="006316FD">
        <w:tc>
          <w:tcPr>
            <w:tcW w:w="4530" w:type="dxa"/>
            <w:shd w:val="clear" w:color="auto" w:fill="BFBFBF" w:themeFill="background1" w:themeFillShade="BF"/>
          </w:tcPr>
          <w:p w:rsidR="008F0C1D" w:rsidRPr="00E858E8" w:rsidRDefault="008F0C1D" w:rsidP="006316FD">
            <w:pPr>
              <w:pStyle w:val="Sarakstarindkopa"/>
              <w:ind w:left="0"/>
              <w:jc w:val="center"/>
              <w:rPr>
                <w:rFonts w:ascii="Times New Roman" w:hAnsi="Times New Roman" w:cs="Times New Roman"/>
                <w:caps/>
                <w:sz w:val="24"/>
                <w:szCs w:val="24"/>
              </w:rPr>
            </w:pPr>
            <w:r>
              <w:rPr>
                <w:rFonts w:ascii="Times New Roman" w:hAnsi="Times New Roman" w:cs="Times New Roman"/>
                <w:caps/>
                <w:sz w:val="24"/>
                <w:szCs w:val="24"/>
              </w:rPr>
              <w:t>juridiska perona (uzņēmums</w:t>
            </w:r>
            <w:r w:rsidR="00D06544">
              <w:rPr>
                <w:rFonts w:ascii="Times New Roman" w:hAnsi="Times New Roman" w:cs="Times New Roman"/>
                <w:caps/>
                <w:sz w:val="24"/>
                <w:szCs w:val="24"/>
              </w:rPr>
              <w:t>, iestāde</w:t>
            </w:r>
            <w:r>
              <w:rPr>
                <w:rFonts w:ascii="Times New Roman" w:hAnsi="Times New Roman" w:cs="Times New Roman"/>
                <w:caps/>
                <w:sz w:val="24"/>
                <w:szCs w:val="24"/>
              </w:rPr>
              <w:t>)</w:t>
            </w:r>
          </w:p>
        </w:tc>
        <w:tc>
          <w:tcPr>
            <w:tcW w:w="4531" w:type="dxa"/>
            <w:shd w:val="clear" w:color="auto" w:fill="BFBFBF" w:themeFill="background1" w:themeFillShade="BF"/>
          </w:tcPr>
          <w:p w:rsidR="008F0C1D" w:rsidRPr="00E858E8" w:rsidRDefault="008F0C1D" w:rsidP="006316FD">
            <w:pPr>
              <w:pStyle w:val="Sarakstarindkopa"/>
              <w:ind w:left="0"/>
              <w:jc w:val="center"/>
              <w:rPr>
                <w:rFonts w:ascii="Times New Roman" w:hAnsi="Times New Roman" w:cs="Times New Roman"/>
                <w:caps/>
                <w:sz w:val="24"/>
                <w:szCs w:val="24"/>
              </w:rPr>
            </w:pPr>
            <w:r>
              <w:rPr>
                <w:rFonts w:ascii="Times New Roman" w:hAnsi="Times New Roman" w:cs="Times New Roman"/>
                <w:caps/>
                <w:sz w:val="24"/>
                <w:szCs w:val="24"/>
              </w:rPr>
              <w:t>fiziska perona</w:t>
            </w:r>
          </w:p>
        </w:tc>
      </w:tr>
      <w:tr w:rsidR="008F0C1D" w:rsidRPr="004D54A4" w:rsidTr="006316FD">
        <w:tc>
          <w:tcPr>
            <w:tcW w:w="4530" w:type="dxa"/>
          </w:tcPr>
          <w:p w:rsidR="008F0C1D" w:rsidRDefault="008F0C1D" w:rsidP="008F0C1D">
            <w:pPr>
              <w:pStyle w:val="Sarakstarindkopa"/>
              <w:numPr>
                <w:ilvl w:val="0"/>
                <w:numId w:val="4"/>
              </w:numPr>
              <w:ind w:left="171" w:hanging="142"/>
              <w:jc w:val="both"/>
              <w:rPr>
                <w:rFonts w:ascii="Times New Roman" w:hAnsi="Times New Roman" w:cs="Times New Roman"/>
                <w:sz w:val="24"/>
                <w:szCs w:val="24"/>
              </w:rPr>
            </w:pPr>
            <w:r>
              <w:rPr>
                <w:rFonts w:ascii="Times New Roman" w:hAnsi="Times New Roman" w:cs="Times New Roman"/>
                <w:sz w:val="24"/>
                <w:szCs w:val="24"/>
              </w:rPr>
              <w:t>d</w:t>
            </w:r>
            <w:r w:rsidRPr="008F0C1D">
              <w:rPr>
                <w:rFonts w:ascii="Times New Roman" w:hAnsi="Times New Roman" w:cs="Times New Roman"/>
                <w:sz w:val="24"/>
                <w:szCs w:val="24"/>
              </w:rPr>
              <w:t>ati no iepriekšējām pārbaudēm</w:t>
            </w:r>
          </w:p>
          <w:p w:rsidR="008F0C1D" w:rsidRDefault="008F0C1D" w:rsidP="008F0C1D">
            <w:pPr>
              <w:pStyle w:val="Sarakstarindkopa"/>
              <w:numPr>
                <w:ilvl w:val="0"/>
                <w:numId w:val="4"/>
              </w:numPr>
              <w:ind w:left="171" w:hanging="142"/>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8F0C1D">
              <w:rPr>
                <w:rFonts w:ascii="Times New Roman" w:hAnsi="Times New Roman" w:cs="Times New Roman"/>
                <w:sz w:val="24"/>
                <w:szCs w:val="24"/>
              </w:rPr>
              <w:t>ašdeklarēšanās</w:t>
            </w:r>
            <w:proofErr w:type="spellEnd"/>
            <w:r w:rsidRPr="008F0C1D">
              <w:rPr>
                <w:rFonts w:ascii="Times New Roman" w:hAnsi="Times New Roman" w:cs="Times New Roman"/>
                <w:sz w:val="24"/>
                <w:szCs w:val="24"/>
              </w:rPr>
              <w:t xml:space="preserve"> dati</w:t>
            </w:r>
          </w:p>
          <w:p w:rsidR="008F0C1D" w:rsidRPr="008F0C1D" w:rsidRDefault="008F0C1D" w:rsidP="008F0C1D">
            <w:pPr>
              <w:pStyle w:val="Sarakstarindkopa"/>
              <w:numPr>
                <w:ilvl w:val="0"/>
                <w:numId w:val="4"/>
              </w:numPr>
              <w:ind w:left="171" w:hanging="142"/>
              <w:jc w:val="both"/>
              <w:rPr>
                <w:rFonts w:ascii="Times New Roman" w:hAnsi="Times New Roman" w:cs="Times New Roman"/>
                <w:sz w:val="24"/>
                <w:szCs w:val="24"/>
              </w:rPr>
            </w:pPr>
            <w:r>
              <w:rPr>
                <w:rFonts w:ascii="Times New Roman" w:hAnsi="Times New Roman" w:cs="Times New Roman"/>
                <w:sz w:val="24"/>
                <w:szCs w:val="24"/>
              </w:rPr>
              <w:t>i</w:t>
            </w:r>
            <w:r w:rsidRPr="008F0C1D">
              <w:rPr>
                <w:rFonts w:ascii="Times New Roman" w:hAnsi="Times New Roman" w:cs="Times New Roman"/>
                <w:sz w:val="24"/>
                <w:szCs w:val="24"/>
              </w:rPr>
              <w:t>nformācija par objekta izmēru un pielietojuma veidu no Uzņēmumu reģistra</w:t>
            </w:r>
          </w:p>
          <w:p w:rsidR="008F0C1D" w:rsidRPr="004D54A4" w:rsidRDefault="008F0C1D" w:rsidP="008F0C1D">
            <w:pPr>
              <w:pStyle w:val="Sarakstarindkopa"/>
              <w:ind w:left="0"/>
              <w:jc w:val="both"/>
              <w:rPr>
                <w:rFonts w:ascii="Times New Roman" w:hAnsi="Times New Roman" w:cs="Times New Roman"/>
                <w:sz w:val="24"/>
                <w:szCs w:val="24"/>
              </w:rPr>
            </w:pPr>
          </w:p>
        </w:tc>
        <w:tc>
          <w:tcPr>
            <w:tcW w:w="4531" w:type="dxa"/>
          </w:tcPr>
          <w:p w:rsidR="00BA075F" w:rsidRDefault="00BA075F" w:rsidP="00BA075F">
            <w:pPr>
              <w:pStyle w:val="Sarakstarindkopa"/>
              <w:numPr>
                <w:ilvl w:val="0"/>
                <w:numId w:val="4"/>
              </w:numPr>
              <w:ind w:left="177" w:hanging="177"/>
              <w:jc w:val="both"/>
              <w:rPr>
                <w:rFonts w:ascii="Times New Roman" w:hAnsi="Times New Roman" w:cs="Times New Roman"/>
                <w:sz w:val="24"/>
                <w:szCs w:val="24"/>
              </w:rPr>
            </w:pPr>
            <w:r>
              <w:rPr>
                <w:rFonts w:ascii="Times New Roman" w:hAnsi="Times New Roman" w:cs="Times New Roman"/>
                <w:sz w:val="24"/>
                <w:szCs w:val="24"/>
              </w:rPr>
              <w:t>d</w:t>
            </w:r>
            <w:r w:rsidR="008F0C1D" w:rsidRPr="008F0C1D">
              <w:rPr>
                <w:rFonts w:ascii="Times New Roman" w:hAnsi="Times New Roman" w:cs="Times New Roman"/>
                <w:sz w:val="24"/>
                <w:szCs w:val="24"/>
              </w:rPr>
              <w:t>ati no iepriekšējām pārbaudēm</w:t>
            </w:r>
          </w:p>
          <w:p w:rsidR="00BA075F" w:rsidRDefault="00BA075F" w:rsidP="00BA075F">
            <w:pPr>
              <w:pStyle w:val="Sarakstarindkopa"/>
              <w:numPr>
                <w:ilvl w:val="0"/>
                <w:numId w:val="4"/>
              </w:numPr>
              <w:ind w:left="177" w:hanging="177"/>
              <w:jc w:val="both"/>
              <w:rPr>
                <w:rFonts w:ascii="Times New Roman" w:hAnsi="Times New Roman" w:cs="Times New Roman"/>
                <w:sz w:val="24"/>
                <w:szCs w:val="24"/>
              </w:rPr>
            </w:pPr>
            <w:proofErr w:type="spellStart"/>
            <w:r>
              <w:rPr>
                <w:rFonts w:ascii="Times New Roman" w:hAnsi="Times New Roman" w:cs="Times New Roman"/>
                <w:sz w:val="24"/>
                <w:szCs w:val="24"/>
              </w:rPr>
              <w:t>p</w:t>
            </w:r>
            <w:r w:rsidR="008F0C1D" w:rsidRPr="00BA075F">
              <w:rPr>
                <w:rFonts w:ascii="Times New Roman" w:hAnsi="Times New Roman" w:cs="Times New Roman"/>
                <w:sz w:val="24"/>
                <w:szCs w:val="24"/>
              </w:rPr>
              <w:t>ašdeklarēšanās</w:t>
            </w:r>
            <w:proofErr w:type="spellEnd"/>
            <w:r w:rsidR="008F0C1D" w:rsidRPr="00BA075F">
              <w:rPr>
                <w:rFonts w:ascii="Times New Roman" w:hAnsi="Times New Roman" w:cs="Times New Roman"/>
                <w:sz w:val="24"/>
                <w:szCs w:val="24"/>
              </w:rPr>
              <w:t xml:space="preserve"> dati</w:t>
            </w:r>
          </w:p>
          <w:p w:rsidR="00BA075F" w:rsidRDefault="00BA075F" w:rsidP="00BA075F">
            <w:pPr>
              <w:pStyle w:val="Sarakstarindkopa"/>
              <w:numPr>
                <w:ilvl w:val="0"/>
                <w:numId w:val="4"/>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8F0C1D" w:rsidRPr="00BA075F">
              <w:rPr>
                <w:rFonts w:ascii="Times New Roman" w:hAnsi="Times New Roman" w:cs="Times New Roman"/>
                <w:sz w:val="24"/>
                <w:szCs w:val="24"/>
              </w:rPr>
              <w:t>edzīvotāju vecums un skaits</w:t>
            </w:r>
          </w:p>
          <w:p w:rsidR="008F0C1D" w:rsidRPr="00BA075F" w:rsidRDefault="00BA075F" w:rsidP="00BA075F">
            <w:pPr>
              <w:pStyle w:val="Sarakstarindkopa"/>
              <w:numPr>
                <w:ilvl w:val="0"/>
                <w:numId w:val="4"/>
              </w:numPr>
              <w:ind w:left="177" w:hanging="177"/>
              <w:jc w:val="both"/>
              <w:rPr>
                <w:rFonts w:ascii="Times New Roman" w:hAnsi="Times New Roman" w:cs="Times New Roman"/>
                <w:sz w:val="24"/>
                <w:szCs w:val="24"/>
              </w:rPr>
            </w:pPr>
            <w:r>
              <w:rPr>
                <w:rFonts w:ascii="Times New Roman" w:hAnsi="Times New Roman" w:cs="Times New Roman"/>
                <w:sz w:val="24"/>
                <w:szCs w:val="24"/>
              </w:rPr>
              <w:t>i</w:t>
            </w:r>
            <w:r w:rsidR="008F0C1D" w:rsidRPr="00BA075F">
              <w:rPr>
                <w:rFonts w:ascii="Times New Roman" w:hAnsi="Times New Roman" w:cs="Times New Roman"/>
                <w:sz w:val="24"/>
                <w:szCs w:val="24"/>
              </w:rPr>
              <w:t>nformācija par ēkas vecumu, apkures sistēmu un būvmateriāliem</w:t>
            </w:r>
          </w:p>
        </w:tc>
      </w:tr>
    </w:tbl>
    <w:p w:rsidR="008F0C1D" w:rsidRDefault="008F0C1D" w:rsidP="008F0C1D">
      <w:pPr>
        <w:pStyle w:val="Sarakstarindkopa"/>
        <w:spacing w:after="0" w:line="240" w:lineRule="auto"/>
        <w:ind w:left="0" w:firstLine="709"/>
        <w:jc w:val="both"/>
        <w:rPr>
          <w:rFonts w:ascii="Times New Roman" w:hAnsi="Times New Roman" w:cs="Times New Roman"/>
          <w:sz w:val="28"/>
          <w:szCs w:val="28"/>
        </w:rPr>
      </w:pPr>
    </w:p>
    <w:p w:rsidR="00103BB3" w:rsidRDefault="00103BB3" w:rsidP="00103BB3">
      <w:pPr>
        <w:pStyle w:val="Sarakstarindkopa"/>
        <w:spacing w:after="0" w:line="240" w:lineRule="auto"/>
        <w:ind w:left="0"/>
        <w:jc w:val="both"/>
        <w:rPr>
          <w:rFonts w:ascii="Times New Roman" w:hAnsi="Times New Roman" w:cs="Times New Roman"/>
          <w:sz w:val="28"/>
          <w:szCs w:val="28"/>
        </w:rPr>
      </w:pPr>
      <w:r w:rsidRPr="004D54A4">
        <w:rPr>
          <w:rFonts w:ascii="Times New Roman" w:hAnsi="Times New Roman" w:cs="Times New Roman"/>
          <w:noProof/>
          <w:sz w:val="28"/>
          <w:szCs w:val="28"/>
          <w:lang w:eastAsia="lv-LV"/>
        </w:rPr>
        <w:lastRenderedPageBreak/>
        <w:drawing>
          <wp:inline distT="0" distB="0" distL="0" distR="0" wp14:anchorId="0A536D1A" wp14:editId="3D8D378B">
            <wp:extent cx="5760085"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2543175"/>
                    </a:xfrm>
                    <a:prstGeom prst="rect">
                      <a:avLst/>
                    </a:prstGeom>
                  </pic:spPr>
                </pic:pic>
              </a:graphicData>
            </a:graphic>
          </wp:inline>
        </w:drawing>
      </w:r>
    </w:p>
    <w:p w:rsidR="00103BB3" w:rsidRDefault="00103BB3" w:rsidP="00103BB3">
      <w:pPr>
        <w:pStyle w:val="Sarakstarindkopa"/>
        <w:spacing w:after="0" w:line="240" w:lineRule="auto"/>
        <w:ind w:left="0" w:firstLine="709"/>
        <w:jc w:val="center"/>
        <w:rPr>
          <w:rFonts w:ascii="Times New Roman" w:hAnsi="Times New Roman" w:cs="Times New Roman"/>
          <w:sz w:val="20"/>
          <w:szCs w:val="20"/>
        </w:rPr>
      </w:pPr>
      <w:r w:rsidRPr="00103BB3">
        <w:rPr>
          <w:rFonts w:ascii="Times New Roman" w:hAnsi="Times New Roman" w:cs="Times New Roman"/>
          <w:b/>
          <w:sz w:val="20"/>
          <w:szCs w:val="20"/>
        </w:rPr>
        <w:t>Uzraugāmo objektu riska analīzes procesa shēma</w:t>
      </w:r>
      <w:r w:rsidR="009068C6">
        <w:rPr>
          <w:rFonts w:ascii="Times New Roman" w:hAnsi="Times New Roman" w:cs="Times New Roman"/>
          <w:b/>
          <w:sz w:val="20"/>
          <w:szCs w:val="20"/>
        </w:rPr>
        <w:t xml:space="preserve"> </w:t>
      </w:r>
      <w:r w:rsidR="009068C6">
        <w:rPr>
          <w:rFonts w:ascii="Times New Roman" w:hAnsi="Times New Roman" w:cs="Times New Roman"/>
          <w:sz w:val="20"/>
          <w:szCs w:val="20"/>
        </w:rPr>
        <w:t>(</w:t>
      </w:r>
      <w:r w:rsidR="009068C6" w:rsidRPr="009068C6">
        <w:rPr>
          <w:rFonts w:ascii="Times New Roman" w:hAnsi="Times New Roman" w:cs="Times New Roman"/>
          <w:i/>
          <w:sz w:val="20"/>
          <w:szCs w:val="20"/>
        </w:rPr>
        <w:t>avots: SRAP-2 ziņojums</w:t>
      </w:r>
      <w:r w:rsidR="009068C6">
        <w:rPr>
          <w:rFonts w:ascii="Times New Roman" w:hAnsi="Times New Roman" w:cs="Times New Roman"/>
          <w:sz w:val="20"/>
          <w:szCs w:val="20"/>
        </w:rPr>
        <w:t>)</w:t>
      </w:r>
    </w:p>
    <w:p w:rsidR="00745C34" w:rsidRPr="009068C6" w:rsidRDefault="00745C34" w:rsidP="00103BB3">
      <w:pPr>
        <w:pStyle w:val="Sarakstarindkopa"/>
        <w:spacing w:after="0" w:line="240" w:lineRule="auto"/>
        <w:ind w:left="0" w:firstLine="709"/>
        <w:jc w:val="center"/>
        <w:rPr>
          <w:rFonts w:ascii="Times New Roman" w:hAnsi="Times New Roman" w:cs="Times New Roman"/>
          <w:sz w:val="20"/>
          <w:szCs w:val="20"/>
        </w:rPr>
      </w:pPr>
    </w:p>
    <w:p w:rsidR="00B2203E" w:rsidRPr="00DA7A49" w:rsidRDefault="00B2203E" w:rsidP="00E24A6C">
      <w:pPr>
        <w:pStyle w:val="Sarakstarindkopa"/>
        <w:numPr>
          <w:ilvl w:val="0"/>
          <w:numId w:val="1"/>
        </w:numPr>
        <w:tabs>
          <w:tab w:val="left" w:pos="993"/>
        </w:tabs>
        <w:spacing w:after="0" w:line="240" w:lineRule="auto"/>
        <w:ind w:left="0" w:firstLine="709"/>
        <w:jc w:val="both"/>
        <w:rPr>
          <w:rFonts w:ascii="Times New Roman" w:hAnsi="Times New Roman" w:cs="Times New Roman"/>
          <w:b/>
          <w:sz w:val="28"/>
          <w:szCs w:val="28"/>
        </w:rPr>
      </w:pPr>
      <w:r w:rsidRPr="00DA7A49">
        <w:rPr>
          <w:rFonts w:ascii="Times New Roman" w:hAnsi="Times New Roman" w:cs="Times New Roman"/>
          <w:b/>
          <w:sz w:val="28"/>
          <w:szCs w:val="28"/>
        </w:rPr>
        <w:t xml:space="preserve">Risinājums </w:t>
      </w:r>
    </w:p>
    <w:p w:rsidR="007E5505" w:rsidRDefault="007E5505" w:rsidP="007E5505">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R</w:t>
      </w:r>
      <w:r w:rsidRPr="00DA7A49">
        <w:rPr>
          <w:rFonts w:ascii="Times New Roman" w:hAnsi="Times New Roman" w:cs="Times New Roman"/>
          <w:sz w:val="28"/>
          <w:szCs w:val="28"/>
        </w:rPr>
        <w:t>i</w:t>
      </w:r>
      <w:r>
        <w:rPr>
          <w:rFonts w:ascii="Times New Roman" w:hAnsi="Times New Roman" w:cs="Times New Roman"/>
          <w:sz w:val="28"/>
          <w:szCs w:val="28"/>
        </w:rPr>
        <w:t>s</w:t>
      </w:r>
      <w:r w:rsidRPr="00DA7A49">
        <w:rPr>
          <w:rFonts w:ascii="Times New Roman" w:hAnsi="Times New Roman" w:cs="Times New Roman"/>
          <w:sz w:val="28"/>
          <w:szCs w:val="28"/>
        </w:rPr>
        <w:t>ka kritērij</w:t>
      </w:r>
      <w:r>
        <w:rPr>
          <w:rFonts w:ascii="Times New Roman" w:hAnsi="Times New Roman" w:cs="Times New Roman"/>
          <w:sz w:val="28"/>
          <w:szCs w:val="28"/>
        </w:rPr>
        <w:t>i</w:t>
      </w:r>
      <w:r w:rsidRPr="00DA7A49">
        <w:rPr>
          <w:rFonts w:ascii="Times New Roman" w:hAnsi="Times New Roman" w:cs="Times New Roman"/>
          <w:sz w:val="28"/>
          <w:szCs w:val="28"/>
        </w:rPr>
        <w:t xml:space="preserve"> </w:t>
      </w:r>
      <w:r w:rsidR="00413809">
        <w:rPr>
          <w:rFonts w:ascii="Times New Roman" w:hAnsi="Times New Roman" w:cs="Times New Roman"/>
          <w:sz w:val="28"/>
          <w:szCs w:val="28"/>
        </w:rPr>
        <w:t>notikuma</w:t>
      </w:r>
      <w:r w:rsidRPr="00DA7A49">
        <w:rPr>
          <w:rFonts w:ascii="Times New Roman" w:hAnsi="Times New Roman" w:cs="Times New Roman"/>
          <w:sz w:val="28"/>
          <w:szCs w:val="28"/>
        </w:rPr>
        <w:t xml:space="preserve"> iespējamībai/varbūtība vai ticamībai, kā arī ri</w:t>
      </w:r>
      <w:r w:rsidR="00745C34">
        <w:rPr>
          <w:rFonts w:ascii="Times New Roman" w:hAnsi="Times New Roman" w:cs="Times New Roman"/>
          <w:sz w:val="28"/>
          <w:szCs w:val="28"/>
        </w:rPr>
        <w:t>s</w:t>
      </w:r>
      <w:r w:rsidRPr="00DA7A49">
        <w:rPr>
          <w:rFonts w:ascii="Times New Roman" w:hAnsi="Times New Roman" w:cs="Times New Roman"/>
          <w:sz w:val="28"/>
          <w:szCs w:val="28"/>
        </w:rPr>
        <w:t>ka kritērij</w:t>
      </w:r>
      <w:r>
        <w:rPr>
          <w:rFonts w:ascii="Times New Roman" w:hAnsi="Times New Roman" w:cs="Times New Roman"/>
          <w:sz w:val="28"/>
          <w:szCs w:val="28"/>
        </w:rPr>
        <w:t>i</w:t>
      </w:r>
      <w:r w:rsidRPr="00DA7A49">
        <w:rPr>
          <w:rFonts w:ascii="Times New Roman" w:hAnsi="Times New Roman" w:cs="Times New Roman"/>
          <w:sz w:val="28"/>
          <w:szCs w:val="28"/>
        </w:rPr>
        <w:t xml:space="preserve"> </w:t>
      </w:r>
      <w:r w:rsidR="00413809">
        <w:rPr>
          <w:rFonts w:ascii="Times New Roman" w:hAnsi="Times New Roman" w:cs="Times New Roman"/>
          <w:sz w:val="28"/>
          <w:szCs w:val="28"/>
        </w:rPr>
        <w:t>notikumu</w:t>
      </w:r>
      <w:r w:rsidRPr="00DA7A49">
        <w:rPr>
          <w:rFonts w:ascii="Times New Roman" w:hAnsi="Times New Roman" w:cs="Times New Roman"/>
          <w:sz w:val="28"/>
          <w:szCs w:val="28"/>
        </w:rPr>
        <w:t xml:space="preserve"> sekām.</w:t>
      </w:r>
    </w:p>
    <w:p w:rsidR="007E5505" w:rsidRDefault="00A50BD6" w:rsidP="00A50BD6">
      <w:pPr>
        <w:pStyle w:val="Sarakstarindkopa"/>
        <w:ind w:left="0" w:firstLine="709"/>
        <w:jc w:val="both"/>
        <w:rPr>
          <w:rFonts w:ascii="Times New Roman" w:hAnsi="Times New Roman" w:cs="Times New Roman"/>
          <w:sz w:val="28"/>
          <w:szCs w:val="28"/>
        </w:rPr>
      </w:pPr>
      <w:r>
        <w:rPr>
          <w:rFonts w:ascii="Times New Roman" w:hAnsi="Times New Roman" w:cs="Times New Roman"/>
          <w:sz w:val="28"/>
          <w:szCs w:val="28"/>
        </w:rPr>
        <w:t xml:space="preserve">Ugunsdrošības </w:t>
      </w:r>
      <w:r w:rsidR="00C6697B">
        <w:rPr>
          <w:rFonts w:ascii="Times New Roman" w:hAnsi="Times New Roman" w:cs="Times New Roman"/>
          <w:sz w:val="28"/>
          <w:szCs w:val="28"/>
        </w:rPr>
        <w:t xml:space="preserve">un civilās aizsardzības </w:t>
      </w:r>
      <w:r>
        <w:rPr>
          <w:rFonts w:ascii="Times New Roman" w:hAnsi="Times New Roman" w:cs="Times New Roman"/>
          <w:sz w:val="28"/>
          <w:szCs w:val="28"/>
        </w:rPr>
        <w:t>riska novērtēšanas instruments ietver deviņu</w:t>
      </w:r>
      <w:r w:rsidR="00191E3B">
        <w:rPr>
          <w:rFonts w:ascii="Times New Roman" w:hAnsi="Times New Roman" w:cs="Times New Roman"/>
          <w:sz w:val="28"/>
          <w:szCs w:val="28"/>
        </w:rPr>
        <w:t>s</w:t>
      </w:r>
      <w:r>
        <w:rPr>
          <w:rFonts w:ascii="Times New Roman" w:hAnsi="Times New Roman" w:cs="Times New Roman"/>
          <w:sz w:val="28"/>
          <w:szCs w:val="28"/>
        </w:rPr>
        <w:t xml:space="preserve"> </w:t>
      </w:r>
      <w:r w:rsidR="00191E3B">
        <w:rPr>
          <w:rFonts w:ascii="Times New Roman" w:hAnsi="Times New Roman" w:cs="Times New Roman"/>
          <w:sz w:val="28"/>
          <w:szCs w:val="28"/>
        </w:rPr>
        <w:t xml:space="preserve">riska </w:t>
      </w:r>
      <w:r>
        <w:rPr>
          <w:rFonts w:ascii="Times New Roman" w:hAnsi="Times New Roman" w:cs="Times New Roman"/>
          <w:sz w:val="28"/>
          <w:szCs w:val="28"/>
        </w:rPr>
        <w:t>kritērijus, kur pieci ir saistīti ar riska varbūtību un četri ar riska sekām:</w:t>
      </w:r>
    </w:p>
    <w:p w:rsidR="00A50BD6" w:rsidRDefault="00A50BD6" w:rsidP="00A50BD6">
      <w:pPr>
        <w:pStyle w:val="Sarakstarindkopa"/>
        <w:numPr>
          <w:ilvl w:val="0"/>
          <w:numId w:val="5"/>
        </w:numPr>
        <w:tabs>
          <w:tab w:val="left" w:pos="993"/>
        </w:tabs>
        <w:ind w:left="993" w:hanging="284"/>
        <w:jc w:val="both"/>
        <w:rPr>
          <w:rFonts w:ascii="Times New Roman" w:hAnsi="Times New Roman" w:cs="Times New Roman"/>
          <w:sz w:val="28"/>
          <w:szCs w:val="28"/>
        </w:rPr>
      </w:pPr>
      <w:r w:rsidRPr="00A50BD6">
        <w:rPr>
          <w:rFonts w:ascii="Times New Roman" w:hAnsi="Times New Roman" w:cs="Times New Roman"/>
          <w:sz w:val="28"/>
          <w:szCs w:val="28"/>
        </w:rPr>
        <w:t>(R1)</w:t>
      </w:r>
      <w:r>
        <w:rPr>
          <w:rFonts w:ascii="Times New Roman" w:hAnsi="Times New Roman" w:cs="Times New Roman"/>
          <w:sz w:val="28"/>
          <w:szCs w:val="28"/>
        </w:rPr>
        <w:t xml:space="preserve"> i</w:t>
      </w:r>
      <w:r w:rsidRPr="00A50BD6">
        <w:rPr>
          <w:rFonts w:ascii="Times New Roman" w:hAnsi="Times New Roman" w:cs="Times New Roman"/>
          <w:sz w:val="28"/>
          <w:szCs w:val="28"/>
        </w:rPr>
        <w:t>edzīvotāju skaits pašvaldības visapdzīvotākajā vietā</w:t>
      </w:r>
      <w:r>
        <w:rPr>
          <w:rFonts w:ascii="Times New Roman" w:hAnsi="Times New Roman" w:cs="Times New Roman"/>
          <w:sz w:val="28"/>
          <w:szCs w:val="28"/>
        </w:rPr>
        <w:t xml:space="preserve"> – riska varbūtības kritērijs;</w:t>
      </w:r>
    </w:p>
    <w:p w:rsidR="00BC383A" w:rsidRDefault="00A50BD6"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A50BD6">
        <w:rPr>
          <w:rFonts w:ascii="Times New Roman" w:hAnsi="Times New Roman" w:cs="Times New Roman"/>
          <w:sz w:val="28"/>
          <w:szCs w:val="28"/>
        </w:rPr>
        <w:t xml:space="preserve">(R2) </w:t>
      </w:r>
      <w:r>
        <w:rPr>
          <w:rFonts w:ascii="Times New Roman" w:hAnsi="Times New Roman" w:cs="Times New Roman"/>
          <w:sz w:val="28"/>
          <w:szCs w:val="28"/>
        </w:rPr>
        <w:t>i</w:t>
      </w:r>
      <w:r w:rsidRPr="00A50BD6">
        <w:rPr>
          <w:rFonts w:ascii="Times New Roman" w:hAnsi="Times New Roman" w:cs="Times New Roman"/>
          <w:sz w:val="28"/>
          <w:szCs w:val="28"/>
        </w:rPr>
        <w:t>edzīvotāju blīvums (iedzīvotāju skaits uz km</w:t>
      </w:r>
      <w:r w:rsidRPr="00A50BD6">
        <w:rPr>
          <w:rFonts w:ascii="Times New Roman" w:hAnsi="Times New Roman" w:cs="Times New Roman"/>
          <w:sz w:val="28"/>
          <w:szCs w:val="28"/>
          <w:vertAlign w:val="superscript"/>
        </w:rPr>
        <w:t>2</w:t>
      </w:r>
      <w:r w:rsidRPr="00A50BD6">
        <w:rPr>
          <w:rFonts w:ascii="Times New Roman" w:hAnsi="Times New Roman" w:cs="Times New Roman"/>
          <w:sz w:val="28"/>
          <w:szCs w:val="28"/>
        </w:rPr>
        <w:t>)</w:t>
      </w:r>
      <w:r>
        <w:rPr>
          <w:rFonts w:ascii="Times New Roman" w:hAnsi="Times New Roman" w:cs="Times New Roman"/>
          <w:sz w:val="28"/>
          <w:szCs w:val="28"/>
        </w:rPr>
        <w:t xml:space="preserve"> – riska varbūtības kritērijs</w:t>
      </w:r>
      <w:r w:rsidR="00BC383A">
        <w:rPr>
          <w:rFonts w:ascii="Times New Roman" w:hAnsi="Times New Roman" w:cs="Times New Roman"/>
          <w:sz w:val="28"/>
          <w:szCs w:val="28"/>
        </w:rPr>
        <w:t>;</w:t>
      </w:r>
    </w:p>
    <w:p w:rsidR="00BC383A" w:rsidRP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A50BD6">
        <w:rPr>
          <w:rFonts w:ascii="Times New Roman" w:hAnsi="Times New Roman" w:cs="Times New Roman"/>
          <w:sz w:val="28"/>
          <w:szCs w:val="28"/>
        </w:rPr>
        <w:t>(R3)</w:t>
      </w:r>
      <w:r>
        <w:rPr>
          <w:rFonts w:ascii="Times New Roman" w:hAnsi="Times New Roman" w:cs="Times New Roman"/>
          <w:sz w:val="28"/>
          <w:szCs w:val="28"/>
        </w:rPr>
        <w:t xml:space="preserve"> i</w:t>
      </w:r>
      <w:r w:rsidR="00A50BD6" w:rsidRPr="00BC383A">
        <w:rPr>
          <w:rFonts w:ascii="Times New Roman" w:hAnsi="Times New Roman" w:cs="Times New Roman"/>
          <w:sz w:val="28"/>
          <w:szCs w:val="28"/>
        </w:rPr>
        <w:t>edzīvotāju skaits pašvaldībā</w:t>
      </w:r>
      <w:r>
        <w:rPr>
          <w:rFonts w:ascii="Times New Roman" w:hAnsi="Times New Roman" w:cs="Times New Roman"/>
          <w:sz w:val="28"/>
          <w:szCs w:val="28"/>
        </w:rPr>
        <w:t xml:space="preserve"> </w:t>
      </w:r>
      <w:r w:rsidRPr="00BC383A">
        <w:rPr>
          <w:rFonts w:ascii="Times New Roman" w:hAnsi="Times New Roman" w:cs="Times New Roman"/>
          <w:sz w:val="28"/>
          <w:szCs w:val="28"/>
        </w:rPr>
        <w:t>– riska varbūtības kritērijs;</w:t>
      </w:r>
    </w:p>
    <w:p w:rsidR="00BC383A" w:rsidRP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A50BD6">
        <w:rPr>
          <w:rFonts w:ascii="Times New Roman" w:hAnsi="Times New Roman" w:cs="Times New Roman"/>
          <w:sz w:val="28"/>
          <w:szCs w:val="28"/>
        </w:rPr>
        <w:t>(R4)</w:t>
      </w:r>
      <w:r w:rsidR="00A50BD6" w:rsidRPr="00BC383A">
        <w:rPr>
          <w:rFonts w:ascii="Times New Roman" w:hAnsi="Times New Roman" w:cs="Times New Roman"/>
          <w:sz w:val="28"/>
          <w:szCs w:val="28"/>
        </w:rPr>
        <w:t xml:space="preserve"> </w:t>
      </w:r>
      <w:r>
        <w:rPr>
          <w:rFonts w:ascii="Times New Roman" w:hAnsi="Times New Roman" w:cs="Times New Roman"/>
          <w:sz w:val="28"/>
          <w:szCs w:val="28"/>
        </w:rPr>
        <w:t>m</w:t>
      </w:r>
      <w:r w:rsidR="00A50BD6" w:rsidRPr="00BC383A">
        <w:rPr>
          <w:rFonts w:ascii="Times New Roman" w:hAnsi="Times New Roman" w:cs="Times New Roman"/>
          <w:sz w:val="28"/>
          <w:szCs w:val="28"/>
        </w:rPr>
        <w:t>ājsaimniecību skaits pašvaldībā</w:t>
      </w:r>
      <w:r>
        <w:rPr>
          <w:rFonts w:ascii="Times New Roman" w:hAnsi="Times New Roman" w:cs="Times New Roman"/>
          <w:sz w:val="28"/>
          <w:szCs w:val="28"/>
        </w:rPr>
        <w:t xml:space="preserve"> </w:t>
      </w:r>
      <w:r w:rsidRPr="00BC383A">
        <w:rPr>
          <w:rFonts w:ascii="Times New Roman" w:hAnsi="Times New Roman" w:cs="Times New Roman"/>
          <w:sz w:val="28"/>
          <w:szCs w:val="28"/>
        </w:rPr>
        <w:t>– riska varbūtības kritērijs;</w:t>
      </w:r>
    </w:p>
    <w:p w:rsid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A50BD6">
        <w:rPr>
          <w:rFonts w:ascii="Times New Roman" w:hAnsi="Times New Roman" w:cs="Times New Roman"/>
          <w:sz w:val="28"/>
          <w:szCs w:val="28"/>
        </w:rPr>
        <w:t>(R5)</w:t>
      </w:r>
      <w:r>
        <w:rPr>
          <w:rFonts w:ascii="Times New Roman" w:hAnsi="Times New Roman" w:cs="Times New Roman"/>
          <w:sz w:val="28"/>
          <w:szCs w:val="28"/>
        </w:rPr>
        <w:t xml:space="preserve"> n</w:t>
      </w:r>
      <w:r w:rsidR="00A50BD6" w:rsidRPr="00BC383A">
        <w:rPr>
          <w:rFonts w:ascii="Times New Roman" w:hAnsi="Times New Roman" w:cs="Times New Roman"/>
          <w:sz w:val="28"/>
          <w:szCs w:val="28"/>
        </w:rPr>
        <w:t>otikumu skaits pašvaldībā (gadā)</w:t>
      </w:r>
      <w:r>
        <w:rPr>
          <w:rFonts w:ascii="Times New Roman" w:hAnsi="Times New Roman" w:cs="Times New Roman"/>
          <w:sz w:val="28"/>
          <w:szCs w:val="28"/>
        </w:rPr>
        <w:t xml:space="preserve"> </w:t>
      </w:r>
      <w:r w:rsidRPr="00BC383A">
        <w:rPr>
          <w:rFonts w:ascii="Times New Roman" w:hAnsi="Times New Roman" w:cs="Times New Roman"/>
          <w:sz w:val="28"/>
          <w:szCs w:val="28"/>
        </w:rPr>
        <w:t>– riska seku kritērijs</w:t>
      </w:r>
      <w:r w:rsidR="00EF1DB3">
        <w:rPr>
          <w:rFonts w:ascii="Times New Roman" w:hAnsi="Times New Roman" w:cs="Times New Roman"/>
          <w:sz w:val="28"/>
          <w:szCs w:val="28"/>
        </w:rPr>
        <w:t xml:space="preserve"> (ugunsgrēki, meža ugunsgrēki, glābšanas darbi, maldinājumi)</w:t>
      </w:r>
      <w:r>
        <w:rPr>
          <w:rFonts w:ascii="Times New Roman" w:hAnsi="Times New Roman" w:cs="Times New Roman"/>
          <w:sz w:val="28"/>
          <w:szCs w:val="28"/>
        </w:rPr>
        <w:t>;</w:t>
      </w:r>
    </w:p>
    <w:p w:rsid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BC383A">
        <w:rPr>
          <w:rFonts w:ascii="Times New Roman" w:hAnsi="Times New Roman" w:cs="Times New Roman"/>
          <w:sz w:val="28"/>
          <w:szCs w:val="28"/>
        </w:rPr>
        <w:t>(R6) u</w:t>
      </w:r>
      <w:r w:rsidR="00A50BD6" w:rsidRPr="00BC383A">
        <w:rPr>
          <w:rFonts w:ascii="Times New Roman" w:hAnsi="Times New Roman" w:cs="Times New Roman"/>
          <w:sz w:val="28"/>
          <w:szCs w:val="28"/>
        </w:rPr>
        <w:t>gunsgrēki mājsaimniecībā (skaits uz 100 000 iedzīvotāju)</w:t>
      </w:r>
      <w:r>
        <w:rPr>
          <w:rFonts w:ascii="Times New Roman" w:hAnsi="Times New Roman" w:cs="Times New Roman"/>
          <w:sz w:val="28"/>
          <w:szCs w:val="28"/>
        </w:rPr>
        <w:t xml:space="preserve"> </w:t>
      </w:r>
      <w:r w:rsidRPr="00BC383A">
        <w:rPr>
          <w:rFonts w:ascii="Times New Roman" w:hAnsi="Times New Roman" w:cs="Times New Roman"/>
          <w:sz w:val="28"/>
          <w:szCs w:val="28"/>
        </w:rPr>
        <w:t>– riska seku kritērijs</w:t>
      </w:r>
      <w:r>
        <w:rPr>
          <w:rFonts w:ascii="Times New Roman" w:hAnsi="Times New Roman" w:cs="Times New Roman"/>
          <w:sz w:val="28"/>
          <w:szCs w:val="28"/>
        </w:rPr>
        <w:t>;</w:t>
      </w:r>
    </w:p>
    <w:p w:rsid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BC383A">
        <w:rPr>
          <w:rFonts w:ascii="Times New Roman" w:hAnsi="Times New Roman" w:cs="Times New Roman"/>
          <w:sz w:val="28"/>
          <w:szCs w:val="28"/>
        </w:rPr>
        <w:t xml:space="preserve">(R7) </w:t>
      </w:r>
      <w:r>
        <w:rPr>
          <w:rFonts w:ascii="Times New Roman" w:hAnsi="Times New Roman" w:cs="Times New Roman"/>
          <w:sz w:val="28"/>
          <w:szCs w:val="28"/>
        </w:rPr>
        <w:t>c</w:t>
      </w:r>
      <w:r w:rsidR="00A50BD6" w:rsidRPr="00BC383A">
        <w:rPr>
          <w:rFonts w:ascii="Times New Roman" w:hAnsi="Times New Roman" w:cs="Times New Roman"/>
          <w:sz w:val="28"/>
          <w:szCs w:val="28"/>
        </w:rPr>
        <w:t>iti ugunsgrēki (skaits uz 100 000 iedzīvotāju)</w:t>
      </w:r>
      <w:r>
        <w:rPr>
          <w:rFonts w:ascii="Times New Roman" w:hAnsi="Times New Roman" w:cs="Times New Roman"/>
          <w:sz w:val="28"/>
          <w:szCs w:val="28"/>
        </w:rPr>
        <w:t xml:space="preserve"> </w:t>
      </w:r>
      <w:r w:rsidRPr="00BC383A">
        <w:rPr>
          <w:rFonts w:ascii="Times New Roman" w:hAnsi="Times New Roman" w:cs="Times New Roman"/>
          <w:sz w:val="28"/>
          <w:szCs w:val="28"/>
        </w:rPr>
        <w:t>– riska seku kritērijs;</w:t>
      </w:r>
    </w:p>
    <w:p w:rsidR="00BC383A" w:rsidRDefault="00BC383A" w:rsidP="00BC383A">
      <w:pPr>
        <w:pStyle w:val="Sarakstarindkopa"/>
        <w:numPr>
          <w:ilvl w:val="0"/>
          <w:numId w:val="5"/>
        </w:numPr>
        <w:tabs>
          <w:tab w:val="left" w:pos="993"/>
        </w:tabs>
        <w:ind w:left="993" w:hanging="284"/>
        <w:jc w:val="both"/>
        <w:rPr>
          <w:rFonts w:ascii="Times New Roman" w:hAnsi="Times New Roman" w:cs="Times New Roman"/>
          <w:sz w:val="28"/>
          <w:szCs w:val="28"/>
        </w:rPr>
      </w:pPr>
      <w:r w:rsidRPr="00BC383A">
        <w:rPr>
          <w:rFonts w:ascii="Times New Roman" w:hAnsi="Times New Roman" w:cs="Times New Roman"/>
          <w:sz w:val="28"/>
          <w:szCs w:val="28"/>
        </w:rPr>
        <w:t>(R8) c</w:t>
      </w:r>
      <w:r w:rsidR="00A50BD6" w:rsidRPr="00BC383A">
        <w:rPr>
          <w:rFonts w:ascii="Times New Roman" w:hAnsi="Times New Roman" w:cs="Times New Roman"/>
          <w:sz w:val="28"/>
          <w:szCs w:val="28"/>
        </w:rPr>
        <w:t>iti notikumi (skaits uz 100 000 iedzīvotāju)</w:t>
      </w:r>
      <w:r>
        <w:rPr>
          <w:rFonts w:ascii="Times New Roman" w:hAnsi="Times New Roman" w:cs="Times New Roman"/>
          <w:sz w:val="28"/>
          <w:szCs w:val="28"/>
        </w:rPr>
        <w:t xml:space="preserve"> </w:t>
      </w:r>
      <w:r w:rsidRPr="00BC383A">
        <w:rPr>
          <w:rFonts w:ascii="Times New Roman" w:hAnsi="Times New Roman" w:cs="Times New Roman"/>
          <w:sz w:val="28"/>
          <w:szCs w:val="28"/>
        </w:rPr>
        <w:t>– riska seku kritērijs</w:t>
      </w:r>
      <w:r>
        <w:rPr>
          <w:rFonts w:ascii="Times New Roman" w:hAnsi="Times New Roman" w:cs="Times New Roman"/>
          <w:sz w:val="28"/>
          <w:szCs w:val="28"/>
        </w:rPr>
        <w:t>;</w:t>
      </w:r>
    </w:p>
    <w:p w:rsidR="00A50BD6" w:rsidRDefault="00BC383A" w:rsidP="00EF1DB3">
      <w:pPr>
        <w:pStyle w:val="Sarakstarindkopa"/>
        <w:numPr>
          <w:ilvl w:val="0"/>
          <w:numId w:val="5"/>
        </w:numPr>
        <w:tabs>
          <w:tab w:val="left" w:pos="993"/>
        </w:tabs>
        <w:spacing w:after="0"/>
        <w:ind w:left="993" w:hanging="284"/>
        <w:jc w:val="both"/>
        <w:rPr>
          <w:rFonts w:ascii="Times New Roman" w:hAnsi="Times New Roman" w:cs="Times New Roman"/>
          <w:sz w:val="28"/>
          <w:szCs w:val="28"/>
        </w:rPr>
      </w:pPr>
      <w:r w:rsidRPr="00BC383A">
        <w:rPr>
          <w:rFonts w:ascii="Times New Roman" w:hAnsi="Times New Roman" w:cs="Times New Roman"/>
          <w:sz w:val="28"/>
          <w:szCs w:val="28"/>
        </w:rPr>
        <w:t>(R9) i</w:t>
      </w:r>
      <w:r w:rsidR="00A50BD6" w:rsidRPr="00BC383A">
        <w:rPr>
          <w:rFonts w:ascii="Times New Roman" w:hAnsi="Times New Roman" w:cs="Times New Roman"/>
          <w:sz w:val="28"/>
          <w:szCs w:val="28"/>
        </w:rPr>
        <w:t>nfrastruktūra (institūcijas, izglītība, slimnīcas, tirdzniecības centri, viesnīcas, rūpniecība,</w:t>
      </w:r>
      <w:r>
        <w:rPr>
          <w:rFonts w:ascii="Times New Roman" w:hAnsi="Times New Roman" w:cs="Times New Roman"/>
          <w:sz w:val="28"/>
          <w:szCs w:val="28"/>
        </w:rPr>
        <w:t xml:space="preserve"> </w:t>
      </w:r>
      <w:r w:rsidR="00A50BD6" w:rsidRPr="00BC383A">
        <w:rPr>
          <w:rFonts w:ascii="Times New Roman" w:hAnsi="Times New Roman" w:cs="Times New Roman"/>
          <w:sz w:val="28"/>
          <w:szCs w:val="28"/>
        </w:rPr>
        <w:t>SEVESO, PBO)</w:t>
      </w:r>
      <w:r>
        <w:rPr>
          <w:rFonts w:ascii="Times New Roman" w:hAnsi="Times New Roman" w:cs="Times New Roman"/>
          <w:sz w:val="28"/>
          <w:szCs w:val="28"/>
        </w:rPr>
        <w:t xml:space="preserve"> </w:t>
      </w:r>
      <w:r w:rsidRPr="00BC383A">
        <w:rPr>
          <w:rFonts w:ascii="Times New Roman" w:hAnsi="Times New Roman" w:cs="Times New Roman"/>
          <w:sz w:val="28"/>
          <w:szCs w:val="28"/>
        </w:rPr>
        <w:t xml:space="preserve">– riska </w:t>
      </w:r>
      <w:r>
        <w:rPr>
          <w:rFonts w:ascii="Times New Roman" w:hAnsi="Times New Roman" w:cs="Times New Roman"/>
          <w:sz w:val="28"/>
          <w:szCs w:val="28"/>
        </w:rPr>
        <w:t>varbūtības</w:t>
      </w:r>
      <w:r w:rsidRPr="00BC383A">
        <w:rPr>
          <w:rFonts w:ascii="Times New Roman" w:hAnsi="Times New Roman" w:cs="Times New Roman"/>
          <w:sz w:val="28"/>
          <w:szCs w:val="28"/>
        </w:rPr>
        <w:t xml:space="preserve"> kritērijs</w:t>
      </w:r>
      <w:r w:rsidR="00EF1DB3">
        <w:rPr>
          <w:rFonts w:ascii="Times New Roman" w:hAnsi="Times New Roman" w:cs="Times New Roman"/>
          <w:sz w:val="28"/>
          <w:szCs w:val="28"/>
        </w:rPr>
        <w:t>.</w:t>
      </w:r>
    </w:p>
    <w:p w:rsidR="00E84388" w:rsidRDefault="006A0801" w:rsidP="00EF1DB3">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R</w:t>
      </w:r>
      <w:r w:rsidR="00820681">
        <w:rPr>
          <w:rFonts w:ascii="Times New Roman" w:hAnsi="Times New Roman" w:cs="Times New Roman"/>
          <w:sz w:val="28"/>
          <w:szCs w:val="28"/>
        </w:rPr>
        <w:t>iska kritēriju kvantitatīvie un kvalitatīvie rādītāji ir noteikti informatīvā ziņojuma 1.pielikumā.</w:t>
      </w:r>
    </w:p>
    <w:p w:rsidR="006A0801" w:rsidRDefault="006A0801" w:rsidP="006A0801">
      <w:pPr>
        <w:pStyle w:val="Sarakstarindkop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Izstrādājot riska kritēriju kvantitatīvos un kvalitatīvos rādītājus tika ņemts vērā Apvienotās Karalistes pētījums “Ugunsdzēsības dienestu nākotne: risku mazināšana, dzīvību glābšana” (</w:t>
      </w:r>
      <w:r w:rsidRPr="00FD7634">
        <w:rPr>
          <w:rFonts w:ascii="Times New Roman" w:hAnsi="Times New Roman" w:cs="Times New Roman"/>
          <w:i/>
          <w:sz w:val="28"/>
          <w:szCs w:val="28"/>
          <w:lang w:val="en-GB"/>
        </w:rPr>
        <w:t>The Future of the Fire Service: reducing risk, saving lives</w:t>
      </w:r>
      <w:r>
        <w:rPr>
          <w:rFonts w:ascii="Times New Roman" w:hAnsi="Times New Roman" w:cs="Times New Roman"/>
          <w:sz w:val="28"/>
          <w:szCs w:val="28"/>
        </w:rPr>
        <w:t xml:space="preserve">) un Īrijas Republikas Ugunsdzēsības un ārkārtas situāciju </w:t>
      </w:r>
      <w:r>
        <w:rPr>
          <w:rFonts w:ascii="Times New Roman" w:hAnsi="Times New Roman" w:cs="Times New Roman"/>
          <w:sz w:val="28"/>
          <w:szCs w:val="28"/>
        </w:rPr>
        <w:lastRenderedPageBreak/>
        <w:t xml:space="preserve">ģenerāldirektorāta </w:t>
      </w:r>
      <w:proofErr w:type="spellStart"/>
      <w:r>
        <w:rPr>
          <w:rFonts w:ascii="Times New Roman" w:hAnsi="Times New Roman" w:cs="Times New Roman"/>
          <w:sz w:val="28"/>
          <w:szCs w:val="28"/>
        </w:rPr>
        <w:t>ietvarprogrammu</w:t>
      </w:r>
      <w:proofErr w:type="spellEnd"/>
      <w:r>
        <w:rPr>
          <w:rFonts w:ascii="Times New Roman" w:hAnsi="Times New Roman" w:cs="Times New Roman"/>
          <w:sz w:val="28"/>
          <w:szCs w:val="28"/>
        </w:rPr>
        <w:t xml:space="preserve"> “Kopienu drošība” (</w:t>
      </w:r>
      <w:r w:rsidRPr="00FD7634">
        <w:rPr>
          <w:rFonts w:ascii="Times New Roman" w:hAnsi="Times New Roman" w:cs="Times New Roman"/>
          <w:i/>
          <w:sz w:val="28"/>
          <w:szCs w:val="28"/>
          <w:lang w:val="en-GB"/>
        </w:rPr>
        <w:t>Keeping Communities Safe</w:t>
      </w:r>
      <w:r>
        <w:rPr>
          <w:rFonts w:ascii="Times New Roman" w:hAnsi="Times New Roman" w:cs="Times New Roman"/>
          <w:sz w:val="28"/>
          <w:szCs w:val="28"/>
        </w:rPr>
        <w:t>).</w:t>
      </w:r>
    </w:p>
    <w:p w:rsidR="00EF1DB3" w:rsidRPr="00EF1DB3" w:rsidRDefault="00E84388" w:rsidP="00EF1DB3">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Kad tiks ieviests uzraugāmo objektu riska analīzes rīks, tas tiks pielāgots, kā jauns riska varbūtības kritērijs, nosakot kvantitatīvu radītāju, ņemot vērā </w:t>
      </w:r>
      <w:proofErr w:type="spellStart"/>
      <w:r>
        <w:rPr>
          <w:rFonts w:ascii="Times New Roman" w:hAnsi="Times New Roman" w:cs="Times New Roman"/>
          <w:sz w:val="28"/>
          <w:szCs w:val="28"/>
        </w:rPr>
        <w:t>pašdeklarācijas</w:t>
      </w:r>
      <w:proofErr w:type="spellEnd"/>
      <w:r>
        <w:rPr>
          <w:rFonts w:ascii="Times New Roman" w:hAnsi="Times New Roman" w:cs="Times New Roman"/>
          <w:sz w:val="28"/>
          <w:szCs w:val="28"/>
        </w:rPr>
        <w:t xml:space="preserve"> un iepriekšējo pārbaužu datus.</w:t>
      </w:r>
    </w:p>
    <w:p w:rsidR="00BC383A" w:rsidRPr="00BC383A" w:rsidRDefault="00BC383A" w:rsidP="00191E3B">
      <w:pPr>
        <w:pStyle w:val="Sarakstarindkopa"/>
        <w:spacing w:after="0"/>
        <w:ind w:left="0" w:firstLine="709"/>
        <w:jc w:val="both"/>
        <w:rPr>
          <w:rFonts w:ascii="Times New Roman" w:hAnsi="Times New Roman" w:cs="Times New Roman"/>
          <w:sz w:val="28"/>
          <w:szCs w:val="28"/>
        </w:rPr>
      </w:pPr>
    </w:p>
    <w:p w:rsidR="00191E3B" w:rsidRDefault="00191E3B" w:rsidP="00191E3B">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R</w:t>
      </w:r>
      <w:r w:rsidRPr="00DA7A49">
        <w:rPr>
          <w:rFonts w:ascii="Times New Roman" w:hAnsi="Times New Roman" w:cs="Times New Roman"/>
          <w:sz w:val="28"/>
          <w:szCs w:val="28"/>
        </w:rPr>
        <w:t>iska līmeņ</w:t>
      </w:r>
      <w:r>
        <w:rPr>
          <w:rFonts w:ascii="Times New Roman" w:hAnsi="Times New Roman" w:cs="Times New Roman"/>
          <w:sz w:val="28"/>
          <w:szCs w:val="28"/>
        </w:rPr>
        <w:t>i</w:t>
      </w:r>
      <w:r w:rsidRPr="00DA7A49">
        <w:rPr>
          <w:rFonts w:ascii="Times New Roman" w:hAnsi="Times New Roman" w:cs="Times New Roman"/>
          <w:sz w:val="28"/>
          <w:szCs w:val="28"/>
        </w:rPr>
        <w:t xml:space="preserve">, kas ir sasaistīti ar </w:t>
      </w:r>
      <w:r w:rsidR="00413809">
        <w:rPr>
          <w:rFonts w:ascii="Times New Roman" w:hAnsi="Times New Roman" w:cs="Times New Roman"/>
          <w:sz w:val="28"/>
          <w:szCs w:val="28"/>
        </w:rPr>
        <w:t>notikumu</w:t>
      </w:r>
      <w:r w:rsidRPr="00DA7A49">
        <w:rPr>
          <w:rFonts w:ascii="Times New Roman" w:hAnsi="Times New Roman" w:cs="Times New Roman"/>
          <w:sz w:val="28"/>
          <w:szCs w:val="28"/>
        </w:rPr>
        <w:t xml:space="preserve"> riska kritērijiem.</w:t>
      </w:r>
    </w:p>
    <w:p w:rsidR="00191E3B" w:rsidRDefault="00191E3B" w:rsidP="00745C34">
      <w:pPr>
        <w:pStyle w:val="Sarakstarindkopa"/>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Katram riska kritērija kvantitatīvajam vai kvalitatīvajam rādītājam ir noteikts riska indikators, kuru kopējā vērtība veido riska līmeni attiecīgajā administratīvajā teritorijā. </w:t>
      </w:r>
      <w:r w:rsidR="006A0801">
        <w:rPr>
          <w:rFonts w:ascii="Times New Roman" w:hAnsi="Times New Roman" w:cs="Times New Roman"/>
          <w:sz w:val="28"/>
          <w:szCs w:val="28"/>
        </w:rPr>
        <w:t>R</w:t>
      </w:r>
      <w:r>
        <w:rPr>
          <w:rFonts w:ascii="Times New Roman" w:hAnsi="Times New Roman" w:cs="Times New Roman"/>
          <w:sz w:val="28"/>
          <w:szCs w:val="28"/>
        </w:rPr>
        <w:t>iska indikatori un riska līmeņi ir noteikti</w:t>
      </w:r>
      <w:r w:rsidR="006A0801">
        <w:rPr>
          <w:rFonts w:ascii="Times New Roman" w:hAnsi="Times New Roman" w:cs="Times New Roman"/>
          <w:sz w:val="28"/>
          <w:szCs w:val="28"/>
        </w:rPr>
        <w:t xml:space="preserve"> informatīvā ziņojuma 1.pielikumā.</w:t>
      </w:r>
    </w:p>
    <w:p w:rsidR="00D06544" w:rsidRDefault="00D06544" w:rsidP="00191E3B">
      <w:pPr>
        <w:pStyle w:val="Sarakstarindkopa"/>
        <w:tabs>
          <w:tab w:val="left" w:pos="1276"/>
        </w:tabs>
        <w:ind w:left="709"/>
        <w:jc w:val="both"/>
        <w:rPr>
          <w:rFonts w:ascii="Times New Roman" w:hAnsi="Times New Roman" w:cs="Times New Roman"/>
          <w:sz w:val="28"/>
          <w:szCs w:val="28"/>
        </w:rPr>
      </w:pPr>
    </w:p>
    <w:p w:rsidR="00DA7A49" w:rsidRDefault="00DA7A49" w:rsidP="00DA7A49">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Dati</w:t>
      </w:r>
      <w:r w:rsidRPr="00DA7A49">
        <w:rPr>
          <w:rFonts w:ascii="Times New Roman" w:hAnsi="Times New Roman" w:cs="Times New Roman"/>
          <w:sz w:val="28"/>
          <w:szCs w:val="28"/>
        </w:rPr>
        <w:t xml:space="preserve"> par </w:t>
      </w:r>
      <w:r w:rsidR="00B04C06">
        <w:rPr>
          <w:rFonts w:ascii="Times New Roman" w:hAnsi="Times New Roman" w:cs="Times New Roman"/>
          <w:sz w:val="28"/>
          <w:szCs w:val="28"/>
        </w:rPr>
        <w:t>notikumiem</w:t>
      </w:r>
      <w:r w:rsidRPr="00DA7A49">
        <w:rPr>
          <w:rFonts w:ascii="Times New Roman" w:hAnsi="Times New Roman" w:cs="Times New Roman"/>
          <w:sz w:val="28"/>
          <w:szCs w:val="28"/>
        </w:rPr>
        <w:t xml:space="preserve"> Latvijas Republikā.</w:t>
      </w:r>
    </w:p>
    <w:p w:rsidR="00DA7A49" w:rsidRPr="00DA7A49" w:rsidRDefault="006A0801" w:rsidP="006A0801">
      <w:pPr>
        <w:pStyle w:val="Sarakstarindkopa"/>
        <w:ind w:left="0" w:firstLine="709"/>
        <w:jc w:val="both"/>
        <w:rPr>
          <w:rFonts w:ascii="Times New Roman" w:hAnsi="Times New Roman" w:cs="Times New Roman"/>
          <w:sz w:val="28"/>
          <w:szCs w:val="28"/>
        </w:rPr>
      </w:pPr>
      <w:r>
        <w:rPr>
          <w:rFonts w:ascii="Times New Roman" w:hAnsi="Times New Roman" w:cs="Times New Roman"/>
          <w:sz w:val="28"/>
          <w:szCs w:val="28"/>
        </w:rPr>
        <w:t xml:space="preserve">Tika noteiktas vidējās vērtības datiem par  2017.-2020.gadiem, kas bija par pamatu attiecīgā riska līmeņa noteikšanai administratīvajā teritorijā (2.pielikums).  </w:t>
      </w:r>
    </w:p>
    <w:p w:rsidR="00DA7A49" w:rsidRPr="00DA7A49" w:rsidRDefault="00DA7A49" w:rsidP="00DA7A49">
      <w:pPr>
        <w:pStyle w:val="Sarakstarindkopa"/>
        <w:rPr>
          <w:rFonts w:ascii="Times New Roman" w:hAnsi="Times New Roman" w:cs="Times New Roman"/>
          <w:sz w:val="28"/>
          <w:szCs w:val="28"/>
        </w:rPr>
      </w:pPr>
    </w:p>
    <w:p w:rsidR="00DA7A49" w:rsidRDefault="00DA7A49" w:rsidP="00DA7A49">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I</w:t>
      </w:r>
      <w:r w:rsidRPr="00DA7A49">
        <w:rPr>
          <w:rFonts w:ascii="Times New Roman" w:hAnsi="Times New Roman" w:cs="Times New Roman"/>
          <w:sz w:val="28"/>
          <w:szCs w:val="28"/>
        </w:rPr>
        <w:t>nformācijas sistēmas vai datu bāzes</w:t>
      </w:r>
      <w:r w:rsidR="00745C34">
        <w:rPr>
          <w:rFonts w:ascii="Times New Roman" w:hAnsi="Times New Roman" w:cs="Times New Roman"/>
          <w:sz w:val="28"/>
          <w:szCs w:val="28"/>
        </w:rPr>
        <w:t>,</w:t>
      </w:r>
      <w:r w:rsidRPr="00DA7A49">
        <w:rPr>
          <w:rFonts w:ascii="Times New Roman" w:hAnsi="Times New Roman" w:cs="Times New Roman"/>
          <w:sz w:val="28"/>
          <w:szCs w:val="28"/>
        </w:rPr>
        <w:t xml:space="preserve"> kas būtu integrējamas vai sasaistītas ar ugunsdrošības </w:t>
      </w:r>
      <w:r w:rsidR="00C6697B">
        <w:rPr>
          <w:rFonts w:ascii="Times New Roman" w:hAnsi="Times New Roman" w:cs="Times New Roman"/>
          <w:sz w:val="28"/>
          <w:szCs w:val="28"/>
        </w:rPr>
        <w:t xml:space="preserve">un civilās aizsardzības </w:t>
      </w:r>
      <w:r w:rsidRPr="00DA7A49">
        <w:rPr>
          <w:rFonts w:ascii="Times New Roman" w:hAnsi="Times New Roman" w:cs="Times New Roman"/>
          <w:sz w:val="28"/>
          <w:szCs w:val="28"/>
        </w:rPr>
        <w:t xml:space="preserve">riska </w:t>
      </w:r>
      <w:r>
        <w:rPr>
          <w:rFonts w:ascii="Times New Roman" w:hAnsi="Times New Roman" w:cs="Times New Roman"/>
          <w:sz w:val="28"/>
          <w:szCs w:val="28"/>
        </w:rPr>
        <w:t>novērtēšanas</w:t>
      </w:r>
      <w:r w:rsidRPr="00DA7A49">
        <w:rPr>
          <w:rFonts w:ascii="Times New Roman" w:hAnsi="Times New Roman" w:cs="Times New Roman"/>
          <w:sz w:val="28"/>
          <w:szCs w:val="28"/>
        </w:rPr>
        <w:t xml:space="preserve"> instrumentu.</w:t>
      </w:r>
    </w:p>
    <w:p w:rsidR="00B04C06" w:rsidRDefault="00341159" w:rsidP="00341159">
      <w:pPr>
        <w:pStyle w:val="Sarakstarindkopa"/>
        <w:ind w:left="0" w:firstLine="709"/>
        <w:jc w:val="both"/>
        <w:rPr>
          <w:rFonts w:ascii="Times New Roman" w:hAnsi="Times New Roman" w:cs="Times New Roman"/>
          <w:sz w:val="28"/>
          <w:szCs w:val="28"/>
        </w:rPr>
      </w:pPr>
      <w:r w:rsidRPr="00341159">
        <w:rPr>
          <w:rFonts w:ascii="Times New Roman" w:hAnsi="Times New Roman" w:cs="Times New Roman"/>
          <w:sz w:val="28"/>
          <w:szCs w:val="28"/>
        </w:rPr>
        <w:t xml:space="preserve">Process notiek reizi </w:t>
      </w:r>
      <w:r w:rsidR="00DD16D4">
        <w:rPr>
          <w:rFonts w:ascii="Times New Roman" w:hAnsi="Times New Roman" w:cs="Times New Roman"/>
          <w:sz w:val="28"/>
          <w:szCs w:val="28"/>
        </w:rPr>
        <w:t>3-4 gados, kur dati tiek apkopoti par pēdējiem trijiem vai četriem gadiem</w:t>
      </w:r>
      <w:r w:rsidRPr="00341159">
        <w:rPr>
          <w:rFonts w:ascii="Times New Roman" w:hAnsi="Times New Roman" w:cs="Times New Roman"/>
          <w:sz w:val="28"/>
          <w:szCs w:val="28"/>
        </w:rPr>
        <w:t>. Šis process ir automatizēts</w:t>
      </w:r>
      <w:r w:rsidR="00DD16D4">
        <w:rPr>
          <w:rFonts w:ascii="Times New Roman" w:hAnsi="Times New Roman" w:cs="Times New Roman"/>
          <w:sz w:val="28"/>
          <w:szCs w:val="28"/>
        </w:rPr>
        <w:t>. Integrējamās informācijas sistēmas vai datu bāzes:</w:t>
      </w:r>
    </w:p>
    <w:tbl>
      <w:tblPr>
        <w:tblStyle w:val="Reatabula"/>
        <w:tblW w:w="0" w:type="auto"/>
        <w:tblLook w:val="04A0" w:firstRow="1" w:lastRow="0" w:firstColumn="1" w:lastColumn="0" w:noHBand="0" w:noVBand="1"/>
      </w:tblPr>
      <w:tblGrid>
        <w:gridCol w:w="3539"/>
        <w:gridCol w:w="2501"/>
        <w:gridCol w:w="3021"/>
      </w:tblGrid>
      <w:tr w:rsidR="00DD16D4" w:rsidRPr="00DD16D4" w:rsidTr="00122203">
        <w:tc>
          <w:tcPr>
            <w:tcW w:w="3539" w:type="dxa"/>
            <w:shd w:val="clear" w:color="auto" w:fill="BFBFBF" w:themeFill="background1" w:themeFillShade="BF"/>
          </w:tcPr>
          <w:p w:rsidR="00DD16D4" w:rsidRPr="00215ADD" w:rsidRDefault="00DD16D4" w:rsidP="00D91B82">
            <w:pPr>
              <w:pStyle w:val="Sarakstarindkopa"/>
              <w:ind w:left="0"/>
              <w:jc w:val="center"/>
              <w:rPr>
                <w:rFonts w:ascii="Times New Roman" w:hAnsi="Times New Roman" w:cs="Times New Roman"/>
                <w:caps/>
                <w:sz w:val="24"/>
                <w:szCs w:val="24"/>
              </w:rPr>
            </w:pPr>
            <w:r w:rsidRPr="00215ADD">
              <w:rPr>
                <w:rFonts w:ascii="Times New Roman" w:hAnsi="Times New Roman" w:cs="Times New Roman"/>
                <w:caps/>
                <w:sz w:val="24"/>
                <w:szCs w:val="24"/>
              </w:rPr>
              <w:t>Informācijas sistēma vai datu b</w:t>
            </w:r>
            <w:r w:rsidR="00D91B82">
              <w:rPr>
                <w:rFonts w:ascii="Times New Roman" w:hAnsi="Times New Roman" w:cs="Times New Roman"/>
                <w:caps/>
                <w:sz w:val="24"/>
                <w:szCs w:val="24"/>
              </w:rPr>
              <w:t>āze</w:t>
            </w:r>
          </w:p>
        </w:tc>
        <w:tc>
          <w:tcPr>
            <w:tcW w:w="2501" w:type="dxa"/>
            <w:shd w:val="clear" w:color="auto" w:fill="BFBFBF" w:themeFill="background1" w:themeFillShade="BF"/>
          </w:tcPr>
          <w:p w:rsidR="00DD16D4" w:rsidRPr="00215ADD" w:rsidRDefault="00DD16D4" w:rsidP="00215ADD">
            <w:pPr>
              <w:pStyle w:val="Sarakstarindkopa"/>
              <w:ind w:left="0"/>
              <w:jc w:val="center"/>
              <w:rPr>
                <w:rFonts w:ascii="Times New Roman" w:hAnsi="Times New Roman" w:cs="Times New Roman"/>
                <w:caps/>
                <w:sz w:val="24"/>
                <w:szCs w:val="24"/>
              </w:rPr>
            </w:pPr>
            <w:r w:rsidRPr="00215ADD">
              <w:rPr>
                <w:rFonts w:ascii="Times New Roman" w:hAnsi="Times New Roman" w:cs="Times New Roman"/>
                <w:caps/>
                <w:sz w:val="24"/>
                <w:szCs w:val="24"/>
              </w:rPr>
              <w:t>Datu kods datu bāzē vai datu lauks (kopa)</w:t>
            </w:r>
          </w:p>
        </w:tc>
        <w:tc>
          <w:tcPr>
            <w:tcW w:w="3021" w:type="dxa"/>
            <w:shd w:val="clear" w:color="auto" w:fill="BFBFBF" w:themeFill="background1" w:themeFillShade="BF"/>
          </w:tcPr>
          <w:p w:rsidR="00DD16D4" w:rsidRPr="00215ADD" w:rsidRDefault="00DD16D4" w:rsidP="00215ADD">
            <w:pPr>
              <w:pStyle w:val="Sarakstarindkopa"/>
              <w:ind w:left="0"/>
              <w:jc w:val="center"/>
              <w:rPr>
                <w:rFonts w:ascii="Times New Roman" w:hAnsi="Times New Roman" w:cs="Times New Roman"/>
                <w:caps/>
                <w:sz w:val="24"/>
                <w:szCs w:val="24"/>
              </w:rPr>
            </w:pPr>
            <w:r w:rsidRPr="00215ADD">
              <w:rPr>
                <w:rFonts w:ascii="Times New Roman" w:hAnsi="Times New Roman" w:cs="Times New Roman"/>
                <w:caps/>
                <w:sz w:val="24"/>
                <w:szCs w:val="24"/>
              </w:rPr>
              <w:t>Attiecīgais riska kritērijs, kam nepieciešami dati</w:t>
            </w:r>
          </w:p>
        </w:tc>
      </w:tr>
      <w:tr w:rsidR="00215ADD" w:rsidRPr="00DD16D4" w:rsidTr="00122203">
        <w:tc>
          <w:tcPr>
            <w:tcW w:w="3539" w:type="dxa"/>
            <w:vMerge w:val="restart"/>
          </w:tcPr>
          <w:p w:rsidR="00215ADD" w:rsidRPr="00DD16D4" w:rsidRDefault="00215ADD" w:rsidP="00341159">
            <w:pPr>
              <w:pStyle w:val="Sarakstarindkopa"/>
              <w:ind w:left="0"/>
              <w:jc w:val="both"/>
              <w:rPr>
                <w:rFonts w:ascii="Times New Roman" w:hAnsi="Times New Roman" w:cs="Times New Roman"/>
                <w:sz w:val="24"/>
                <w:szCs w:val="24"/>
              </w:rPr>
            </w:pPr>
            <w:r w:rsidRPr="00DD16D4">
              <w:rPr>
                <w:rFonts w:ascii="Times New Roman" w:hAnsi="Times New Roman" w:cs="Times New Roman"/>
                <w:sz w:val="24"/>
                <w:szCs w:val="24"/>
              </w:rPr>
              <w:t>Centrālā statistikas pārvalde</w:t>
            </w:r>
            <w:r w:rsidR="00D91B82">
              <w:rPr>
                <w:rFonts w:ascii="Times New Roman" w:hAnsi="Times New Roman" w:cs="Times New Roman"/>
                <w:sz w:val="24"/>
                <w:szCs w:val="24"/>
              </w:rPr>
              <w:t>s datu bāzes</w:t>
            </w:r>
          </w:p>
        </w:tc>
        <w:tc>
          <w:tcPr>
            <w:tcW w:w="250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RIG010</w:t>
            </w:r>
          </w:p>
        </w:tc>
        <w:tc>
          <w:tcPr>
            <w:tcW w:w="302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R1</w:t>
            </w:r>
          </w:p>
        </w:tc>
      </w:tr>
      <w:tr w:rsidR="00215ADD" w:rsidRPr="00DD16D4" w:rsidTr="00122203">
        <w:tc>
          <w:tcPr>
            <w:tcW w:w="3539" w:type="dxa"/>
            <w:vMerge/>
          </w:tcPr>
          <w:p w:rsidR="00215ADD" w:rsidRPr="00DD16D4" w:rsidRDefault="00215ADD" w:rsidP="00341159">
            <w:pPr>
              <w:pStyle w:val="Sarakstarindkopa"/>
              <w:ind w:left="0"/>
              <w:jc w:val="both"/>
              <w:rPr>
                <w:rFonts w:ascii="Times New Roman" w:hAnsi="Times New Roman" w:cs="Times New Roman"/>
                <w:sz w:val="24"/>
                <w:szCs w:val="24"/>
              </w:rPr>
            </w:pPr>
          </w:p>
        </w:tc>
        <w:tc>
          <w:tcPr>
            <w:tcW w:w="250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ISG040</w:t>
            </w:r>
          </w:p>
        </w:tc>
        <w:tc>
          <w:tcPr>
            <w:tcW w:w="302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R2</w:t>
            </w:r>
          </w:p>
        </w:tc>
      </w:tr>
      <w:tr w:rsidR="00215ADD" w:rsidRPr="00DD16D4" w:rsidTr="00122203">
        <w:tc>
          <w:tcPr>
            <w:tcW w:w="3539" w:type="dxa"/>
            <w:vMerge/>
          </w:tcPr>
          <w:p w:rsidR="00215ADD" w:rsidRPr="00DD16D4" w:rsidRDefault="00215ADD" w:rsidP="00341159">
            <w:pPr>
              <w:pStyle w:val="Sarakstarindkopa"/>
              <w:ind w:left="0"/>
              <w:jc w:val="both"/>
              <w:rPr>
                <w:rFonts w:ascii="Times New Roman" w:hAnsi="Times New Roman" w:cs="Times New Roman"/>
                <w:sz w:val="24"/>
                <w:szCs w:val="24"/>
              </w:rPr>
            </w:pPr>
          </w:p>
        </w:tc>
        <w:tc>
          <w:tcPr>
            <w:tcW w:w="250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ISG020</w:t>
            </w:r>
          </w:p>
        </w:tc>
        <w:tc>
          <w:tcPr>
            <w:tcW w:w="302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R3</w:t>
            </w:r>
          </w:p>
        </w:tc>
      </w:tr>
      <w:tr w:rsidR="00215ADD" w:rsidRPr="00DD16D4" w:rsidTr="00122203">
        <w:tc>
          <w:tcPr>
            <w:tcW w:w="3539" w:type="dxa"/>
            <w:vMerge/>
          </w:tcPr>
          <w:p w:rsidR="00215ADD" w:rsidRPr="00DD16D4" w:rsidRDefault="00215ADD" w:rsidP="00341159">
            <w:pPr>
              <w:pStyle w:val="Sarakstarindkopa"/>
              <w:ind w:left="0"/>
              <w:jc w:val="both"/>
              <w:rPr>
                <w:rFonts w:ascii="Times New Roman" w:hAnsi="Times New Roman" w:cs="Times New Roman"/>
                <w:sz w:val="24"/>
                <w:szCs w:val="24"/>
              </w:rPr>
            </w:pPr>
          </w:p>
        </w:tc>
        <w:tc>
          <w:tcPr>
            <w:tcW w:w="250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ISG060</w:t>
            </w:r>
          </w:p>
        </w:tc>
        <w:tc>
          <w:tcPr>
            <w:tcW w:w="3021" w:type="dxa"/>
          </w:tcPr>
          <w:p w:rsidR="00215ADD" w:rsidRPr="00DD16D4" w:rsidRDefault="00215ADD"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R4</w:t>
            </w:r>
          </w:p>
        </w:tc>
      </w:tr>
      <w:tr w:rsidR="00D91B82" w:rsidRPr="00DD16D4" w:rsidTr="00122203">
        <w:trPr>
          <w:trHeight w:val="276"/>
        </w:trPr>
        <w:tc>
          <w:tcPr>
            <w:tcW w:w="3539" w:type="dxa"/>
            <w:vMerge w:val="restart"/>
          </w:tcPr>
          <w:p w:rsidR="00D91B82" w:rsidRPr="00DD16D4" w:rsidRDefault="00D91B82" w:rsidP="00D91B82">
            <w:pPr>
              <w:pStyle w:val="Sarakstarindkopa"/>
              <w:ind w:left="0"/>
              <w:jc w:val="both"/>
              <w:rPr>
                <w:rFonts w:ascii="Times New Roman" w:hAnsi="Times New Roman" w:cs="Times New Roman"/>
                <w:sz w:val="24"/>
                <w:szCs w:val="24"/>
              </w:rPr>
            </w:pPr>
            <w:r w:rsidRPr="00D91B82">
              <w:rPr>
                <w:rFonts w:ascii="Times New Roman" w:hAnsi="Times New Roman" w:cs="Times New Roman"/>
                <w:sz w:val="24"/>
                <w:szCs w:val="24"/>
              </w:rPr>
              <w:t xml:space="preserve">Vienota kontaktu centra platforma </w:t>
            </w:r>
            <w:r>
              <w:rPr>
                <w:rFonts w:ascii="Times New Roman" w:hAnsi="Times New Roman" w:cs="Times New Roman"/>
                <w:sz w:val="24"/>
                <w:szCs w:val="24"/>
              </w:rPr>
              <w:t>(esošās i</w:t>
            </w:r>
            <w:r w:rsidRPr="00D91B82">
              <w:rPr>
                <w:rFonts w:ascii="Times New Roman" w:hAnsi="Times New Roman" w:cs="Times New Roman"/>
                <w:sz w:val="24"/>
                <w:szCs w:val="24"/>
              </w:rPr>
              <w:t>zbraukumu reģistrācijas vienotā</w:t>
            </w:r>
            <w:r w:rsidR="00DD66C9">
              <w:rPr>
                <w:rFonts w:ascii="Times New Roman" w:hAnsi="Times New Roman" w:cs="Times New Roman"/>
                <w:sz w:val="24"/>
                <w:szCs w:val="24"/>
              </w:rPr>
              <w:t>s</w:t>
            </w:r>
            <w:r w:rsidRPr="00D91B82">
              <w:rPr>
                <w:rFonts w:ascii="Times New Roman" w:hAnsi="Times New Roman" w:cs="Times New Roman"/>
                <w:sz w:val="24"/>
                <w:szCs w:val="24"/>
              </w:rPr>
              <w:t xml:space="preserve"> informācijas sistēma</w:t>
            </w:r>
            <w:r>
              <w:rPr>
                <w:rFonts w:ascii="Times New Roman" w:hAnsi="Times New Roman" w:cs="Times New Roman"/>
                <w:sz w:val="24"/>
                <w:szCs w:val="24"/>
              </w:rPr>
              <w:t>s vietā)*</w:t>
            </w:r>
          </w:p>
        </w:tc>
        <w:tc>
          <w:tcPr>
            <w:tcW w:w="2501" w:type="dxa"/>
            <w:vMerge w:val="restart"/>
          </w:tcPr>
          <w:p w:rsidR="00D91B82" w:rsidRPr="00DD16D4"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Jāparedz izstrādājot platformu</w:t>
            </w:r>
          </w:p>
        </w:tc>
        <w:tc>
          <w:tcPr>
            <w:tcW w:w="3021" w:type="dxa"/>
          </w:tcPr>
          <w:p w:rsidR="00D91B82" w:rsidRPr="00DD16D4"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R5</w:t>
            </w:r>
          </w:p>
        </w:tc>
      </w:tr>
      <w:tr w:rsidR="00D91B82" w:rsidRPr="00DD16D4" w:rsidTr="00122203">
        <w:trPr>
          <w:trHeight w:val="276"/>
        </w:trPr>
        <w:tc>
          <w:tcPr>
            <w:tcW w:w="3539" w:type="dxa"/>
            <w:vMerge/>
          </w:tcPr>
          <w:p w:rsidR="00D91B82" w:rsidRPr="00D91B82" w:rsidRDefault="00D91B82" w:rsidP="00341159">
            <w:pPr>
              <w:pStyle w:val="Sarakstarindkopa"/>
              <w:ind w:left="0"/>
              <w:jc w:val="both"/>
              <w:rPr>
                <w:rFonts w:ascii="Times New Roman" w:hAnsi="Times New Roman" w:cs="Times New Roman"/>
                <w:sz w:val="24"/>
                <w:szCs w:val="24"/>
              </w:rPr>
            </w:pPr>
          </w:p>
        </w:tc>
        <w:tc>
          <w:tcPr>
            <w:tcW w:w="2501" w:type="dxa"/>
            <w:vMerge/>
          </w:tcPr>
          <w:p w:rsidR="00D91B82" w:rsidRDefault="00D91B82" w:rsidP="00341159">
            <w:pPr>
              <w:pStyle w:val="Sarakstarindkopa"/>
              <w:ind w:left="0"/>
              <w:jc w:val="both"/>
              <w:rPr>
                <w:rFonts w:ascii="Times New Roman" w:hAnsi="Times New Roman" w:cs="Times New Roman"/>
                <w:sz w:val="24"/>
                <w:szCs w:val="24"/>
              </w:rPr>
            </w:pPr>
          </w:p>
        </w:tc>
        <w:tc>
          <w:tcPr>
            <w:tcW w:w="3021" w:type="dxa"/>
          </w:tcPr>
          <w:p w:rsidR="00D91B82"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R6</w:t>
            </w:r>
          </w:p>
        </w:tc>
      </w:tr>
      <w:tr w:rsidR="00D91B82" w:rsidRPr="00DD16D4" w:rsidTr="00122203">
        <w:trPr>
          <w:trHeight w:val="276"/>
        </w:trPr>
        <w:tc>
          <w:tcPr>
            <w:tcW w:w="3539" w:type="dxa"/>
            <w:vMerge/>
          </w:tcPr>
          <w:p w:rsidR="00D91B82" w:rsidRPr="00D91B82" w:rsidRDefault="00D91B82" w:rsidP="00341159">
            <w:pPr>
              <w:pStyle w:val="Sarakstarindkopa"/>
              <w:ind w:left="0"/>
              <w:jc w:val="both"/>
              <w:rPr>
                <w:rFonts w:ascii="Times New Roman" w:hAnsi="Times New Roman" w:cs="Times New Roman"/>
                <w:sz w:val="24"/>
                <w:szCs w:val="24"/>
              </w:rPr>
            </w:pPr>
          </w:p>
        </w:tc>
        <w:tc>
          <w:tcPr>
            <w:tcW w:w="2501" w:type="dxa"/>
            <w:vMerge/>
          </w:tcPr>
          <w:p w:rsidR="00D91B82" w:rsidRDefault="00D91B82" w:rsidP="00341159">
            <w:pPr>
              <w:pStyle w:val="Sarakstarindkopa"/>
              <w:ind w:left="0"/>
              <w:jc w:val="both"/>
              <w:rPr>
                <w:rFonts w:ascii="Times New Roman" w:hAnsi="Times New Roman" w:cs="Times New Roman"/>
                <w:sz w:val="24"/>
                <w:szCs w:val="24"/>
              </w:rPr>
            </w:pPr>
          </w:p>
        </w:tc>
        <w:tc>
          <w:tcPr>
            <w:tcW w:w="3021" w:type="dxa"/>
          </w:tcPr>
          <w:p w:rsidR="00D91B82"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R7</w:t>
            </w:r>
          </w:p>
        </w:tc>
      </w:tr>
      <w:tr w:rsidR="00D91B82" w:rsidRPr="00DD16D4" w:rsidTr="00122203">
        <w:trPr>
          <w:trHeight w:val="276"/>
        </w:trPr>
        <w:tc>
          <w:tcPr>
            <w:tcW w:w="3539" w:type="dxa"/>
            <w:vMerge/>
          </w:tcPr>
          <w:p w:rsidR="00D91B82" w:rsidRPr="00D91B82" w:rsidRDefault="00D91B82" w:rsidP="00341159">
            <w:pPr>
              <w:pStyle w:val="Sarakstarindkopa"/>
              <w:ind w:left="0"/>
              <w:jc w:val="both"/>
              <w:rPr>
                <w:rFonts w:ascii="Times New Roman" w:hAnsi="Times New Roman" w:cs="Times New Roman"/>
                <w:sz w:val="24"/>
                <w:szCs w:val="24"/>
              </w:rPr>
            </w:pPr>
          </w:p>
        </w:tc>
        <w:tc>
          <w:tcPr>
            <w:tcW w:w="2501" w:type="dxa"/>
            <w:vMerge/>
          </w:tcPr>
          <w:p w:rsidR="00D91B82" w:rsidRDefault="00D91B82" w:rsidP="00341159">
            <w:pPr>
              <w:pStyle w:val="Sarakstarindkopa"/>
              <w:ind w:left="0"/>
              <w:jc w:val="both"/>
              <w:rPr>
                <w:rFonts w:ascii="Times New Roman" w:hAnsi="Times New Roman" w:cs="Times New Roman"/>
                <w:sz w:val="24"/>
                <w:szCs w:val="24"/>
              </w:rPr>
            </w:pPr>
          </w:p>
        </w:tc>
        <w:tc>
          <w:tcPr>
            <w:tcW w:w="3021" w:type="dxa"/>
          </w:tcPr>
          <w:p w:rsidR="00D91B82"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R8</w:t>
            </w:r>
          </w:p>
        </w:tc>
      </w:tr>
      <w:tr w:rsidR="00215ADD" w:rsidRPr="00DD16D4" w:rsidTr="00122203">
        <w:tc>
          <w:tcPr>
            <w:tcW w:w="3539" w:type="dxa"/>
          </w:tcPr>
          <w:p w:rsidR="00215ADD" w:rsidRPr="00DD16D4" w:rsidRDefault="005D1FA1" w:rsidP="005D1FA1">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Vienota u</w:t>
            </w:r>
            <w:r w:rsidR="00D91B82">
              <w:rPr>
                <w:rFonts w:ascii="Times New Roman" w:hAnsi="Times New Roman" w:cs="Times New Roman"/>
                <w:sz w:val="24"/>
                <w:szCs w:val="24"/>
              </w:rPr>
              <w:t>gunsdrošības un civilās aizsardzības platforma</w:t>
            </w:r>
            <w:r w:rsidR="00122203">
              <w:rPr>
                <w:rFonts w:ascii="Times New Roman" w:hAnsi="Times New Roman" w:cs="Times New Roman"/>
                <w:sz w:val="24"/>
                <w:szCs w:val="24"/>
              </w:rPr>
              <w:t>**</w:t>
            </w:r>
          </w:p>
        </w:tc>
        <w:tc>
          <w:tcPr>
            <w:tcW w:w="2501" w:type="dxa"/>
          </w:tcPr>
          <w:p w:rsidR="00215ADD" w:rsidRPr="00DD16D4" w:rsidRDefault="00122203" w:rsidP="00341159">
            <w:pPr>
              <w:pStyle w:val="Sarakstarindkopa"/>
              <w:ind w:left="0"/>
              <w:jc w:val="both"/>
              <w:rPr>
                <w:rFonts w:ascii="Times New Roman" w:hAnsi="Times New Roman" w:cs="Times New Roman"/>
                <w:sz w:val="24"/>
                <w:szCs w:val="24"/>
              </w:rPr>
            </w:pPr>
            <w:r w:rsidRPr="00122203">
              <w:rPr>
                <w:rFonts w:ascii="Times New Roman" w:hAnsi="Times New Roman" w:cs="Times New Roman"/>
                <w:sz w:val="24"/>
                <w:szCs w:val="24"/>
              </w:rPr>
              <w:t>Jāparedz izstrādājot platformu</w:t>
            </w:r>
          </w:p>
        </w:tc>
        <w:tc>
          <w:tcPr>
            <w:tcW w:w="3021" w:type="dxa"/>
          </w:tcPr>
          <w:p w:rsidR="00215ADD" w:rsidRPr="00DD16D4" w:rsidRDefault="00D91B82"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R9</w:t>
            </w:r>
          </w:p>
        </w:tc>
      </w:tr>
      <w:tr w:rsidR="00215ADD" w:rsidRPr="00DD16D4" w:rsidTr="00122203">
        <w:tc>
          <w:tcPr>
            <w:tcW w:w="3539" w:type="dxa"/>
          </w:tcPr>
          <w:p w:rsidR="00215ADD" w:rsidRPr="00122203" w:rsidRDefault="005D1FA1" w:rsidP="005D1FA1">
            <w:pPr>
              <w:jc w:val="both"/>
              <w:rPr>
                <w:rFonts w:ascii="Times New Roman" w:hAnsi="Times New Roman" w:cs="Times New Roman"/>
                <w:sz w:val="24"/>
                <w:szCs w:val="24"/>
              </w:rPr>
            </w:pPr>
            <w:r>
              <w:rPr>
                <w:rFonts w:ascii="Times New Roman" w:hAnsi="Times New Roman" w:cs="Times New Roman"/>
                <w:sz w:val="24"/>
                <w:szCs w:val="24"/>
              </w:rPr>
              <w:t>Vienota u</w:t>
            </w:r>
            <w:r w:rsidR="00122203" w:rsidRPr="00122203">
              <w:rPr>
                <w:rFonts w:ascii="Times New Roman" w:hAnsi="Times New Roman" w:cs="Times New Roman"/>
                <w:sz w:val="24"/>
                <w:szCs w:val="24"/>
              </w:rPr>
              <w:t>gunsdrošības un civilās aizsardzības platforma</w:t>
            </w:r>
            <w:r w:rsidR="00122203">
              <w:rPr>
                <w:rFonts w:ascii="Times New Roman" w:hAnsi="Times New Roman" w:cs="Times New Roman"/>
                <w:sz w:val="24"/>
                <w:szCs w:val="24"/>
              </w:rPr>
              <w:t xml:space="preserve"> (</w:t>
            </w:r>
            <w:r w:rsidR="00122203" w:rsidRPr="00122203">
              <w:rPr>
                <w:rFonts w:ascii="Times New Roman" w:hAnsi="Times New Roman" w:cs="Times New Roman"/>
                <w:i/>
                <w:sz w:val="24"/>
                <w:szCs w:val="24"/>
              </w:rPr>
              <w:t>u</w:t>
            </w:r>
            <w:r w:rsidR="00B67A23">
              <w:rPr>
                <w:rFonts w:ascii="Times New Roman" w:hAnsi="Times New Roman" w:cs="Times New Roman"/>
                <w:i/>
                <w:sz w:val="24"/>
                <w:szCs w:val="24"/>
              </w:rPr>
              <w:t xml:space="preserve">zraugāmo objektu riska </w:t>
            </w:r>
            <w:r>
              <w:rPr>
                <w:rFonts w:ascii="Times New Roman" w:hAnsi="Times New Roman" w:cs="Times New Roman"/>
                <w:i/>
                <w:sz w:val="24"/>
                <w:szCs w:val="24"/>
              </w:rPr>
              <w:t>analīze</w:t>
            </w:r>
            <w:r w:rsidRPr="00122203">
              <w:rPr>
                <w:rFonts w:ascii="Times New Roman" w:hAnsi="Times New Roman" w:cs="Times New Roman"/>
                <w:i/>
                <w:sz w:val="24"/>
                <w:szCs w:val="24"/>
              </w:rPr>
              <w:t>s</w:t>
            </w:r>
            <w:r w:rsidR="00122203" w:rsidRPr="00122203">
              <w:rPr>
                <w:rFonts w:ascii="Times New Roman" w:hAnsi="Times New Roman" w:cs="Times New Roman"/>
                <w:i/>
                <w:sz w:val="24"/>
                <w:szCs w:val="24"/>
              </w:rPr>
              <w:t xml:space="preserve"> rīks</w:t>
            </w:r>
            <w:r w:rsidR="00122203">
              <w:rPr>
                <w:rFonts w:ascii="Times New Roman" w:hAnsi="Times New Roman" w:cs="Times New Roman"/>
                <w:sz w:val="24"/>
                <w:szCs w:val="24"/>
              </w:rPr>
              <w:t>)**</w:t>
            </w:r>
            <w:r w:rsidR="00122203" w:rsidRPr="00122203">
              <w:rPr>
                <w:rFonts w:ascii="Times New Roman" w:hAnsi="Times New Roman" w:cs="Times New Roman"/>
                <w:sz w:val="24"/>
                <w:szCs w:val="24"/>
              </w:rPr>
              <w:t xml:space="preserve"> </w:t>
            </w:r>
          </w:p>
        </w:tc>
        <w:tc>
          <w:tcPr>
            <w:tcW w:w="2501" w:type="dxa"/>
          </w:tcPr>
          <w:p w:rsidR="00215ADD" w:rsidRPr="00DD16D4" w:rsidRDefault="00122203" w:rsidP="00341159">
            <w:pPr>
              <w:pStyle w:val="Sarakstarindkopa"/>
              <w:ind w:left="0"/>
              <w:jc w:val="both"/>
              <w:rPr>
                <w:rFonts w:ascii="Times New Roman" w:hAnsi="Times New Roman" w:cs="Times New Roman"/>
                <w:sz w:val="24"/>
                <w:szCs w:val="24"/>
              </w:rPr>
            </w:pPr>
            <w:r w:rsidRPr="00122203">
              <w:rPr>
                <w:rFonts w:ascii="Times New Roman" w:hAnsi="Times New Roman" w:cs="Times New Roman"/>
                <w:sz w:val="24"/>
                <w:szCs w:val="24"/>
              </w:rPr>
              <w:t>Jāparedz izstrādājot platformu</w:t>
            </w:r>
          </w:p>
        </w:tc>
        <w:tc>
          <w:tcPr>
            <w:tcW w:w="3021" w:type="dxa"/>
          </w:tcPr>
          <w:p w:rsidR="00215ADD" w:rsidRPr="00DD16D4" w:rsidRDefault="00122203" w:rsidP="00341159">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R10</w:t>
            </w:r>
          </w:p>
        </w:tc>
      </w:tr>
    </w:tbl>
    <w:p w:rsidR="00DD16D4" w:rsidRDefault="00D91B82" w:rsidP="00D91B82">
      <w:pPr>
        <w:pStyle w:val="Sarakstarindkopa"/>
        <w:ind w:left="0"/>
        <w:jc w:val="both"/>
        <w:rPr>
          <w:rFonts w:ascii="Times New Roman" w:hAnsi="Times New Roman" w:cs="Times New Roman"/>
          <w:sz w:val="28"/>
          <w:szCs w:val="28"/>
        </w:rPr>
      </w:pPr>
      <w:r>
        <w:rPr>
          <w:rFonts w:ascii="Times New Roman" w:hAnsi="Times New Roman" w:cs="Times New Roman"/>
          <w:sz w:val="28"/>
          <w:szCs w:val="28"/>
        </w:rPr>
        <w:t>*</w:t>
      </w:r>
      <w:r w:rsidRPr="00D91B82">
        <w:rPr>
          <w:rFonts w:ascii="Times New Roman" w:hAnsi="Times New Roman" w:cs="Times New Roman"/>
          <w:sz w:val="28"/>
          <w:szCs w:val="28"/>
        </w:rPr>
        <w:t>atbalstīt</w:t>
      </w:r>
      <w:r>
        <w:rPr>
          <w:rFonts w:ascii="Times New Roman" w:hAnsi="Times New Roman" w:cs="Times New Roman"/>
          <w:sz w:val="28"/>
          <w:szCs w:val="28"/>
        </w:rPr>
        <w:t>s</w:t>
      </w:r>
      <w:r w:rsidRPr="00D91B82">
        <w:rPr>
          <w:rFonts w:ascii="Times New Roman" w:hAnsi="Times New Roman" w:cs="Times New Roman"/>
          <w:sz w:val="28"/>
          <w:szCs w:val="28"/>
        </w:rPr>
        <w:t xml:space="preserve"> Ministru kabineta 20</w:t>
      </w:r>
      <w:r>
        <w:rPr>
          <w:rFonts w:ascii="Times New Roman" w:hAnsi="Times New Roman" w:cs="Times New Roman"/>
          <w:sz w:val="28"/>
          <w:szCs w:val="28"/>
        </w:rPr>
        <w:t>21.gada 18.februāra sēdē (</w:t>
      </w:r>
      <w:r w:rsidRPr="00D91B82">
        <w:rPr>
          <w:rFonts w:ascii="Times New Roman" w:hAnsi="Times New Roman" w:cs="Times New Roman"/>
          <w:i/>
          <w:sz w:val="28"/>
          <w:szCs w:val="28"/>
        </w:rPr>
        <w:t>prot.Nr.18, 35. §</w:t>
      </w:r>
      <w:r w:rsidRPr="00D91B82">
        <w:rPr>
          <w:rFonts w:ascii="Times New Roman" w:hAnsi="Times New Roman" w:cs="Times New Roman"/>
          <w:sz w:val="28"/>
          <w:szCs w:val="28"/>
        </w:rPr>
        <w:t>)</w:t>
      </w:r>
    </w:p>
    <w:p w:rsidR="00122203" w:rsidRDefault="00122203" w:rsidP="00D91B82">
      <w:pPr>
        <w:pStyle w:val="Sarakstarindkopa"/>
        <w:ind w:left="0"/>
        <w:jc w:val="both"/>
        <w:rPr>
          <w:rFonts w:ascii="Times New Roman" w:hAnsi="Times New Roman" w:cs="Times New Roman"/>
          <w:sz w:val="28"/>
          <w:szCs w:val="28"/>
        </w:rPr>
      </w:pPr>
      <w:r>
        <w:rPr>
          <w:rFonts w:ascii="Times New Roman" w:hAnsi="Times New Roman" w:cs="Times New Roman"/>
          <w:sz w:val="28"/>
          <w:szCs w:val="28"/>
        </w:rPr>
        <w:t>**</w:t>
      </w:r>
      <w:r w:rsidRPr="00122203">
        <w:rPr>
          <w:rFonts w:ascii="Times New Roman" w:hAnsi="Times New Roman" w:cs="Times New Roman"/>
          <w:sz w:val="28"/>
          <w:szCs w:val="28"/>
        </w:rPr>
        <w:t xml:space="preserve">atbalstīts </w:t>
      </w:r>
      <w:r>
        <w:rPr>
          <w:rFonts w:ascii="Times New Roman" w:hAnsi="Times New Roman" w:cs="Times New Roman"/>
          <w:sz w:val="28"/>
          <w:szCs w:val="28"/>
        </w:rPr>
        <w:t xml:space="preserve">Ministru kabineta </w:t>
      </w:r>
      <w:r w:rsidRPr="00122203">
        <w:rPr>
          <w:rFonts w:ascii="Times New Roman" w:hAnsi="Times New Roman" w:cs="Times New Roman"/>
          <w:sz w:val="28"/>
          <w:szCs w:val="28"/>
        </w:rPr>
        <w:t>2020.gada 18.augusta sēdē (</w:t>
      </w:r>
      <w:r w:rsidRPr="00122203">
        <w:rPr>
          <w:rFonts w:ascii="Times New Roman" w:hAnsi="Times New Roman" w:cs="Times New Roman"/>
          <w:i/>
          <w:sz w:val="28"/>
          <w:szCs w:val="28"/>
        </w:rPr>
        <w:t>prot.Nr.49, 37.§</w:t>
      </w:r>
      <w:r w:rsidRPr="00122203">
        <w:rPr>
          <w:rFonts w:ascii="Times New Roman" w:hAnsi="Times New Roman" w:cs="Times New Roman"/>
          <w:sz w:val="28"/>
          <w:szCs w:val="28"/>
        </w:rPr>
        <w:t>)</w:t>
      </w:r>
    </w:p>
    <w:p w:rsidR="00D57C50" w:rsidRDefault="00D57C50" w:rsidP="00DA7A49">
      <w:pPr>
        <w:pStyle w:val="Sarakstarindkopa"/>
        <w:rPr>
          <w:rFonts w:ascii="Times New Roman" w:hAnsi="Times New Roman" w:cs="Times New Roman"/>
          <w:sz w:val="28"/>
          <w:szCs w:val="28"/>
        </w:rPr>
      </w:pPr>
    </w:p>
    <w:p w:rsidR="00D57C50" w:rsidRDefault="00501F35" w:rsidP="00501F35">
      <w:pPr>
        <w:pStyle w:val="Sarakstarindkopa"/>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Ņemot vērā administratīvo teritoriju reformu, kā rezultātā veidosies 7 </w:t>
      </w:r>
      <w:proofErr w:type="spellStart"/>
      <w:r>
        <w:rPr>
          <w:rFonts w:ascii="Times New Roman" w:hAnsi="Times New Roman" w:cs="Times New Roman"/>
          <w:sz w:val="28"/>
          <w:szCs w:val="28"/>
        </w:rPr>
        <w:t>valstspilsētas</w:t>
      </w:r>
      <w:proofErr w:type="spellEnd"/>
      <w:r>
        <w:rPr>
          <w:rFonts w:ascii="Times New Roman" w:hAnsi="Times New Roman" w:cs="Times New Roman"/>
          <w:sz w:val="28"/>
          <w:szCs w:val="28"/>
        </w:rPr>
        <w:t xml:space="preserve"> un 35 novadi, ugunsdrošības </w:t>
      </w:r>
      <w:r w:rsidR="00C6697B">
        <w:rPr>
          <w:rFonts w:ascii="Times New Roman" w:hAnsi="Times New Roman" w:cs="Times New Roman"/>
          <w:sz w:val="28"/>
          <w:szCs w:val="28"/>
        </w:rPr>
        <w:t xml:space="preserve">un civilās aizsardzības </w:t>
      </w:r>
      <w:r>
        <w:rPr>
          <w:rFonts w:ascii="Times New Roman" w:hAnsi="Times New Roman" w:cs="Times New Roman"/>
          <w:sz w:val="28"/>
          <w:szCs w:val="28"/>
        </w:rPr>
        <w:t xml:space="preserve">riska novērtēšanas instrumenta dati </w:t>
      </w:r>
      <w:r w:rsidR="00B04C06">
        <w:rPr>
          <w:rFonts w:ascii="Times New Roman" w:hAnsi="Times New Roman" w:cs="Times New Roman"/>
          <w:sz w:val="28"/>
          <w:szCs w:val="28"/>
        </w:rPr>
        <w:t xml:space="preserve">atsevišķām pašvaldībām </w:t>
      </w:r>
      <w:r>
        <w:rPr>
          <w:rFonts w:ascii="Times New Roman" w:hAnsi="Times New Roman" w:cs="Times New Roman"/>
          <w:sz w:val="28"/>
          <w:szCs w:val="28"/>
        </w:rPr>
        <w:t xml:space="preserve">būs jāpielāgo </w:t>
      </w:r>
      <w:r w:rsidR="00B04C06">
        <w:rPr>
          <w:rFonts w:ascii="Times New Roman" w:hAnsi="Times New Roman" w:cs="Times New Roman"/>
          <w:sz w:val="28"/>
          <w:szCs w:val="28"/>
        </w:rPr>
        <w:t xml:space="preserve">atbilstoši </w:t>
      </w:r>
      <w:r>
        <w:rPr>
          <w:rFonts w:ascii="Times New Roman" w:hAnsi="Times New Roman" w:cs="Times New Roman"/>
          <w:sz w:val="28"/>
          <w:szCs w:val="28"/>
        </w:rPr>
        <w:t>jaunajam iedalījumam</w:t>
      </w:r>
      <w:r w:rsidR="00B04C06">
        <w:rPr>
          <w:rFonts w:ascii="Times New Roman" w:hAnsi="Times New Roman" w:cs="Times New Roman"/>
          <w:sz w:val="28"/>
          <w:szCs w:val="28"/>
        </w:rPr>
        <w:t>, kas būs darāms pie nākamās riska novērtēšanas reizes, jo riska novērtēšana ir jāveic ar noteiktu regularitāti (3-4 gadi)</w:t>
      </w:r>
      <w:r>
        <w:rPr>
          <w:rFonts w:ascii="Times New Roman" w:hAnsi="Times New Roman" w:cs="Times New Roman"/>
          <w:sz w:val="28"/>
          <w:szCs w:val="28"/>
        </w:rPr>
        <w:t>.</w:t>
      </w:r>
      <w:r w:rsidR="00B04C06">
        <w:rPr>
          <w:rFonts w:ascii="Times New Roman" w:hAnsi="Times New Roman" w:cs="Times New Roman"/>
          <w:sz w:val="28"/>
          <w:szCs w:val="28"/>
        </w:rPr>
        <w:t xml:space="preserve"> </w:t>
      </w:r>
    </w:p>
    <w:p w:rsidR="007E5505" w:rsidRPr="00DA7A49" w:rsidRDefault="007E5505" w:rsidP="00DA7A49">
      <w:pPr>
        <w:pStyle w:val="Sarakstarindkopa"/>
        <w:rPr>
          <w:rFonts w:ascii="Times New Roman" w:hAnsi="Times New Roman" w:cs="Times New Roman"/>
          <w:sz w:val="28"/>
          <w:szCs w:val="28"/>
        </w:rPr>
      </w:pPr>
    </w:p>
    <w:p w:rsidR="007E5505" w:rsidRDefault="00DA7A49" w:rsidP="00DA7A49">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Ģ</w:t>
      </w:r>
      <w:r w:rsidRPr="00DA7A49">
        <w:rPr>
          <w:rFonts w:ascii="Times New Roman" w:hAnsi="Times New Roman" w:cs="Times New Roman"/>
          <w:sz w:val="28"/>
          <w:szCs w:val="28"/>
        </w:rPr>
        <w:t xml:space="preserve">eotelpiskās informācijas sistēmas pielāgošanas iespējas ugunsdrošības </w:t>
      </w:r>
      <w:r w:rsidR="00C6697B">
        <w:rPr>
          <w:rFonts w:ascii="Times New Roman" w:hAnsi="Times New Roman" w:cs="Times New Roman"/>
          <w:sz w:val="28"/>
          <w:szCs w:val="28"/>
        </w:rPr>
        <w:t xml:space="preserve">un civilās aizsardzības </w:t>
      </w:r>
      <w:r w:rsidRPr="00DA7A49">
        <w:rPr>
          <w:rFonts w:ascii="Times New Roman" w:hAnsi="Times New Roman" w:cs="Times New Roman"/>
          <w:sz w:val="28"/>
          <w:szCs w:val="28"/>
        </w:rPr>
        <w:t xml:space="preserve">riska </w:t>
      </w:r>
      <w:r>
        <w:rPr>
          <w:rFonts w:ascii="Times New Roman" w:hAnsi="Times New Roman" w:cs="Times New Roman"/>
          <w:sz w:val="28"/>
          <w:szCs w:val="28"/>
        </w:rPr>
        <w:t>novērtēšanas</w:t>
      </w:r>
      <w:r w:rsidRPr="00DA7A49">
        <w:rPr>
          <w:rFonts w:ascii="Times New Roman" w:hAnsi="Times New Roman" w:cs="Times New Roman"/>
          <w:sz w:val="28"/>
          <w:szCs w:val="28"/>
        </w:rPr>
        <w:t xml:space="preserve"> instrumentam.</w:t>
      </w:r>
    </w:p>
    <w:p w:rsidR="008D530B" w:rsidRDefault="00DA7A49" w:rsidP="00B67A23">
      <w:pPr>
        <w:pStyle w:val="Sarakstarindkopa"/>
        <w:ind w:left="0" w:firstLine="709"/>
        <w:jc w:val="both"/>
        <w:rPr>
          <w:rFonts w:ascii="Times New Roman" w:hAnsi="Times New Roman" w:cs="Times New Roman"/>
          <w:sz w:val="28"/>
          <w:szCs w:val="28"/>
        </w:rPr>
      </w:pPr>
      <w:r w:rsidRPr="00DA7A49">
        <w:rPr>
          <w:rFonts w:ascii="Times New Roman" w:hAnsi="Times New Roman" w:cs="Times New Roman"/>
          <w:sz w:val="28"/>
          <w:szCs w:val="28"/>
        </w:rPr>
        <w:t xml:space="preserve"> </w:t>
      </w:r>
      <w:proofErr w:type="spellStart"/>
      <w:r w:rsidR="00AB332A">
        <w:rPr>
          <w:rFonts w:ascii="Times New Roman" w:hAnsi="Times New Roman" w:cs="Times New Roman"/>
          <w:sz w:val="28"/>
          <w:szCs w:val="28"/>
        </w:rPr>
        <w:t>Vizualizācijai</w:t>
      </w:r>
      <w:proofErr w:type="spellEnd"/>
      <w:r w:rsidR="00AB332A">
        <w:rPr>
          <w:rFonts w:ascii="Times New Roman" w:hAnsi="Times New Roman" w:cs="Times New Roman"/>
          <w:sz w:val="28"/>
          <w:szCs w:val="28"/>
        </w:rPr>
        <w:t xml:space="preserve"> un resursu plānošanai nepieciešama risku kartēšana ģeotelpiskās informācijas sistēmā, tajā veidojot vairākus slāņus – riska kategorijas administratīvajām teritorijām (atbilstoši riska novērtēšanas rezultātiem), VUGD struktūrvienību izvietojums, resursu daudzums attiecīgajā VUGD struktūrvienībā. </w:t>
      </w:r>
      <w:r w:rsidR="00AB332A" w:rsidRPr="00AB332A">
        <w:rPr>
          <w:rFonts w:ascii="Times New Roman" w:hAnsi="Times New Roman" w:cs="Times New Roman"/>
          <w:sz w:val="28"/>
          <w:szCs w:val="28"/>
        </w:rPr>
        <w:t>Šis process ir automatizēts.</w:t>
      </w:r>
      <w:r w:rsidR="008D530B">
        <w:rPr>
          <w:rFonts w:ascii="Times New Roman" w:hAnsi="Times New Roman" w:cs="Times New Roman"/>
          <w:sz w:val="28"/>
          <w:szCs w:val="28"/>
        </w:rPr>
        <w:t xml:space="preserve"> </w:t>
      </w:r>
      <w:r w:rsidRPr="00DA7A49">
        <w:rPr>
          <w:rFonts w:ascii="Times New Roman" w:hAnsi="Times New Roman" w:cs="Times New Roman"/>
          <w:sz w:val="28"/>
          <w:szCs w:val="28"/>
        </w:rPr>
        <w:t xml:space="preserve"> </w:t>
      </w:r>
      <w:r w:rsidR="008D530B">
        <w:rPr>
          <w:rFonts w:ascii="Times New Roman" w:hAnsi="Times New Roman" w:cs="Times New Roman"/>
          <w:sz w:val="28"/>
          <w:szCs w:val="28"/>
        </w:rPr>
        <w:t xml:space="preserve">Dati ir jāintegrē no </w:t>
      </w:r>
      <w:r w:rsidR="008D530B" w:rsidRPr="008D530B">
        <w:rPr>
          <w:rFonts w:ascii="Times New Roman" w:hAnsi="Times New Roman" w:cs="Times New Roman"/>
          <w:sz w:val="28"/>
          <w:szCs w:val="28"/>
        </w:rPr>
        <w:t>Vienota kontaktu centra platforma</w:t>
      </w:r>
      <w:r w:rsidR="008D530B">
        <w:rPr>
          <w:rFonts w:ascii="Times New Roman" w:hAnsi="Times New Roman" w:cs="Times New Roman"/>
          <w:sz w:val="28"/>
          <w:szCs w:val="28"/>
        </w:rPr>
        <w:t xml:space="preserve">s. </w:t>
      </w:r>
    </w:p>
    <w:p w:rsidR="00DA7A49" w:rsidRDefault="008D530B" w:rsidP="00A76F34">
      <w:pPr>
        <w:pStyle w:val="Sarakstarindkopa"/>
        <w:ind w:left="0" w:firstLine="709"/>
        <w:jc w:val="both"/>
        <w:rPr>
          <w:rFonts w:ascii="Times New Roman" w:hAnsi="Times New Roman" w:cs="Times New Roman"/>
          <w:sz w:val="28"/>
          <w:szCs w:val="28"/>
        </w:rPr>
      </w:pPr>
      <w:r>
        <w:rPr>
          <w:rFonts w:ascii="Times New Roman" w:hAnsi="Times New Roman" w:cs="Times New Roman"/>
          <w:sz w:val="28"/>
          <w:szCs w:val="28"/>
        </w:rPr>
        <w:t xml:space="preserve">Vienlaikus </w:t>
      </w:r>
      <w:r w:rsidR="00DE2A4C">
        <w:rPr>
          <w:rFonts w:ascii="Times New Roman" w:hAnsi="Times New Roman" w:cs="Times New Roman"/>
          <w:sz w:val="28"/>
          <w:szCs w:val="28"/>
        </w:rPr>
        <w:t>i</w:t>
      </w:r>
      <w:r w:rsidR="00C443EB" w:rsidRPr="00C443EB">
        <w:rPr>
          <w:rFonts w:ascii="Times New Roman" w:hAnsi="Times New Roman" w:cs="Times New Roman"/>
          <w:sz w:val="28"/>
          <w:szCs w:val="28"/>
        </w:rPr>
        <w:t xml:space="preserve">zmantojot </w:t>
      </w:r>
      <w:r w:rsidR="00DE2A4C">
        <w:rPr>
          <w:rFonts w:ascii="Times New Roman" w:hAnsi="Times New Roman" w:cs="Times New Roman"/>
          <w:sz w:val="28"/>
          <w:szCs w:val="28"/>
        </w:rPr>
        <w:t>VUGD struktūrvienību</w:t>
      </w:r>
      <w:r w:rsidR="00C443EB" w:rsidRPr="00C443EB">
        <w:rPr>
          <w:rFonts w:ascii="Times New Roman" w:hAnsi="Times New Roman" w:cs="Times New Roman"/>
          <w:sz w:val="28"/>
          <w:szCs w:val="28"/>
        </w:rPr>
        <w:t xml:space="preserve"> un iel</w:t>
      </w:r>
      <w:r w:rsidR="003E4A07">
        <w:rPr>
          <w:rFonts w:ascii="Times New Roman" w:hAnsi="Times New Roman" w:cs="Times New Roman"/>
          <w:sz w:val="28"/>
          <w:szCs w:val="28"/>
        </w:rPr>
        <w:t>u</w:t>
      </w:r>
      <w:r w:rsidR="00DE2A4C">
        <w:rPr>
          <w:rFonts w:ascii="Times New Roman" w:hAnsi="Times New Roman" w:cs="Times New Roman"/>
          <w:sz w:val="28"/>
          <w:szCs w:val="28"/>
        </w:rPr>
        <w:t xml:space="preserve"> (ceļu)</w:t>
      </w:r>
      <w:r w:rsidR="00C443EB" w:rsidRPr="00C443EB">
        <w:rPr>
          <w:rFonts w:ascii="Times New Roman" w:hAnsi="Times New Roman" w:cs="Times New Roman"/>
          <w:sz w:val="28"/>
          <w:szCs w:val="28"/>
        </w:rPr>
        <w:t xml:space="preserve"> slāni, </w:t>
      </w:r>
      <w:r w:rsidR="00A76F34">
        <w:rPr>
          <w:rFonts w:ascii="Times New Roman" w:hAnsi="Times New Roman" w:cs="Times New Roman"/>
          <w:sz w:val="28"/>
          <w:szCs w:val="28"/>
        </w:rPr>
        <w:t>iedzīvotāju blīvumu</w:t>
      </w:r>
      <w:r w:rsidR="00182FA1">
        <w:rPr>
          <w:rFonts w:ascii="Times New Roman" w:hAnsi="Times New Roman" w:cs="Times New Roman"/>
          <w:sz w:val="28"/>
          <w:szCs w:val="28"/>
        </w:rPr>
        <w:t xml:space="preserve"> (</w:t>
      </w:r>
      <w:r w:rsidR="00182FA1" w:rsidRPr="00182FA1">
        <w:rPr>
          <w:rFonts w:ascii="Times New Roman" w:hAnsi="Times New Roman" w:cs="Times New Roman"/>
          <w:i/>
          <w:sz w:val="28"/>
          <w:szCs w:val="28"/>
        </w:rPr>
        <w:t xml:space="preserve">uz </w:t>
      </w:r>
      <w:r w:rsidR="00182FA1">
        <w:rPr>
          <w:rFonts w:ascii="Times New Roman" w:hAnsi="Times New Roman" w:cs="Times New Roman"/>
          <w:i/>
          <w:sz w:val="28"/>
          <w:szCs w:val="28"/>
        </w:rPr>
        <w:t xml:space="preserve">katru </w:t>
      </w:r>
      <w:r w:rsidR="00182FA1" w:rsidRPr="00182FA1">
        <w:rPr>
          <w:rFonts w:ascii="Times New Roman" w:hAnsi="Times New Roman" w:cs="Times New Roman"/>
          <w:i/>
          <w:sz w:val="28"/>
          <w:szCs w:val="28"/>
        </w:rPr>
        <w:t>km</w:t>
      </w:r>
      <w:r w:rsidR="00182FA1" w:rsidRPr="00182FA1">
        <w:rPr>
          <w:rFonts w:ascii="Times New Roman" w:hAnsi="Times New Roman" w:cs="Times New Roman"/>
          <w:i/>
          <w:sz w:val="28"/>
          <w:szCs w:val="28"/>
          <w:vertAlign w:val="superscript"/>
        </w:rPr>
        <w:t>2</w:t>
      </w:r>
      <w:r w:rsidR="00182FA1">
        <w:rPr>
          <w:rFonts w:ascii="Times New Roman" w:hAnsi="Times New Roman" w:cs="Times New Roman"/>
          <w:sz w:val="28"/>
          <w:szCs w:val="28"/>
        </w:rPr>
        <w:t>)</w:t>
      </w:r>
      <w:r w:rsidR="003E4A07">
        <w:rPr>
          <w:rFonts w:ascii="Times New Roman" w:hAnsi="Times New Roman" w:cs="Times New Roman"/>
          <w:sz w:val="28"/>
          <w:szCs w:val="28"/>
        </w:rPr>
        <w:t>,</w:t>
      </w:r>
      <w:r w:rsidR="00A76F34">
        <w:rPr>
          <w:rFonts w:ascii="Times New Roman" w:hAnsi="Times New Roman" w:cs="Times New Roman"/>
          <w:sz w:val="28"/>
          <w:szCs w:val="28"/>
        </w:rPr>
        <w:t xml:space="preserve"> </w:t>
      </w:r>
      <w:r w:rsidR="00DE2A4C">
        <w:rPr>
          <w:rFonts w:ascii="Times New Roman" w:hAnsi="Times New Roman" w:cs="Times New Roman"/>
          <w:sz w:val="28"/>
          <w:szCs w:val="28"/>
        </w:rPr>
        <w:t>nepieciešams</w:t>
      </w:r>
      <w:r w:rsidR="00A76F34">
        <w:rPr>
          <w:rFonts w:ascii="Times New Roman" w:hAnsi="Times New Roman" w:cs="Times New Roman"/>
          <w:sz w:val="28"/>
          <w:szCs w:val="28"/>
        </w:rPr>
        <w:t xml:space="preserve"> veikt reaģēšanas laika analīzi. </w:t>
      </w:r>
      <w:r w:rsidR="00C443EB" w:rsidRPr="00A76F34">
        <w:rPr>
          <w:rFonts w:ascii="Times New Roman" w:hAnsi="Times New Roman" w:cs="Times New Roman"/>
          <w:sz w:val="28"/>
          <w:szCs w:val="28"/>
        </w:rPr>
        <w:t xml:space="preserve">Rezultāts tiks rādīts ar neregulāru daudzstūri ap </w:t>
      </w:r>
      <w:r w:rsidR="003E4A07">
        <w:rPr>
          <w:rFonts w:ascii="Times New Roman" w:hAnsi="Times New Roman" w:cs="Times New Roman"/>
          <w:sz w:val="28"/>
          <w:szCs w:val="28"/>
        </w:rPr>
        <w:t>VUGD struktūrvienību</w:t>
      </w:r>
      <w:r w:rsidR="00A76F34">
        <w:rPr>
          <w:rFonts w:ascii="Times New Roman" w:hAnsi="Times New Roman" w:cs="Times New Roman"/>
          <w:sz w:val="28"/>
          <w:szCs w:val="28"/>
        </w:rPr>
        <w:t xml:space="preserve"> </w:t>
      </w:r>
      <w:r w:rsidR="00C443EB" w:rsidRPr="00A76F34">
        <w:rPr>
          <w:rFonts w:ascii="Times New Roman" w:hAnsi="Times New Roman" w:cs="Times New Roman"/>
          <w:sz w:val="28"/>
          <w:szCs w:val="28"/>
        </w:rPr>
        <w:t xml:space="preserve">kas parāda, kur ugunsdzēsības </w:t>
      </w:r>
      <w:proofErr w:type="spellStart"/>
      <w:r w:rsidR="003E4A07">
        <w:rPr>
          <w:rFonts w:ascii="Times New Roman" w:hAnsi="Times New Roman" w:cs="Times New Roman"/>
          <w:sz w:val="28"/>
          <w:szCs w:val="28"/>
        </w:rPr>
        <w:t>pamatautomobīlis</w:t>
      </w:r>
      <w:proofErr w:type="spellEnd"/>
      <w:r w:rsidR="00182FA1">
        <w:rPr>
          <w:rFonts w:ascii="Times New Roman" w:hAnsi="Times New Roman" w:cs="Times New Roman"/>
          <w:sz w:val="28"/>
          <w:szCs w:val="28"/>
        </w:rPr>
        <w:t xml:space="preserve"> vai speciālais </w:t>
      </w:r>
      <w:proofErr w:type="spellStart"/>
      <w:r w:rsidR="00182FA1">
        <w:rPr>
          <w:rFonts w:ascii="Times New Roman" w:hAnsi="Times New Roman" w:cs="Times New Roman"/>
          <w:sz w:val="28"/>
          <w:szCs w:val="28"/>
        </w:rPr>
        <w:t>automobīlis</w:t>
      </w:r>
      <w:proofErr w:type="spellEnd"/>
      <w:r w:rsidR="00C443EB" w:rsidRPr="00A76F34">
        <w:rPr>
          <w:rFonts w:ascii="Times New Roman" w:hAnsi="Times New Roman" w:cs="Times New Roman"/>
          <w:sz w:val="28"/>
          <w:szCs w:val="28"/>
        </w:rPr>
        <w:t xml:space="preserve"> varētu pārvietot</w:t>
      </w:r>
      <w:r w:rsidR="003E4A07">
        <w:rPr>
          <w:rFonts w:ascii="Times New Roman" w:hAnsi="Times New Roman" w:cs="Times New Roman"/>
          <w:sz w:val="28"/>
          <w:szCs w:val="28"/>
        </w:rPr>
        <w:t>ies jebkurā virzienā norādītajā</w:t>
      </w:r>
      <w:r w:rsidR="00A76F34">
        <w:rPr>
          <w:rFonts w:ascii="Times New Roman" w:hAnsi="Times New Roman" w:cs="Times New Roman"/>
          <w:sz w:val="28"/>
          <w:szCs w:val="28"/>
        </w:rPr>
        <w:t xml:space="preserve"> </w:t>
      </w:r>
      <w:r w:rsidR="003E4A07">
        <w:rPr>
          <w:rFonts w:ascii="Times New Roman" w:hAnsi="Times New Roman" w:cs="Times New Roman"/>
          <w:sz w:val="28"/>
          <w:szCs w:val="28"/>
        </w:rPr>
        <w:t>laikā</w:t>
      </w:r>
      <w:r w:rsidR="00C443EB" w:rsidRPr="00A76F34">
        <w:rPr>
          <w:rFonts w:ascii="Times New Roman" w:hAnsi="Times New Roman" w:cs="Times New Roman"/>
          <w:sz w:val="28"/>
          <w:szCs w:val="28"/>
        </w:rPr>
        <w:t>. Šāda veida analīz</w:t>
      </w:r>
      <w:r w:rsidR="003E4A07">
        <w:rPr>
          <w:rFonts w:ascii="Times New Roman" w:hAnsi="Times New Roman" w:cs="Times New Roman"/>
          <w:sz w:val="28"/>
          <w:szCs w:val="28"/>
        </w:rPr>
        <w:t>e</w:t>
      </w:r>
      <w:r w:rsidR="00C443EB" w:rsidRPr="00A76F34">
        <w:rPr>
          <w:rFonts w:ascii="Times New Roman" w:hAnsi="Times New Roman" w:cs="Times New Roman"/>
          <w:sz w:val="28"/>
          <w:szCs w:val="28"/>
        </w:rPr>
        <w:t xml:space="preserve"> </w:t>
      </w:r>
      <w:r w:rsidR="003E4A07">
        <w:rPr>
          <w:rFonts w:ascii="Times New Roman" w:hAnsi="Times New Roman" w:cs="Times New Roman"/>
          <w:sz w:val="28"/>
          <w:szCs w:val="28"/>
        </w:rPr>
        <w:t>tiks</w:t>
      </w:r>
      <w:r w:rsidR="00C443EB" w:rsidRPr="00A76F34">
        <w:rPr>
          <w:rFonts w:ascii="Times New Roman" w:hAnsi="Times New Roman" w:cs="Times New Roman"/>
          <w:sz w:val="28"/>
          <w:szCs w:val="28"/>
        </w:rPr>
        <w:t xml:space="preserve"> veikt</w:t>
      </w:r>
      <w:r w:rsidR="003E4A07">
        <w:rPr>
          <w:rFonts w:ascii="Times New Roman" w:hAnsi="Times New Roman" w:cs="Times New Roman"/>
          <w:sz w:val="28"/>
          <w:szCs w:val="28"/>
        </w:rPr>
        <w:t>a</w:t>
      </w:r>
      <w:r w:rsidR="00C443EB" w:rsidRPr="00A76F34">
        <w:rPr>
          <w:rFonts w:ascii="Times New Roman" w:hAnsi="Times New Roman" w:cs="Times New Roman"/>
          <w:sz w:val="28"/>
          <w:szCs w:val="28"/>
        </w:rPr>
        <w:t xml:space="preserve"> vien</w:t>
      </w:r>
      <w:r w:rsidR="003E4A07">
        <w:rPr>
          <w:rFonts w:ascii="Times New Roman" w:hAnsi="Times New Roman" w:cs="Times New Roman"/>
          <w:sz w:val="28"/>
          <w:szCs w:val="28"/>
        </w:rPr>
        <w:t>ai</w:t>
      </w:r>
      <w:r w:rsidR="00C443EB" w:rsidRPr="00A76F34">
        <w:rPr>
          <w:rFonts w:ascii="Times New Roman" w:hAnsi="Times New Roman" w:cs="Times New Roman"/>
          <w:sz w:val="28"/>
          <w:szCs w:val="28"/>
        </w:rPr>
        <w:t xml:space="preserve"> </w:t>
      </w:r>
      <w:r w:rsidR="003E4A07">
        <w:rPr>
          <w:rFonts w:ascii="Times New Roman" w:hAnsi="Times New Roman" w:cs="Times New Roman"/>
          <w:sz w:val="28"/>
          <w:szCs w:val="28"/>
        </w:rPr>
        <w:t>struktūrvienībai</w:t>
      </w:r>
      <w:r w:rsidR="00C443EB" w:rsidRPr="00A76F34">
        <w:rPr>
          <w:rFonts w:ascii="Times New Roman" w:hAnsi="Times New Roman" w:cs="Times New Roman"/>
          <w:sz w:val="28"/>
          <w:szCs w:val="28"/>
        </w:rPr>
        <w:t xml:space="preserve"> vai vienlaikus visā</w:t>
      </w:r>
      <w:r w:rsidR="003E4A07">
        <w:rPr>
          <w:rFonts w:ascii="Times New Roman" w:hAnsi="Times New Roman" w:cs="Times New Roman"/>
          <w:sz w:val="28"/>
          <w:szCs w:val="28"/>
        </w:rPr>
        <w:t>m</w:t>
      </w:r>
      <w:r w:rsidR="00A76F34">
        <w:rPr>
          <w:rFonts w:ascii="Times New Roman" w:hAnsi="Times New Roman" w:cs="Times New Roman"/>
          <w:sz w:val="28"/>
          <w:szCs w:val="28"/>
        </w:rPr>
        <w:t xml:space="preserve"> </w:t>
      </w:r>
      <w:r w:rsidR="003E4A07">
        <w:rPr>
          <w:rFonts w:ascii="Times New Roman" w:hAnsi="Times New Roman" w:cs="Times New Roman"/>
          <w:sz w:val="28"/>
          <w:szCs w:val="28"/>
        </w:rPr>
        <w:t>struktūrvienībām</w:t>
      </w:r>
      <w:r w:rsidR="00C443EB" w:rsidRPr="00C443EB">
        <w:rPr>
          <w:rFonts w:ascii="Times New Roman" w:hAnsi="Times New Roman" w:cs="Times New Roman"/>
          <w:sz w:val="28"/>
          <w:szCs w:val="28"/>
        </w:rPr>
        <w:t>, lai analizētu pārklājuma nepilnības, izv</w:t>
      </w:r>
      <w:r w:rsidR="003E4A07">
        <w:rPr>
          <w:rFonts w:ascii="Times New Roman" w:hAnsi="Times New Roman" w:cs="Times New Roman"/>
          <w:sz w:val="28"/>
          <w:szCs w:val="28"/>
        </w:rPr>
        <w:t>ietotu</w:t>
      </w:r>
      <w:r w:rsidR="00C443EB" w:rsidRPr="00C443EB">
        <w:rPr>
          <w:rFonts w:ascii="Times New Roman" w:hAnsi="Times New Roman" w:cs="Times New Roman"/>
          <w:sz w:val="28"/>
          <w:szCs w:val="28"/>
        </w:rPr>
        <w:t xml:space="preserve"> </w:t>
      </w:r>
      <w:r w:rsidR="003E4A07">
        <w:rPr>
          <w:rFonts w:ascii="Times New Roman" w:hAnsi="Times New Roman" w:cs="Times New Roman"/>
          <w:sz w:val="28"/>
          <w:szCs w:val="28"/>
        </w:rPr>
        <w:t>resursus atbilstoši riska novērtējumam utt.</w:t>
      </w:r>
      <w:r w:rsidR="00C443EB" w:rsidRPr="00C443EB">
        <w:rPr>
          <w:rFonts w:ascii="Times New Roman" w:hAnsi="Times New Roman" w:cs="Times New Roman"/>
          <w:sz w:val="28"/>
          <w:szCs w:val="28"/>
        </w:rPr>
        <w:t>.</w:t>
      </w:r>
      <w:r w:rsidR="00182FA1">
        <w:rPr>
          <w:rFonts w:ascii="Times New Roman" w:hAnsi="Times New Roman" w:cs="Times New Roman"/>
          <w:sz w:val="28"/>
          <w:szCs w:val="28"/>
        </w:rPr>
        <w:t xml:space="preserve"> Šis process ir automatizēts</w:t>
      </w:r>
      <w:r w:rsidR="00F83CE1">
        <w:rPr>
          <w:rFonts w:ascii="Times New Roman" w:hAnsi="Times New Roman" w:cs="Times New Roman"/>
          <w:sz w:val="28"/>
          <w:szCs w:val="28"/>
        </w:rPr>
        <w:t xml:space="preserve">. Dati ir jāintegrē no </w:t>
      </w:r>
      <w:r w:rsidR="00F83CE1" w:rsidRPr="00F83CE1">
        <w:rPr>
          <w:rFonts w:ascii="Times New Roman" w:hAnsi="Times New Roman" w:cs="Times New Roman"/>
          <w:sz w:val="28"/>
          <w:szCs w:val="28"/>
        </w:rPr>
        <w:t>Vienota kontaktu centra platformas</w:t>
      </w:r>
      <w:r w:rsidR="00F83CE1">
        <w:rPr>
          <w:rFonts w:ascii="Times New Roman" w:hAnsi="Times New Roman" w:cs="Times New Roman"/>
          <w:sz w:val="28"/>
          <w:szCs w:val="28"/>
        </w:rPr>
        <w:t xml:space="preserve"> un citiem </w:t>
      </w:r>
      <w:proofErr w:type="spellStart"/>
      <w:r w:rsidR="00F83CE1">
        <w:rPr>
          <w:rFonts w:ascii="Times New Roman" w:hAnsi="Times New Roman" w:cs="Times New Roman"/>
          <w:sz w:val="28"/>
          <w:szCs w:val="28"/>
        </w:rPr>
        <w:t>ArcGIS</w:t>
      </w:r>
      <w:proofErr w:type="spellEnd"/>
      <w:r w:rsidR="00F83CE1">
        <w:rPr>
          <w:rFonts w:ascii="Times New Roman" w:hAnsi="Times New Roman" w:cs="Times New Roman"/>
          <w:sz w:val="28"/>
          <w:szCs w:val="28"/>
        </w:rPr>
        <w:t xml:space="preserve"> slāņiem.</w:t>
      </w:r>
      <w:r>
        <w:rPr>
          <w:rFonts w:ascii="Times New Roman" w:hAnsi="Times New Roman" w:cs="Times New Roman"/>
          <w:sz w:val="28"/>
          <w:szCs w:val="28"/>
        </w:rPr>
        <w:t xml:space="preserve"> </w:t>
      </w:r>
    </w:p>
    <w:p w:rsidR="00C6697B" w:rsidRDefault="003E4A07" w:rsidP="003E4A07">
      <w:pPr>
        <w:pStyle w:val="Sarakstarindkopa"/>
        <w:tabs>
          <w:tab w:val="left" w:pos="1276"/>
        </w:tabs>
        <w:ind w:left="709"/>
        <w:jc w:val="center"/>
        <w:rPr>
          <w:rFonts w:ascii="Times New Roman" w:hAnsi="Times New Roman" w:cs="Times New Roman"/>
          <w:sz w:val="28"/>
          <w:szCs w:val="28"/>
        </w:rPr>
      </w:pPr>
      <w:r>
        <w:rPr>
          <w:rFonts w:ascii="Times New Roman" w:hAnsi="Times New Roman" w:cs="Times New Roman"/>
          <w:noProof/>
          <w:sz w:val="28"/>
          <w:szCs w:val="28"/>
          <w:lang w:eastAsia="lv-LV"/>
        </w:rPr>
        <w:drawing>
          <wp:inline distT="0" distB="0" distL="0" distR="0">
            <wp:extent cx="3459480" cy="3579693"/>
            <wp:effectExtent l="0" t="0" r="7620"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png"/>
                    <pic:cNvPicPr/>
                  </pic:nvPicPr>
                  <pic:blipFill>
                    <a:blip r:embed="rId8">
                      <a:extLst>
                        <a:ext uri="{28A0092B-C50C-407E-A947-70E740481C1C}">
                          <a14:useLocalDpi xmlns:a14="http://schemas.microsoft.com/office/drawing/2010/main" val="0"/>
                        </a:ext>
                      </a:extLst>
                    </a:blip>
                    <a:stretch>
                      <a:fillRect/>
                    </a:stretch>
                  </pic:blipFill>
                  <pic:spPr>
                    <a:xfrm>
                      <a:off x="0" y="0"/>
                      <a:ext cx="3475725" cy="3596503"/>
                    </a:xfrm>
                    <a:prstGeom prst="rect">
                      <a:avLst/>
                    </a:prstGeom>
                  </pic:spPr>
                </pic:pic>
              </a:graphicData>
            </a:graphic>
          </wp:inline>
        </w:drawing>
      </w:r>
    </w:p>
    <w:p w:rsidR="003E4A07" w:rsidRPr="003E4A07" w:rsidRDefault="003E4A07" w:rsidP="003E4A07">
      <w:pPr>
        <w:pStyle w:val="Sarakstarindkopa"/>
        <w:tabs>
          <w:tab w:val="left" w:pos="1276"/>
        </w:tabs>
        <w:ind w:left="709"/>
        <w:jc w:val="center"/>
        <w:rPr>
          <w:rFonts w:ascii="Times New Roman" w:hAnsi="Times New Roman" w:cs="Times New Roman"/>
          <w:b/>
          <w:sz w:val="20"/>
          <w:szCs w:val="20"/>
        </w:rPr>
      </w:pPr>
      <w:r w:rsidRPr="003E4A07">
        <w:rPr>
          <w:rFonts w:ascii="Times New Roman" w:hAnsi="Times New Roman" w:cs="Times New Roman"/>
          <w:b/>
          <w:sz w:val="20"/>
          <w:szCs w:val="20"/>
        </w:rPr>
        <w:t>ĢIS analīze lai noteiktu reaģēšanas laiku un plānotu resursu izvietojumu</w:t>
      </w:r>
    </w:p>
    <w:p w:rsidR="003E4A07" w:rsidRDefault="003E4A07" w:rsidP="003E4A07">
      <w:pPr>
        <w:pStyle w:val="Sarakstarindkopa"/>
        <w:tabs>
          <w:tab w:val="left" w:pos="1276"/>
        </w:tabs>
        <w:ind w:left="709"/>
        <w:jc w:val="center"/>
        <w:rPr>
          <w:rFonts w:ascii="Times New Roman" w:hAnsi="Times New Roman" w:cs="Times New Roman"/>
          <w:sz w:val="28"/>
          <w:szCs w:val="28"/>
        </w:rPr>
      </w:pPr>
    </w:p>
    <w:p w:rsidR="007E5505" w:rsidRDefault="007E5505" w:rsidP="00DA7A49">
      <w:pPr>
        <w:pStyle w:val="Sarakstarindkopa"/>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Resursu plānošanas vadlīnijas.</w:t>
      </w:r>
    </w:p>
    <w:p w:rsidR="00DA7A49" w:rsidRDefault="00001D35" w:rsidP="003C5BE6">
      <w:pPr>
        <w:pStyle w:val="Sarakstarindkopa"/>
        <w:ind w:left="0" w:firstLine="709"/>
        <w:jc w:val="both"/>
        <w:rPr>
          <w:rFonts w:ascii="Times New Roman" w:hAnsi="Times New Roman" w:cs="Times New Roman"/>
          <w:sz w:val="28"/>
          <w:szCs w:val="28"/>
        </w:rPr>
      </w:pPr>
      <w:r>
        <w:rPr>
          <w:rFonts w:ascii="Times New Roman" w:hAnsi="Times New Roman" w:cs="Times New Roman"/>
          <w:sz w:val="28"/>
          <w:szCs w:val="28"/>
        </w:rPr>
        <w:t xml:space="preserve">Resursu plānošanas vadlīnijas ir noteiktas </w:t>
      </w:r>
      <w:r w:rsidR="004F0DCA" w:rsidRPr="004F0DCA">
        <w:rPr>
          <w:rFonts w:ascii="Times New Roman" w:hAnsi="Times New Roman" w:cs="Times New Roman"/>
          <w:color w:val="000000" w:themeColor="text1"/>
          <w:sz w:val="28"/>
          <w:szCs w:val="28"/>
        </w:rPr>
        <w:t>3</w:t>
      </w:r>
      <w:r w:rsidRPr="004F0DCA">
        <w:rPr>
          <w:rFonts w:ascii="Times New Roman" w:hAnsi="Times New Roman" w:cs="Times New Roman"/>
          <w:color w:val="000000" w:themeColor="text1"/>
          <w:sz w:val="28"/>
          <w:szCs w:val="28"/>
        </w:rPr>
        <w:t>.pielikumā</w:t>
      </w:r>
      <w:r w:rsidR="00164958">
        <w:rPr>
          <w:rFonts w:ascii="Times New Roman" w:hAnsi="Times New Roman" w:cs="Times New Roman"/>
          <w:sz w:val="28"/>
          <w:szCs w:val="28"/>
        </w:rPr>
        <w:t>. I</w:t>
      </w:r>
      <w:r>
        <w:rPr>
          <w:rFonts w:ascii="Times New Roman" w:hAnsi="Times New Roman" w:cs="Times New Roman"/>
          <w:sz w:val="28"/>
          <w:szCs w:val="28"/>
        </w:rPr>
        <w:t xml:space="preserve">zmantojot </w:t>
      </w:r>
      <w:r w:rsidR="00164958">
        <w:rPr>
          <w:rFonts w:ascii="Times New Roman" w:hAnsi="Times New Roman" w:cs="Times New Roman"/>
          <w:sz w:val="28"/>
          <w:szCs w:val="28"/>
        </w:rPr>
        <w:t xml:space="preserve">vadlīnijas </w:t>
      </w:r>
      <w:r>
        <w:rPr>
          <w:rFonts w:ascii="Times New Roman" w:hAnsi="Times New Roman" w:cs="Times New Roman"/>
          <w:sz w:val="28"/>
          <w:szCs w:val="28"/>
        </w:rPr>
        <w:t>kopā ar ģeotelpiskās informācijas sistēmu tiek plānoti resursi attiecīgajai riska kategorijai.</w:t>
      </w:r>
    </w:p>
    <w:p w:rsidR="00F16118" w:rsidRDefault="00F16118" w:rsidP="003C5BE6">
      <w:pPr>
        <w:pStyle w:val="Sarakstarindkopa"/>
        <w:ind w:left="0" w:firstLine="709"/>
        <w:jc w:val="both"/>
        <w:rPr>
          <w:rFonts w:ascii="Times New Roman" w:hAnsi="Times New Roman" w:cs="Times New Roman"/>
          <w:sz w:val="28"/>
          <w:szCs w:val="28"/>
        </w:rPr>
      </w:pPr>
    </w:p>
    <w:p w:rsidR="006316FD" w:rsidRPr="003C5BE6" w:rsidRDefault="006316FD" w:rsidP="006316FD">
      <w:pPr>
        <w:pStyle w:val="Sarakstarindkopa"/>
        <w:numPr>
          <w:ilvl w:val="1"/>
          <w:numId w:val="1"/>
        </w:numPr>
        <w:tabs>
          <w:tab w:val="left" w:pos="1276"/>
        </w:tabs>
        <w:ind w:left="0" w:firstLine="709"/>
        <w:jc w:val="both"/>
        <w:rPr>
          <w:rFonts w:ascii="Times New Roman" w:hAnsi="Times New Roman" w:cs="Times New Roman"/>
          <w:sz w:val="28"/>
          <w:szCs w:val="28"/>
        </w:rPr>
      </w:pPr>
      <w:r w:rsidRPr="006316FD">
        <w:rPr>
          <w:rFonts w:ascii="Times New Roman" w:hAnsi="Times New Roman" w:cs="Times New Roman"/>
          <w:sz w:val="28"/>
          <w:szCs w:val="28"/>
        </w:rPr>
        <w:t>Ugunsdrošības un civilās aizsardzības riska novērtēšanas instrumenta procesa shēma</w:t>
      </w:r>
      <w:r w:rsidR="008E7328">
        <w:rPr>
          <w:rFonts w:ascii="Times New Roman" w:hAnsi="Times New Roman" w:cs="Times New Roman"/>
          <w:sz w:val="28"/>
          <w:szCs w:val="28"/>
        </w:rPr>
        <w:t>.</w:t>
      </w:r>
    </w:p>
    <w:p w:rsidR="00103BB3" w:rsidRDefault="006316FD" w:rsidP="003C5BE6">
      <w:pPr>
        <w:pStyle w:val="Sarakstarindkopa"/>
        <w:spacing w:after="0" w:line="240" w:lineRule="auto"/>
        <w:ind w:left="-1134"/>
        <w:jc w:val="both"/>
        <w:rPr>
          <w:rFonts w:ascii="Times New Roman" w:hAnsi="Times New Roman" w:cs="Times New Roman"/>
          <w:sz w:val="28"/>
          <w:szCs w:val="28"/>
        </w:rPr>
      </w:pPr>
      <w:r w:rsidRPr="006316FD">
        <w:rPr>
          <w:rFonts w:ascii="Times New Roman" w:hAnsi="Times New Roman" w:cs="Times New Roman"/>
          <w:noProof/>
          <w:sz w:val="28"/>
          <w:szCs w:val="28"/>
          <w:lang w:eastAsia="lv-LV"/>
        </w:rPr>
        <w:drawing>
          <wp:inline distT="0" distB="0" distL="0" distR="0" wp14:anchorId="0142B2D3" wp14:editId="1310605A">
            <wp:extent cx="6888480" cy="4301978"/>
            <wp:effectExtent l="0" t="0" r="762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07037" cy="4313567"/>
                    </a:xfrm>
                    <a:prstGeom prst="rect">
                      <a:avLst/>
                    </a:prstGeom>
                  </pic:spPr>
                </pic:pic>
              </a:graphicData>
            </a:graphic>
          </wp:inline>
        </w:drawing>
      </w:r>
    </w:p>
    <w:p w:rsidR="00745C34" w:rsidRDefault="003C5BE6" w:rsidP="00745C34">
      <w:pPr>
        <w:pStyle w:val="Sarakstarindkopa"/>
        <w:ind w:left="0" w:firstLine="709"/>
        <w:jc w:val="center"/>
        <w:rPr>
          <w:rFonts w:ascii="Times New Roman" w:hAnsi="Times New Roman" w:cs="Times New Roman"/>
          <w:b/>
          <w:sz w:val="20"/>
          <w:szCs w:val="20"/>
        </w:rPr>
      </w:pPr>
      <w:r w:rsidRPr="006316FD">
        <w:rPr>
          <w:rFonts w:ascii="Times New Roman" w:hAnsi="Times New Roman" w:cs="Times New Roman"/>
          <w:b/>
          <w:sz w:val="20"/>
          <w:szCs w:val="20"/>
        </w:rPr>
        <w:t>Ugunsdrošības un civilās aizsardzības riska novērtēšanas instrumenta procesa shēma</w:t>
      </w:r>
    </w:p>
    <w:p w:rsidR="00745C34" w:rsidRPr="00745C34" w:rsidRDefault="00745C34" w:rsidP="00745C34">
      <w:pPr>
        <w:pStyle w:val="Sarakstarindkopa"/>
        <w:ind w:left="0" w:firstLine="709"/>
        <w:jc w:val="center"/>
        <w:rPr>
          <w:rFonts w:ascii="Times New Roman" w:hAnsi="Times New Roman" w:cs="Times New Roman"/>
          <w:b/>
          <w:sz w:val="20"/>
          <w:szCs w:val="20"/>
        </w:rPr>
      </w:pPr>
    </w:p>
    <w:tbl>
      <w:tblPr>
        <w:tblStyle w:val="Reatab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8229"/>
      </w:tblGrid>
      <w:tr w:rsidR="006316FD" w:rsidRPr="00C7114F" w:rsidTr="00FF4991">
        <w:tc>
          <w:tcPr>
            <w:tcW w:w="1552" w:type="dxa"/>
          </w:tcPr>
          <w:p w:rsidR="006316FD" w:rsidRPr="00436D30" w:rsidRDefault="006316FD" w:rsidP="006316FD">
            <w:pPr>
              <w:jc w:val="center"/>
              <w:rPr>
                <w:rFonts w:ascii="Times New Roman" w:hAnsi="Times New Roman" w:cs="Times New Roman"/>
                <w:caps/>
                <w:sz w:val="20"/>
                <w:szCs w:val="20"/>
              </w:rPr>
            </w:pPr>
            <w:r w:rsidRPr="00436D30">
              <w:rPr>
                <w:rFonts w:ascii="Times New Roman" w:hAnsi="Times New Roman" w:cs="Times New Roman"/>
                <w:caps/>
                <w:sz w:val="20"/>
                <w:szCs w:val="20"/>
              </w:rPr>
              <w:t xml:space="preserve">Apzīmējums </w:t>
            </w:r>
          </w:p>
        </w:tc>
        <w:tc>
          <w:tcPr>
            <w:tcW w:w="8229" w:type="dxa"/>
            <w:vAlign w:val="center"/>
          </w:tcPr>
          <w:p w:rsidR="006316FD" w:rsidRPr="00436D30" w:rsidRDefault="006316FD" w:rsidP="006316FD">
            <w:pPr>
              <w:rPr>
                <w:rFonts w:ascii="Times New Roman" w:hAnsi="Times New Roman" w:cs="Times New Roman"/>
                <w:caps/>
                <w:sz w:val="20"/>
                <w:szCs w:val="20"/>
              </w:rPr>
            </w:pPr>
            <w:r w:rsidRPr="00436D30">
              <w:rPr>
                <w:rFonts w:ascii="Times New Roman" w:hAnsi="Times New Roman" w:cs="Times New Roman"/>
                <w:caps/>
                <w:sz w:val="20"/>
                <w:szCs w:val="20"/>
              </w:rPr>
              <w:t>apzīmējuma skaidrojums</w:t>
            </w:r>
          </w:p>
        </w:tc>
      </w:tr>
      <w:tr w:rsidR="006316FD" w:rsidRPr="00C7114F" w:rsidTr="00FF4991">
        <w:tc>
          <w:tcPr>
            <w:tcW w:w="1552" w:type="dxa"/>
          </w:tcPr>
          <w:p w:rsidR="006316FD" w:rsidRPr="00436D30" w:rsidRDefault="006316FD" w:rsidP="006316FD">
            <w:pPr>
              <w:jc w:val="center"/>
              <w:rPr>
                <w:rFonts w:ascii="Times New Roman" w:hAnsi="Times New Roman" w:cs="Times New Roman"/>
                <w:sz w:val="4"/>
                <w:szCs w:val="4"/>
              </w:rPr>
            </w:pPr>
          </w:p>
          <w:p w:rsidR="006316FD"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7A0A5497" wp14:editId="795C2C79">
                  <wp:extent cx="235856" cy="1905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479" cy="218465"/>
                          </a:xfrm>
                          <a:prstGeom prst="rect">
                            <a:avLst/>
                          </a:prstGeom>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sz w:val="20"/>
                <w:szCs w:val="20"/>
              </w:rPr>
              <w:t>DARBĪBA – procesa solis</w:t>
            </w:r>
          </w:p>
        </w:tc>
      </w:tr>
      <w:tr w:rsidR="006316FD" w:rsidRPr="00C7114F" w:rsidTr="00FF4991">
        <w:tc>
          <w:tcPr>
            <w:tcW w:w="1552" w:type="dxa"/>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60231577" wp14:editId="3CFB6BA5">
                  <wp:extent cx="239889" cy="190500"/>
                  <wp:effectExtent l="0" t="0" r="8255"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05" cy="206633"/>
                          </a:xfrm>
                          <a:prstGeom prst="rect">
                            <a:avLst/>
                          </a:prstGeom>
                          <a:noFill/>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sz w:val="20"/>
                <w:szCs w:val="20"/>
              </w:rPr>
              <w:t>APKŠPROCESS – apzīmē neizvērstu darbību kopumu</w:t>
            </w:r>
          </w:p>
        </w:tc>
      </w:tr>
      <w:tr w:rsidR="006316FD" w:rsidRPr="00C7114F" w:rsidTr="00FF4991">
        <w:tc>
          <w:tcPr>
            <w:tcW w:w="1552" w:type="dxa"/>
          </w:tcPr>
          <w:p w:rsidR="006316FD" w:rsidRPr="00436D30" w:rsidRDefault="006316FD" w:rsidP="006316FD">
            <w:pP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145D649F" wp14:editId="5DE9ECC5">
                  <wp:extent cx="213360" cy="21691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0" cy="237249"/>
                          </a:xfrm>
                          <a:prstGeom prst="rect">
                            <a:avLst/>
                          </a:prstGeom>
                          <a:noFill/>
                        </pic:spPr>
                      </pic:pic>
                    </a:graphicData>
                  </a:graphic>
                </wp:inline>
              </w:drawing>
            </w:r>
          </w:p>
          <w:p w:rsidR="006316FD" w:rsidRPr="00436D30" w:rsidRDefault="006316FD" w:rsidP="006316FD">
            <w:pP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sz w:val="20"/>
                <w:szCs w:val="20"/>
              </w:rPr>
              <w:t>LAIKA AKTIVITĀTE – process sākas, turpinās vai beidzas, kad iestājas noteikts laiks vai datums</w:t>
            </w:r>
          </w:p>
        </w:tc>
      </w:tr>
      <w:tr w:rsidR="006316FD" w:rsidRPr="00C7114F" w:rsidTr="00FF4991">
        <w:tc>
          <w:tcPr>
            <w:tcW w:w="1552" w:type="dxa"/>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722D2691" wp14:editId="492D832F">
                  <wp:extent cx="213360" cy="177089"/>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45740" cy="203965"/>
                          </a:xfrm>
                          <a:prstGeom prst="rect">
                            <a:avLst/>
                          </a:prstGeom>
                          <a:noFill/>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caps/>
                <w:sz w:val="20"/>
                <w:szCs w:val="20"/>
              </w:rPr>
              <w:t>Datu glabātuve / datubāze</w:t>
            </w:r>
            <w:r w:rsidRPr="00C7114F">
              <w:rPr>
                <w:rFonts w:ascii="Times New Roman" w:hAnsi="Times New Roman" w:cs="Times New Roman"/>
                <w:sz w:val="20"/>
                <w:szCs w:val="20"/>
              </w:rPr>
              <w:t xml:space="preserve"> – apzīmē datu glabātuvi vai datubāzi</w:t>
            </w:r>
          </w:p>
        </w:tc>
      </w:tr>
      <w:tr w:rsidR="006316FD" w:rsidRPr="00C7114F" w:rsidTr="00FF4991">
        <w:tc>
          <w:tcPr>
            <w:tcW w:w="1552" w:type="dxa"/>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720E7B50" wp14:editId="309D92B7">
                  <wp:extent cx="175260" cy="17526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175260" cy="175260"/>
                          </a:xfrm>
                          <a:prstGeom prst="rect">
                            <a:avLst/>
                          </a:prstGeom>
                          <a:noFill/>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sz w:val="20"/>
                <w:szCs w:val="20"/>
              </w:rPr>
              <w:t>PROCESA BEIGAS – apzīmē procesa pēdējo soli</w:t>
            </w:r>
          </w:p>
        </w:tc>
      </w:tr>
      <w:tr w:rsidR="006316FD" w:rsidRPr="00C7114F" w:rsidTr="00FF4991">
        <w:tc>
          <w:tcPr>
            <w:tcW w:w="1552" w:type="dxa"/>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28124AA0" wp14:editId="60C5B54A">
                  <wp:extent cx="327660" cy="19149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369062" cy="215686"/>
                          </a:xfrm>
                          <a:prstGeom prst="rect">
                            <a:avLst/>
                          </a:prstGeom>
                          <a:noFill/>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caps/>
                <w:sz w:val="20"/>
                <w:szCs w:val="20"/>
              </w:rPr>
              <w:t>Procesu plūsma</w:t>
            </w:r>
            <w:r w:rsidRPr="00C7114F">
              <w:rPr>
                <w:rFonts w:ascii="Times New Roman" w:hAnsi="Times New Roman" w:cs="Times New Roman"/>
                <w:sz w:val="20"/>
                <w:szCs w:val="20"/>
              </w:rPr>
              <w:t xml:space="preserve"> – savieno secīgus procesa soļus un aktivitātes vienas joslas ietvaros</w:t>
            </w:r>
          </w:p>
        </w:tc>
      </w:tr>
      <w:tr w:rsidR="006316FD" w:rsidRPr="00C7114F" w:rsidTr="00FF4991">
        <w:tc>
          <w:tcPr>
            <w:tcW w:w="1552" w:type="dxa"/>
            <w:vAlign w:val="center"/>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1BC8B792" wp14:editId="7E370DCA">
                  <wp:extent cx="381000" cy="174433"/>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758" cy="182105"/>
                          </a:xfrm>
                          <a:prstGeom prst="rect">
                            <a:avLst/>
                          </a:prstGeom>
                          <a:noFill/>
                          <a:ln>
                            <a:noFill/>
                          </a:ln>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caps/>
                <w:sz w:val="20"/>
                <w:szCs w:val="20"/>
              </w:rPr>
              <w:t>Asociācija</w:t>
            </w:r>
            <w:r w:rsidRPr="00C7114F">
              <w:rPr>
                <w:rFonts w:ascii="Times New Roman" w:hAnsi="Times New Roman" w:cs="Times New Roman"/>
                <w:sz w:val="20"/>
                <w:szCs w:val="20"/>
              </w:rPr>
              <w:t xml:space="preserve"> – apzīmē datu plūsmu no vai uz datu objektu vai datubāzi</w:t>
            </w:r>
          </w:p>
        </w:tc>
      </w:tr>
      <w:tr w:rsidR="006316FD" w:rsidRPr="00C7114F" w:rsidTr="00FF4991">
        <w:tc>
          <w:tcPr>
            <w:tcW w:w="1552" w:type="dxa"/>
            <w:vAlign w:val="center"/>
          </w:tcPr>
          <w:p w:rsidR="006316FD" w:rsidRPr="00436D30" w:rsidRDefault="006316FD" w:rsidP="006316FD">
            <w:pPr>
              <w:jc w:val="center"/>
              <w:rPr>
                <w:rFonts w:ascii="Times New Roman" w:hAnsi="Times New Roman" w:cs="Times New Roman"/>
                <w:sz w:val="4"/>
                <w:szCs w:val="4"/>
              </w:rPr>
            </w:pPr>
          </w:p>
          <w:p w:rsidR="006316FD" w:rsidRPr="00C7114F" w:rsidRDefault="006316FD" w:rsidP="006316FD">
            <w:pPr>
              <w:jc w:val="center"/>
              <w:rPr>
                <w:rFonts w:ascii="Times New Roman" w:hAnsi="Times New Roman" w:cs="Times New Roman"/>
                <w:sz w:val="20"/>
                <w:szCs w:val="20"/>
              </w:rPr>
            </w:pPr>
            <w:r w:rsidRPr="00C7114F">
              <w:rPr>
                <w:rFonts w:ascii="Times New Roman" w:hAnsi="Times New Roman" w:cs="Times New Roman"/>
                <w:noProof/>
                <w:sz w:val="20"/>
                <w:szCs w:val="20"/>
                <w:lang w:eastAsia="lv-LV"/>
              </w:rPr>
              <w:drawing>
                <wp:inline distT="0" distB="0" distL="0" distR="0" wp14:anchorId="2118EF9A" wp14:editId="54ACAC1A">
                  <wp:extent cx="297180" cy="309068"/>
                  <wp:effectExtent l="0" t="0" r="762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415" cy="321793"/>
                          </a:xfrm>
                          <a:prstGeom prst="rect">
                            <a:avLst/>
                          </a:prstGeom>
                          <a:noFill/>
                          <a:ln>
                            <a:noFill/>
                          </a:ln>
                        </pic:spPr>
                      </pic:pic>
                    </a:graphicData>
                  </a:graphic>
                </wp:inline>
              </w:drawing>
            </w:r>
          </w:p>
          <w:p w:rsidR="006316FD" w:rsidRPr="00436D30" w:rsidRDefault="006316FD" w:rsidP="006316FD">
            <w:pPr>
              <w:jc w:val="center"/>
              <w:rPr>
                <w:rFonts w:ascii="Times New Roman" w:hAnsi="Times New Roman" w:cs="Times New Roman"/>
                <w:sz w:val="4"/>
                <w:szCs w:val="4"/>
              </w:rPr>
            </w:pPr>
          </w:p>
        </w:tc>
        <w:tc>
          <w:tcPr>
            <w:tcW w:w="8229" w:type="dxa"/>
            <w:vAlign w:val="center"/>
          </w:tcPr>
          <w:p w:rsidR="006316FD" w:rsidRPr="00C7114F" w:rsidRDefault="006316FD" w:rsidP="006316FD">
            <w:pPr>
              <w:rPr>
                <w:rFonts w:ascii="Times New Roman" w:hAnsi="Times New Roman" w:cs="Times New Roman"/>
                <w:sz w:val="20"/>
                <w:szCs w:val="20"/>
              </w:rPr>
            </w:pPr>
            <w:r w:rsidRPr="00C7114F">
              <w:rPr>
                <w:rFonts w:ascii="Times New Roman" w:hAnsi="Times New Roman" w:cs="Times New Roman"/>
                <w:caps/>
                <w:sz w:val="20"/>
                <w:szCs w:val="20"/>
              </w:rPr>
              <w:t>Anotācija</w:t>
            </w:r>
            <w:r w:rsidRPr="00C7114F">
              <w:rPr>
                <w:rFonts w:ascii="Times New Roman" w:hAnsi="Times New Roman" w:cs="Times New Roman"/>
                <w:sz w:val="20"/>
                <w:szCs w:val="20"/>
              </w:rPr>
              <w:t xml:space="preserve"> – apraksta kādu procesa soli vai aktivitāti, ja nepieciešams</w:t>
            </w:r>
          </w:p>
        </w:tc>
      </w:tr>
    </w:tbl>
    <w:p w:rsidR="00F16118" w:rsidRPr="006316FD" w:rsidRDefault="00F16118" w:rsidP="008E7328">
      <w:pPr>
        <w:pStyle w:val="Sarakstarindkopa"/>
        <w:spacing w:after="0"/>
        <w:ind w:left="0" w:firstLine="709"/>
        <w:jc w:val="both"/>
        <w:rPr>
          <w:rFonts w:ascii="Times New Roman" w:hAnsi="Times New Roman" w:cs="Times New Roman"/>
          <w:b/>
          <w:sz w:val="28"/>
          <w:szCs w:val="28"/>
        </w:rPr>
      </w:pPr>
    </w:p>
    <w:p w:rsidR="00B2203E" w:rsidRPr="00DA7A49" w:rsidRDefault="00B2203E" w:rsidP="00E24A6C">
      <w:pPr>
        <w:pStyle w:val="Sarakstarindkopa"/>
        <w:numPr>
          <w:ilvl w:val="0"/>
          <w:numId w:val="1"/>
        </w:numPr>
        <w:tabs>
          <w:tab w:val="left" w:pos="993"/>
        </w:tabs>
        <w:spacing w:after="0" w:line="240" w:lineRule="auto"/>
        <w:ind w:left="0" w:firstLine="709"/>
        <w:jc w:val="both"/>
        <w:rPr>
          <w:rFonts w:ascii="Times New Roman" w:hAnsi="Times New Roman" w:cs="Times New Roman"/>
          <w:b/>
          <w:sz w:val="28"/>
          <w:szCs w:val="28"/>
        </w:rPr>
      </w:pPr>
      <w:r w:rsidRPr="00DA7A49">
        <w:rPr>
          <w:rFonts w:ascii="Times New Roman" w:hAnsi="Times New Roman" w:cs="Times New Roman"/>
          <w:b/>
          <w:sz w:val="28"/>
          <w:szCs w:val="28"/>
        </w:rPr>
        <w:t xml:space="preserve">Ietekme uz risinājumu </w:t>
      </w:r>
    </w:p>
    <w:p w:rsidR="00B2203E" w:rsidRPr="00A1079F" w:rsidRDefault="00B2203E" w:rsidP="00A1079F">
      <w:pPr>
        <w:tabs>
          <w:tab w:val="left" w:pos="1276"/>
        </w:tabs>
        <w:spacing w:after="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6"/>
      </w:tblGrid>
      <w:tr w:rsidR="008D707C" w:rsidRPr="008D707C" w:rsidTr="008D707C">
        <w:trPr>
          <w:jc w:val="center"/>
        </w:trPr>
        <w:tc>
          <w:tcPr>
            <w:tcW w:w="4815" w:type="dxa"/>
            <w:shd w:val="clear" w:color="auto" w:fill="BFBFBF" w:themeFill="background1" w:themeFillShade="BF"/>
            <w:vAlign w:val="center"/>
          </w:tcPr>
          <w:p w:rsidR="008D707C" w:rsidRPr="008D707C" w:rsidRDefault="008D707C" w:rsidP="008D707C">
            <w:pPr>
              <w:spacing w:after="0" w:line="240" w:lineRule="auto"/>
              <w:jc w:val="center"/>
              <w:rPr>
                <w:rFonts w:ascii="Times New Roman" w:eastAsia="Times New Roman" w:hAnsi="Times New Roman" w:cs="Times New Roman"/>
                <w:i/>
                <w:color w:val="000000"/>
                <w:sz w:val="24"/>
                <w:szCs w:val="24"/>
                <w:lang w:eastAsia="lv-LV"/>
              </w:rPr>
            </w:pPr>
            <w:r w:rsidRPr="008D707C">
              <w:rPr>
                <w:rFonts w:ascii="Times New Roman" w:eastAsia="Times New Roman" w:hAnsi="Times New Roman" w:cs="Times New Roman"/>
                <w:i/>
                <w:color w:val="000000"/>
                <w:sz w:val="24"/>
                <w:szCs w:val="24"/>
                <w:lang w:eastAsia="lv-LV"/>
              </w:rPr>
              <w:t>Stiprās puses</w:t>
            </w:r>
          </w:p>
        </w:tc>
        <w:tc>
          <w:tcPr>
            <w:tcW w:w="4246" w:type="dxa"/>
            <w:shd w:val="clear" w:color="auto" w:fill="BFBFBF" w:themeFill="background1" w:themeFillShade="BF"/>
            <w:vAlign w:val="center"/>
          </w:tcPr>
          <w:p w:rsidR="008D707C" w:rsidRPr="008D707C" w:rsidRDefault="008D707C" w:rsidP="008D707C">
            <w:pPr>
              <w:spacing w:after="0" w:line="240" w:lineRule="auto"/>
              <w:jc w:val="center"/>
              <w:rPr>
                <w:rFonts w:ascii="Times New Roman" w:eastAsia="Times New Roman" w:hAnsi="Times New Roman" w:cs="Times New Roman"/>
                <w:i/>
                <w:color w:val="000000"/>
                <w:sz w:val="24"/>
                <w:szCs w:val="24"/>
                <w:lang w:eastAsia="lv-LV"/>
              </w:rPr>
            </w:pPr>
            <w:r w:rsidRPr="008D707C">
              <w:rPr>
                <w:rFonts w:ascii="Times New Roman" w:eastAsia="Times New Roman" w:hAnsi="Times New Roman" w:cs="Times New Roman"/>
                <w:i/>
                <w:color w:val="000000"/>
                <w:sz w:val="24"/>
                <w:szCs w:val="24"/>
                <w:lang w:eastAsia="lv-LV"/>
              </w:rPr>
              <w:t>Vājās puses</w:t>
            </w:r>
          </w:p>
        </w:tc>
      </w:tr>
      <w:tr w:rsidR="008D707C" w:rsidRPr="008D707C" w:rsidTr="008E5DE8">
        <w:trPr>
          <w:trHeight w:val="499"/>
          <w:jc w:val="center"/>
        </w:trPr>
        <w:tc>
          <w:tcPr>
            <w:tcW w:w="4815" w:type="dxa"/>
            <w:shd w:val="clear" w:color="auto" w:fill="auto"/>
            <w:tcMar>
              <w:top w:w="57" w:type="dxa"/>
              <w:bottom w:w="57" w:type="dxa"/>
            </w:tcMar>
          </w:tcPr>
          <w:p w:rsidR="00BE1B54" w:rsidRDefault="00BE1B54" w:rsidP="00BE1B54">
            <w:pPr>
              <w:pStyle w:val="Sarakstarindkopa"/>
              <w:numPr>
                <w:ilvl w:val="0"/>
                <w:numId w:val="9"/>
              </w:numPr>
              <w:spacing w:after="0" w:line="240" w:lineRule="auto"/>
              <w:ind w:left="313" w:hanging="3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Ieviests vienots ugunsdrošības un civilās aizsardzības riska novērtēšanas rīks</w:t>
            </w:r>
            <w:r w:rsidR="00273B0D">
              <w:rPr>
                <w:rFonts w:ascii="Times New Roman" w:eastAsia="Times New Roman" w:hAnsi="Times New Roman" w:cs="Times New Roman"/>
                <w:color w:val="000000"/>
                <w:sz w:val="24"/>
                <w:szCs w:val="24"/>
                <w:lang w:eastAsia="lv-LV"/>
              </w:rPr>
              <w:t>.</w:t>
            </w:r>
          </w:p>
          <w:p w:rsidR="00BE1B54" w:rsidRDefault="00BE1B54" w:rsidP="00BE1B54">
            <w:pPr>
              <w:pStyle w:val="Sarakstarindkopa"/>
              <w:numPr>
                <w:ilvl w:val="0"/>
                <w:numId w:val="9"/>
              </w:numPr>
              <w:spacing w:after="0" w:line="240" w:lineRule="auto"/>
              <w:ind w:left="313" w:hanging="3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Tiek pieņemti datos balstīti lēmumi stratēģiska, operatīvā un taktiskā līmenī</w:t>
            </w:r>
            <w:r w:rsidR="00273B0D">
              <w:rPr>
                <w:rFonts w:ascii="Times New Roman" w:eastAsia="Times New Roman" w:hAnsi="Times New Roman" w:cs="Times New Roman"/>
                <w:color w:val="000000"/>
                <w:sz w:val="24"/>
                <w:szCs w:val="24"/>
                <w:lang w:eastAsia="lv-LV"/>
              </w:rPr>
              <w:t>.</w:t>
            </w:r>
          </w:p>
          <w:p w:rsidR="008D707C" w:rsidRPr="00273B0D" w:rsidRDefault="00273B0D" w:rsidP="00273B0D">
            <w:pPr>
              <w:pStyle w:val="Sarakstarindkopa"/>
              <w:numPr>
                <w:ilvl w:val="0"/>
                <w:numId w:val="9"/>
              </w:numPr>
              <w:spacing w:after="0" w:line="240" w:lineRule="auto"/>
              <w:ind w:left="313" w:hanging="313"/>
              <w:jc w:val="both"/>
              <w:rPr>
                <w:rFonts w:ascii="Times New Roman" w:eastAsia="Times New Roman" w:hAnsi="Times New Roman" w:cs="Times New Roman"/>
                <w:color w:val="000000"/>
                <w:sz w:val="24"/>
                <w:szCs w:val="24"/>
                <w:lang w:eastAsia="lv-LV"/>
              </w:rPr>
            </w:pPr>
            <w:r w:rsidRPr="008D707C">
              <w:rPr>
                <w:rFonts w:ascii="Times New Roman" w:eastAsia="Times New Roman" w:hAnsi="Times New Roman" w:cs="Times New Roman"/>
                <w:sz w:val="24"/>
                <w:szCs w:val="24"/>
                <w:lang w:eastAsia="lv-LV"/>
              </w:rPr>
              <w:t xml:space="preserve">Radīts risinājums operatīvai un pilnvērtīgai atskaišu iegūšanai par </w:t>
            </w:r>
            <w:r>
              <w:rPr>
                <w:rFonts w:ascii="Times New Roman" w:eastAsia="Times New Roman" w:hAnsi="Times New Roman" w:cs="Times New Roman"/>
                <w:sz w:val="24"/>
                <w:szCs w:val="24"/>
                <w:lang w:eastAsia="lv-LV"/>
              </w:rPr>
              <w:t>ugunsdrošības un civilās aizsardzības riskiem attiecīgajā administratīvajā teritorijā</w:t>
            </w:r>
            <w:r w:rsidRPr="008D707C">
              <w:rPr>
                <w:rFonts w:ascii="Times New Roman" w:eastAsia="Times New Roman" w:hAnsi="Times New Roman" w:cs="Times New Roman"/>
                <w:sz w:val="24"/>
                <w:szCs w:val="24"/>
                <w:lang w:eastAsia="lv-LV"/>
              </w:rPr>
              <w:t>.</w:t>
            </w:r>
          </w:p>
          <w:p w:rsidR="00273B0D" w:rsidRPr="00A1079F" w:rsidRDefault="00273B0D" w:rsidP="00A1079F">
            <w:pPr>
              <w:pStyle w:val="Sarakstarindkopa"/>
              <w:numPr>
                <w:ilvl w:val="0"/>
                <w:numId w:val="9"/>
              </w:numPr>
              <w:spacing w:after="0" w:line="240" w:lineRule="auto"/>
              <w:ind w:left="313" w:hanging="3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Automatizēts process, kas samazina manuālas cilvēka darbības, tādējādi vairāk laika veltot tiešajiem uzdevumiem.</w:t>
            </w:r>
          </w:p>
        </w:tc>
        <w:tc>
          <w:tcPr>
            <w:tcW w:w="4246" w:type="dxa"/>
            <w:shd w:val="clear" w:color="auto" w:fill="auto"/>
            <w:tcMar>
              <w:top w:w="57" w:type="dxa"/>
              <w:bottom w:w="57" w:type="dxa"/>
            </w:tcMar>
          </w:tcPr>
          <w:p w:rsidR="00273B0D" w:rsidRDefault="00273B0D" w:rsidP="00273B0D">
            <w:pPr>
              <w:pStyle w:val="Sarakstarindkopa"/>
              <w:numPr>
                <w:ilvl w:val="0"/>
                <w:numId w:val="9"/>
              </w:numPr>
              <w:spacing w:after="0" w:line="240" w:lineRule="auto"/>
              <w:ind w:left="317" w:hanging="283"/>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D</w:t>
            </w:r>
            <w:r w:rsidR="008D707C" w:rsidRPr="00273B0D">
              <w:rPr>
                <w:rFonts w:ascii="Times New Roman" w:eastAsia="Times New Roman" w:hAnsi="Times New Roman" w:cs="Times New Roman"/>
                <w:bCs/>
                <w:color w:val="000000"/>
                <w:sz w:val="24"/>
                <w:szCs w:val="24"/>
                <w:lang w:eastAsia="lv-LV"/>
              </w:rPr>
              <w:t>arbu var kavēt pārtraukumi informācijas sistēmās.</w:t>
            </w:r>
          </w:p>
          <w:p w:rsidR="00273B0D" w:rsidRDefault="008D707C" w:rsidP="00273B0D">
            <w:pPr>
              <w:pStyle w:val="Sarakstarindkopa"/>
              <w:numPr>
                <w:ilvl w:val="0"/>
                <w:numId w:val="9"/>
              </w:numPr>
              <w:spacing w:after="0" w:line="240" w:lineRule="auto"/>
              <w:ind w:left="317" w:hanging="283"/>
              <w:jc w:val="both"/>
              <w:rPr>
                <w:rFonts w:ascii="Times New Roman" w:eastAsia="Times New Roman" w:hAnsi="Times New Roman" w:cs="Times New Roman"/>
                <w:bCs/>
                <w:color w:val="000000"/>
                <w:sz w:val="24"/>
                <w:szCs w:val="24"/>
                <w:lang w:eastAsia="lv-LV"/>
              </w:rPr>
            </w:pPr>
            <w:r w:rsidRPr="00273B0D">
              <w:rPr>
                <w:rFonts w:ascii="Times New Roman" w:eastAsia="Times New Roman" w:hAnsi="Times New Roman" w:cs="Times New Roman"/>
                <w:bCs/>
                <w:color w:val="000000"/>
                <w:sz w:val="24"/>
                <w:szCs w:val="24"/>
                <w:lang w:eastAsia="lv-LV"/>
              </w:rPr>
              <w:t xml:space="preserve">Paredzēto informācijas sistēmu funkcionalitāte ir pietiekami komplicēta. </w:t>
            </w:r>
          </w:p>
          <w:p w:rsidR="008D707C" w:rsidRPr="00273B0D" w:rsidRDefault="008D707C" w:rsidP="00273B0D">
            <w:pPr>
              <w:pStyle w:val="Sarakstarindkopa"/>
              <w:numPr>
                <w:ilvl w:val="0"/>
                <w:numId w:val="9"/>
              </w:numPr>
              <w:spacing w:after="0" w:line="240" w:lineRule="auto"/>
              <w:ind w:left="317" w:hanging="283"/>
              <w:jc w:val="both"/>
              <w:rPr>
                <w:rFonts w:ascii="Times New Roman" w:eastAsia="Times New Roman" w:hAnsi="Times New Roman" w:cs="Times New Roman"/>
                <w:bCs/>
                <w:color w:val="000000"/>
                <w:sz w:val="24"/>
                <w:szCs w:val="24"/>
                <w:lang w:eastAsia="lv-LV"/>
              </w:rPr>
            </w:pPr>
            <w:r w:rsidRPr="00273B0D">
              <w:rPr>
                <w:rFonts w:ascii="Times New Roman" w:eastAsia="Times New Roman" w:hAnsi="Times New Roman" w:cs="Times New Roman"/>
                <w:bCs/>
                <w:color w:val="000000"/>
                <w:sz w:val="24"/>
                <w:szCs w:val="24"/>
                <w:lang w:eastAsia="lv-LV"/>
              </w:rPr>
              <w:t>Paredzēto informācijas sistēmu ieviešanai nepieciešams papildus finansējums.</w:t>
            </w:r>
          </w:p>
          <w:p w:rsidR="008D707C" w:rsidRPr="008D707C" w:rsidRDefault="008D707C" w:rsidP="008D707C">
            <w:pPr>
              <w:spacing w:after="0" w:line="240" w:lineRule="auto"/>
              <w:jc w:val="both"/>
              <w:rPr>
                <w:rFonts w:ascii="Times New Roman" w:eastAsia="Times New Roman" w:hAnsi="Times New Roman" w:cs="Times New Roman"/>
                <w:bCs/>
                <w:color w:val="000000"/>
                <w:sz w:val="24"/>
                <w:szCs w:val="24"/>
                <w:lang w:eastAsia="lv-LV"/>
              </w:rPr>
            </w:pPr>
          </w:p>
        </w:tc>
      </w:tr>
      <w:tr w:rsidR="008D707C" w:rsidRPr="008D707C" w:rsidTr="008D707C">
        <w:trPr>
          <w:trHeight w:val="206"/>
          <w:jc w:val="center"/>
        </w:trPr>
        <w:tc>
          <w:tcPr>
            <w:tcW w:w="4815" w:type="dxa"/>
            <w:shd w:val="clear" w:color="auto" w:fill="BFBFBF" w:themeFill="background1" w:themeFillShade="BF"/>
            <w:vAlign w:val="center"/>
          </w:tcPr>
          <w:p w:rsidR="008D707C" w:rsidRPr="008D707C" w:rsidRDefault="008D707C" w:rsidP="008D707C">
            <w:pPr>
              <w:spacing w:after="0" w:line="240" w:lineRule="auto"/>
              <w:jc w:val="center"/>
              <w:rPr>
                <w:rFonts w:ascii="Times New Roman" w:eastAsia="Times New Roman" w:hAnsi="Times New Roman" w:cs="Times New Roman"/>
                <w:i/>
                <w:sz w:val="24"/>
                <w:szCs w:val="24"/>
                <w:lang w:eastAsia="lv-LV"/>
              </w:rPr>
            </w:pPr>
            <w:r w:rsidRPr="008D707C">
              <w:rPr>
                <w:rFonts w:ascii="Times New Roman" w:eastAsia="Times New Roman" w:hAnsi="Times New Roman" w:cs="Times New Roman"/>
                <w:i/>
                <w:sz w:val="24"/>
                <w:szCs w:val="24"/>
                <w:lang w:eastAsia="lv-LV"/>
              </w:rPr>
              <w:t>Iespējas</w:t>
            </w:r>
          </w:p>
        </w:tc>
        <w:tc>
          <w:tcPr>
            <w:tcW w:w="4246" w:type="dxa"/>
            <w:shd w:val="clear" w:color="auto" w:fill="BFBFBF" w:themeFill="background1" w:themeFillShade="BF"/>
            <w:vAlign w:val="center"/>
          </w:tcPr>
          <w:p w:rsidR="008D707C" w:rsidRPr="008D707C" w:rsidRDefault="008D707C" w:rsidP="008D707C">
            <w:pPr>
              <w:spacing w:after="0" w:line="240" w:lineRule="auto"/>
              <w:jc w:val="center"/>
              <w:rPr>
                <w:rFonts w:ascii="Times New Roman" w:eastAsia="Times New Roman" w:hAnsi="Times New Roman" w:cs="Times New Roman"/>
                <w:i/>
                <w:sz w:val="24"/>
                <w:szCs w:val="24"/>
                <w:lang w:eastAsia="lv-LV"/>
              </w:rPr>
            </w:pPr>
            <w:r w:rsidRPr="008D707C">
              <w:rPr>
                <w:rFonts w:ascii="Times New Roman" w:eastAsia="Times New Roman" w:hAnsi="Times New Roman" w:cs="Times New Roman"/>
                <w:i/>
                <w:sz w:val="24"/>
                <w:szCs w:val="24"/>
                <w:lang w:eastAsia="lv-LV"/>
              </w:rPr>
              <w:t>Draudi</w:t>
            </w:r>
          </w:p>
        </w:tc>
      </w:tr>
      <w:tr w:rsidR="008D707C" w:rsidRPr="008D707C" w:rsidTr="008E5DE8">
        <w:trPr>
          <w:trHeight w:val="642"/>
          <w:jc w:val="center"/>
        </w:trPr>
        <w:tc>
          <w:tcPr>
            <w:tcW w:w="4815" w:type="dxa"/>
            <w:shd w:val="clear" w:color="auto" w:fill="auto"/>
            <w:tcMar>
              <w:top w:w="57" w:type="dxa"/>
              <w:bottom w:w="57" w:type="dxa"/>
            </w:tcMar>
          </w:tcPr>
          <w:p w:rsidR="00A1079F" w:rsidRPr="00A1079F" w:rsidRDefault="00273B0D" w:rsidP="008D707C">
            <w:pPr>
              <w:numPr>
                <w:ilvl w:val="0"/>
                <w:numId w:val="6"/>
              </w:numPr>
              <w:spacing w:after="0" w:line="240" w:lineRule="auto"/>
              <w:ind w:left="313" w:hanging="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Riska novērtēšanas rezultāti var tikt izmantoti citās nozarēs (apdrošināšana).</w:t>
            </w:r>
            <w:r w:rsidR="00A1079F">
              <w:rPr>
                <w:rFonts w:ascii="Times New Roman" w:eastAsia="Times New Roman" w:hAnsi="Times New Roman" w:cs="Times New Roman"/>
                <w:sz w:val="24"/>
                <w:szCs w:val="24"/>
                <w:lang w:eastAsia="lv-LV"/>
              </w:rPr>
              <w:t xml:space="preserve"> </w:t>
            </w:r>
          </w:p>
          <w:p w:rsidR="008D707C" w:rsidRPr="008D707C" w:rsidRDefault="00A1079F" w:rsidP="008D707C">
            <w:pPr>
              <w:numPr>
                <w:ilvl w:val="0"/>
                <w:numId w:val="6"/>
              </w:numPr>
              <w:spacing w:after="0" w:line="240" w:lineRule="auto"/>
              <w:ind w:left="313" w:hanging="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Tiek nodrošināta datos balstīta un uz ĢIS platformas  integrēta VUGD un brīvprātīgo ugunsdzēsēju organizāciju resursu plānošana.</w:t>
            </w:r>
          </w:p>
        </w:tc>
        <w:tc>
          <w:tcPr>
            <w:tcW w:w="4246" w:type="dxa"/>
            <w:shd w:val="clear" w:color="auto" w:fill="auto"/>
            <w:tcMar>
              <w:top w:w="57" w:type="dxa"/>
              <w:left w:w="28" w:type="dxa"/>
              <w:bottom w:w="57" w:type="dxa"/>
              <w:right w:w="57" w:type="dxa"/>
            </w:tcMar>
          </w:tcPr>
          <w:p w:rsidR="008D707C" w:rsidRPr="00273B0D" w:rsidRDefault="008D707C" w:rsidP="00273B0D">
            <w:pPr>
              <w:pStyle w:val="Sarakstarindkopa"/>
              <w:numPr>
                <w:ilvl w:val="0"/>
                <w:numId w:val="6"/>
              </w:numPr>
              <w:spacing w:after="0" w:line="240" w:lineRule="auto"/>
              <w:ind w:hanging="246"/>
              <w:jc w:val="both"/>
              <w:rPr>
                <w:rFonts w:ascii="Times New Roman" w:eastAsia="Times New Roman" w:hAnsi="Times New Roman" w:cs="Times New Roman"/>
                <w:color w:val="000000"/>
                <w:sz w:val="24"/>
                <w:szCs w:val="24"/>
                <w:lang w:eastAsia="lv-LV"/>
              </w:rPr>
            </w:pPr>
            <w:r w:rsidRPr="00273B0D">
              <w:rPr>
                <w:rFonts w:ascii="Times New Roman" w:eastAsia="Times New Roman" w:hAnsi="Times New Roman" w:cs="Times New Roman"/>
                <w:color w:val="000000"/>
                <w:sz w:val="24"/>
                <w:szCs w:val="24"/>
                <w:lang w:eastAsia="lv-LV"/>
              </w:rPr>
              <w:t xml:space="preserve">Informācijas sistēmu ieviešanu var apdraudēt vai kavēt </w:t>
            </w:r>
            <w:r w:rsidR="00273B0D" w:rsidRPr="00273B0D">
              <w:rPr>
                <w:rFonts w:ascii="Times New Roman" w:eastAsia="Times New Roman" w:hAnsi="Times New Roman" w:cs="Times New Roman"/>
                <w:color w:val="000000"/>
                <w:sz w:val="24"/>
                <w:szCs w:val="24"/>
                <w:lang w:eastAsia="lv-LV"/>
              </w:rPr>
              <w:t>finansējuma trūkums.</w:t>
            </w:r>
          </w:p>
        </w:tc>
      </w:tr>
    </w:tbl>
    <w:p w:rsidR="00A1079F" w:rsidRDefault="00A1079F" w:rsidP="00440954">
      <w:pPr>
        <w:pStyle w:val="Sarakstarindkopa"/>
        <w:tabs>
          <w:tab w:val="left" w:pos="1276"/>
        </w:tabs>
        <w:ind w:left="709"/>
        <w:jc w:val="center"/>
        <w:rPr>
          <w:rFonts w:ascii="Times New Roman" w:hAnsi="Times New Roman" w:cs="Times New Roman"/>
          <w:b/>
          <w:sz w:val="20"/>
          <w:szCs w:val="20"/>
        </w:rPr>
      </w:pPr>
      <w:r w:rsidRPr="00A1079F">
        <w:rPr>
          <w:rFonts w:ascii="Times New Roman" w:hAnsi="Times New Roman" w:cs="Times New Roman"/>
          <w:b/>
          <w:sz w:val="20"/>
          <w:szCs w:val="20"/>
        </w:rPr>
        <w:t>Risinājuma SVID analīze</w:t>
      </w:r>
    </w:p>
    <w:p w:rsidR="00440954" w:rsidRPr="00440954" w:rsidRDefault="00440954" w:rsidP="00440954">
      <w:pPr>
        <w:pStyle w:val="Sarakstarindkopa"/>
        <w:tabs>
          <w:tab w:val="left" w:pos="1276"/>
        </w:tabs>
        <w:spacing w:after="0"/>
        <w:ind w:left="709"/>
        <w:jc w:val="center"/>
        <w:rPr>
          <w:rFonts w:ascii="Times New Roman" w:hAnsi="Times New Roman" w:cs="Times New Roman"/>
          <w:b/>
          <w:sz w:val="28"/>
          <w:szCs w:val="28"/>
        </w:rPr>
      </w:pPr>
    </w:p>
    <w:p w:rsidR="00B2203E" w:rsidRPr="00DA7A49" w:rsidRDefault="00B2203E" w:rsidP="00B2203E">
      <w:pPr>
        <w:pStyle w:val="Sarakstarindkopa"/>
        <w:numPr>
          <w:ilvl w:val="0"/>
          <w:numId w:val="1"/>
        </w:numPr>
        <w:tabs>
          <w:tab w:val="left" w:pos="993"/>
        </w:tabs>
        <w:spacing w:after="0" w:line="240" w:lineRule="auto"/>
        <w:ind w:left="0" w:firstLine="709"/>
        <w:jc w:val="both"/>
        <w:rPr>
          <w:rFonts w:ascii="Times New Roman" w:hAnsi="Times New Roman" w:cs="Times New Roman"/>
          <w:b/>
          <w:sz w:val="28"/>
          <w:szCs w:val="28"/>
        </w:rPr>
      </w:pPr>
      <w:r w:rsidRPr="00DA7A49">
        <w:rPr>
          <w:rFonts w:ascii="Times New Roman" w:hAnsi="Times New Roman" w:cs="Times New Roman"/>
          <w:b/>
          <w:sz w:val="28"/>
          <w:szCs w:val="28"/>
        </w:rPr>
        <w:t>Ietekme uz valsts budžetu</w:t>
      </w:r>
    </w:p>
    <w:p w:rsidR="00A1079F" w:rsidRPr="00A1079F" w:rsidRDefault="00A1079F" w:rsidP="006E3DAD">
      <w:pPr>
        <w:spacing w:after="0" w:line="240" w:lineRule="auto"/>
        <w:ind w:firstLine="709"/>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color w:val="000000"/>
          <w:sz w:val="28"/>
          <w:szCs w:val="28"/>
          <w:lang w:eastAsia="lv-LV"/>
        </w:rPr>
        <w:t xml:space="preserve">Informatīvajā ziņojumā paredzētā risinājuma īstenošana indikatīvi rada </w:t>
      </w:r>
      <w:r w:rsidR="00CA4702">
        <w:rPr>
          <w:rFonts w:ascii="Times New Roman" w:eastAsia="Times New Roman" w:hAnsi="Times New Roman" w:cs="Times New Roman"/>
          <w:sz w:val="28"/>
          <w:szCs w:val="28"/>
          <w:lang w:eastAsia="lv-LV"/>
        </w:rPr>
        <w:t>izdevumus</w:t>
      </w:r>
      <w:r w:rsidRPr="0099485C">
        <w:rPr>
          <w:rFonts w:ascii="Times New Roman" w:eastAsia="Times New Roman" w:hAnsi="Times New Roman" w:cs="Times New Roman"/>
          <w:color w:val="FF0000"/>
          <w:sz w:val="28"/>
          <w:szCs w:val="28"/>
          <w:lang w:eastAsia="lv-LV"/>
        </w:rPr>
        <w:t xml:space="preserve"> </w:t>
      </w:r>
      <w:r w:rsidRPr="006E3DAD">
        <w:rPr>
          <w:rFonts w:ascii="Times New Roman" w:eastAsia="Times New Roman" w:hAnsi="Times New Roman" w:cs="Times New Roman"/>
          <w:color w:val="FF0000"/>
          <w:sz w:val="28"/>
          <w:szCs w:val="28"/>
          <w:lang w:eastAsia="lv-LV"/>
        </w:rPr>
        <w:t>742 000</w:t>
      </w:r>
      <w:r w:rsidRPr="006E3DAD">
        <w:rPr>
          <w:rFonts w:ascii="Times New Roman" w:eastAsia="Times New Roman" w:hAnsi="Times New Roman" w:cs="Times New Roman"/>
          <w:bCs/>
          <w:color w:val="FF0000"/>
          <w:sz w:val="28"/>
          <w:szCs w:val="28"/>
          <w:lang w:eastAsia="lv-LV"/>
        </w:rPr>
        <w:t xml:space="preserve"> </w:t>
      </w:r>
      <w:proofErr w:type="spellStart"/>
      <w:r w:rsidRPr="006E3DAD">
        <w:rPr>
          <w:rFonts w:ascii="Times New Roman" w:eastAsia="Times New Roman" w:hAnsi="Times New Roman" w:cs="Times New Roman"/>
          <w:bCs/>
          <w:i/>
          <w:color w:val="FF0000"/>
          <w:sz w:val="28"/>
          <w:szCs w:val="28"/>
          <w:lang w:eastAsia="lv-LV"/>
        </w:rPr>
        <w:t>euro</w:t>
      </w:r>
      <w:proofErr w:type="spellEnd"/>
      <w:r w:rsidRPr="006E3DAD">
        <w:rPr>
          <w:rFonts w:ascii="Times New Roman" w:eastAsia="Times New Roman" w:hAnsi="Times New Roman" w:cs="Times New Roman"/>
          <w:bCs/>
          <w:i/>
          <w:color w:val="FF0000"/>
          <w:sz w:val="28"/>
          <w:szCs w:val="28"/>
          <w:lang w:eastAsia="lv-LV"/>
        </w:rPr>
        <w:t xml:space="preserve"> </w:t>
      </w:r>
      <w:r w:rsidRPr="006E3DAD">
        <w:rPr>
          <w:rFonts w:ascii="Times New Roman" w:eastAsia="Times New Roman" w:hAnsi="Times New Roman" w:cs="Times New Roman"/>
          <w:bCs/>
          <w:color w:val="FF0000"/>
          <w:sz w:val="28"/>
          <w:szCs w:val="28"/>
          <w:lang w:eastAsia="lv-LV"/>
        </w:rPr>
        <w:t>apmērā</w:t>
      </w:r>
      <w:r w:rsidRPr="00A1079F">
        <w:rPr>
          <w:rFonts w:ascii="Times New Roman" w:eastAsia="Times New Roman" w:hAnsi="Times New Roman" w:cs="Times New Roman"/>
          <w:sz w:val="28"/>
          <w:szCs w:val="28"/>
          <w:lang w:eastAsia="lv-LV"/>
        </w:rPr>
        <w:t>. Risinājuma īstenošana nerada izmaiņas budžeta ieņēmumos, jo informatīvā ziņojuma aktivitāte ir jaunu produktu un pakalpojumu ieviešana, tādējādi nepieciešami papildu resursi.</w:t>
      </w:r>
    </w:p>
    <w:p w:rsidR="00A1079F" w:rsidRPr="00A1079F" w:rsidRDefault="00A1079F" w:rsidP="00A1079F">
      <w:pPr>
        <w:tabs>
          <w:tab w:val="left" w:pos="567"/>
        </w:tabs>
        <w:spacing w:after="0" w:line="240" w:lineRule="auto"/>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ab/>
        <w:t xml:space="preserve">Risinājuma īstenošanai finansējums nav paredzēts ne kārtējā saimnieciskā gada, ne arī vidējā termiņa budžeta ietvarā. </w:t>
      </w:r>
    </w:p>
    <w:p w:rsidR="00A1079F" w:rsidRPr="00A1079F" w:rsidRDefault="00A1079F" w:rsidP="006E3DAD">
      <w:pPr>
        <w:spacing w:after="0" w:line="240" w:lineRule="auto"/>
        <w:ind w:right="-1"/>
        <w:jc w:val="both"/>
        <w:rPr>
          <w:rFonts w:ascii="Times New Roman" w:eastAsia="Times New Roman" w:hAnsi="Times New Roman" w:cs="Times New Roman"/>
          <w:sz w:val="28"/>
          <w:szCs w:val="24"/>
          <w:lang w:eastAsia="lv-LV"/>
        </w:rPr>
      </w:pPr>
      <w:r w:rsidRPr="00A1079F">
        <w:rPr>
          <w:rFonts w:ascii="Times New Roman" w:eastAsia="Times New Roman" w:hAnsi="Times New Roman" w:cs="Times New Roman"/>
          <w:sz w:val="28"/>
          <w:szCs w:val="28"/>
          <w:lang w:eastAsia="lv-LV"/>
        </w:rPr>
        <w:tab/>
        <w:t xml:space="preserve">Risinājuma īstenošanai </w:t>
      </w:r>
      <w:r w:rsidRPr="00A1079F">
        <w:rPr>
          <w:rFonts w:ascii="Times New Roman" w:eastAsia="Times New Roman" w:hAnsi="Times New Roman" w:cs="Times New Roman"/>
          <w:color w:val="000000"/>
          <w:sz w:val="28"/>
          <w:szCs w:val="28"/>
          <w:lang w:eastAsia="lv-LV"/>
        </w:rPr>
        <w:t xml:space="preserve">nepieciešams papildus finansējums ir noteikts indikatīvi, ņemot vērā </w:t>
      </w:r>
      <w:r w:rsidRPr="00A1079F">
        <w:rPr>
          <w:rFonts w:ascii="Times New Roman" w:eastAsia="Times New Roman" w:hAnsi="Times New Roman" w:cs="Times New Roman"/>
          <w:sz w:val="28"/>
          <w:szCs w:val="28"/>
          <w:lang w:eastAsia="lv-LV"/>
        </w:rPr>
        <w:t>Iekšlietu ministrijas Informācijas centra praktisko pieredzi, ieviešot jaunus informāciju un komunikāciju tehnoloģiju risinājumus. Nepieciešamais finansējuma apmērs var tikt precizēts atbilstoši faktiskajai noslēgto līgumu izpildei, ņemot vērā arī informāciju un komunikāciju tehnoloģiju risinājumu izstrādes izmaksu inflāciju</w:t>
      </w:r>
      <w:r w:rsidR="00440954">
        <w:rPr>
          <w:rFonts w:ascii="Times New Roman" w:eastAsia="Times New Roman" w:hAnsi="Times New Roman" w:cs="Times New Roman"/>
          <w:sz w:val="28"/>
          <w:szCs w:val="28"/>
          <w:lang w:eastAsia="lv-LV"/>
        </w:rPr>
        <w:t>.</w:t>
      </w:r>
      <w:r w:rsidRPr="00A1079F">
        <w:rPr>
          <w:rFonts w:ascii="Times New Roman" w:eastAsia="Times New Roman" w:hAnsi="Times New Roman" w:cs="Times New Roman"/>
          <w:sz w:val="28"/>
          <w:szCs w:val="28"/>
          <w:lang w:eastAsia="lv-LV"/>
        </w:rPr>
        <w:t xml:space="preserve"> </w:t>
      </w:r>
    </w:p>
    <w:p w:rsidR="00A1079F" w:rsidRPr="00A1079F" w:rsidRDefault="00A1079F" w:rsidP="00A1079F">
      <w:pPr>
        <w:tabs>
          <w:tab w:val="left" w:pos="567"/>
        </w:tabs>
        <w:spacing w:after="0" w:line="240" w:lineRule="auto"/>
        <w:ind w:right="-1"/>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4"/>
          <w:lang w:eastAsia="lv-LV"/>
        </w:rPr>
        <w:tab/>
        <w:t xml:space="preserve">Prognozējamais </w:t>
      </w:r>
      <w:r w:rsidRPr="00A1079F">
        <w:rPr>
          <w:rFonts w:ascii="Times New Roman" w:eastAsia="Times New Roman" w:hAnsi="Times New Roman" w:cs="Times New Roman"/>
          <w:color w:val="000000"/>
          <w:sz w:val="28"/>
          <w:szCs w:val="28"/>
          <w:lang w:eastAsia="lv-LV"/>
        </w:rPr>
        <w:t xml:space="preserve">risinājuma īstenošanas laiks </w:t>
      </w:r>
      <w:r w:rsidRPr="004F0DCA">
        <w:rPr>
          <w:rFonts w:ascii="Times New Roman" w:eastAsia="Times New Roman" w:hAnsi="Times New Roman" w:cs="Times New Roman"/>
          <w:color w:val="000000" w:themeColor="text1"/>
          <w:sz w:val="28"/>
          <w:szCs w:val="28"/>
          <w:lang w:eastAsia="lv-LV"/>
        </w:rPr>
        <w:t>ir 18 mēneši</w:t>
      </w:r>
      <w:r w:rsidRPr="00A1079F">
        <w:rPr>
          <w:rFonts w:ascii="Times New Roman" w:eastAsia="Times New Roman" w:hAnsi="Times New Roman" w:cs="Times New Roman"/>
          <w:color w:val="000000"/>
          <w:sz w:val="28"/>
          <w:szCs w:val="28"/>
          <w:lang w:eastAsia="lv-LV"/>
        </w:rPr>
        <w:t>.</w:t>
      </w:r>
    </w:p>
    <w:p w:rsidR="00A1079F" w:rsidRPr="00A1079F" w:rsidRDefault="00A1079F" w:rsidP="00A1079F">
      <w:pPr>
        <w:tabs>
          <w:tab w:val="left" w:pos="567"/>
        </w:tabs>
        <w:spacing w:after="0" w:line="240" w:lineRule="auto"/>
        <w:jc w:val="both"/>
        <w:rPr>
          <w:rFonts w:ascii="Times New Roman" w:eastAsia="Times New Roman" w:hAnsi="Times New Roman" w:cs="Times New Roman"/>
          <w:sz w:val="28"/>
          <w:szCs w:val="24"/>
          <w:lang w:eastAsia="lv-LV"/>
        </w:rPr>
      </w:pPr>
      <w:r w:rsidRPr="00A1079F">
        <w:rPr>
          <w:rFonts w:ascii="Times New Roman" w:eastAsia="Times New Roman" w:hAnsi="Times New Roman" w:cs="Times New Roman"/>
          <w:color w:val="000000"/>
          <w:sz w:val="28"/>
          <w:szCs w:val="28"/>
          <w:lang w:eastAsia="lv-LV"/>
        </w:rPr>
        <w:tab/>
        <w:t xml:space="preserve">Risinājuma īstenošanai </w:t>
      </w:r>
      <w:r w:rsidRPr="00A1079F">
        <w:rPr>
          <w:rFonts w:ascii="Times New Roman" w:eastAsia="Times New Roman" w:hAnsi="Times New Roman" w:cs="Times New Roman"/>
          <w:sz w:val="28"/>
          <w:szCs w:val="28"/>
          <w:lang w:eastAsia="lv-LV"/>
        </w:rPr>
        <w:t xml:space="preserve">Iekšlietu ministrijas Informācijas centram </w:t>
      </w:r>
      <w:r w:rsidRPr="006E3DAD">
        <w:rPr>
          <w:rFonts w:ascii="Times New Roman" w:eastAsia="Times New Roman" w:hAnsi="Times New Roman" w:cs="Times New Roman"/>
          <w:color w:val="FF0000"/>
          <w:sz w:val="28"/>
          <w:szCs w:val="28"/>
          <w:lang w:eastAsia="lv-LV"/>
        </w:rPr>
        <w:t xml:space="preserve">2025.gadā </w:t>
      </w:r>
      <w:r w:rsidRPr="00A1079F">
        <w:rPr>
          <w:rFonts w:ascii="Times New Roman" w:eastAsia="Times New Roman" w:hAnsi="Times New Roman" w:cs="Times New Roman"/>
          <w:color w:val="000000"/>
          <w:sz w:val="28"/>
          <w:szCs w:val="28"/>
          <w:lang w:eastAsia="lv-LV"/>
        </w:rPr>
        <w:t xml:space="preserve">indikatīvi </w:t>
      </w:r>
      <w:r w:rsidRPr="00A1079F">
        <w:rPr>
          <w:rFonts w:ascii="Times New Roman" w:eastAsia="Times New Roman" w:hAnsi="Times New Roman" w:cs="Times New Roman"/>
          <w:bCs/>
          <w:color w:val="000000"/>
          <w:sz w:val="28"/>
          <w:szCs w:val="28"/>
          <w:lang w:eastAsia="lv-LV"/>
        </w:rPr>
        <w:t xml:space="preserve">nepieciešams finansējums </w:t>
      </w:r>
      <w:r w:rsidRPr="006E3DAD">
        <w:rPr>
          <w:rFonts w:ascii="Times New Roman" w:eastAsia="Times New Roman" w:hAnsi="Times New Roman" w:cs="Times New Roman"/>
          <w:color w:val="FF0000"/>
          <w:sz w:val="28"/>
          <w:szCs w:val="28"/>
          <w:lang w:eastAsia="lv-LV"/>
        </w:rPr>
        <w:t>742 000</w:t>
      </w:r>
      <w:r w:rsidRPr="006E3DAD">
        <w:rPr>
          <w:rFonts w:ascii="Times New Roman" w:eastAsia="Times New Roman" w:hAnsi="Times New Roman" w:cs="Times New Roman"/>
          <w:bCs/>
          <w:color w:val="FF0000"/>
          <w:sz w:val="28"/>
          <w:szCs w:val="28"/>
          <w:lang w:eastAsia="lv-LV"/>
        </w:rPr>
        <w:t xml:space="preserve"> </w:t>
      </w:r>
      <w:proofErr w:type="spellStart"/>
      <w:r w:rsidRPr="006E3DAD">
        <w:rPr>
          <w:rFonts w:ascii="Times New Roman" w:eastAsia="Times New Roman" w:hAnsi="Times New Roman" w:cs="Times New Roman"/>
          <w:bCs/>
          <w:i/>
          <w:color w:val="FF0000"/>
          <w:sz w:val="28"/>
          <w:szCs w:val="28"/>
          <w:lang w:eastAsia="lv-LV"/>
        </w:rPr>
        <w:t>euro</w:t>
      </w:r>
      <w:proofErr w:type="spellEnd"/>
      <w:r w:rsidRPr="006E3DAD">
        <w:rPr>
          <w:rFonts w:ascii="Times New Roman" w:eastAsia="Times New Roman" w:hAnsi="Times New Roman" w:cs="Times New Roman"/>
          <w:bCs/>
          <w:color w:val="FF0000"/>
          <w:sz w:val="28"/>
          <w:szCs w:val="28"/>
          <w:lang w:eastAsia="lv-LV"/>
        </w:rPr>
        <w:t xml:space="preserve"> </w:t>
      </w:r>
      <w:r w:rsidRPr="00A1079F">
        <w:rPr>
          <w:rFonts w:ascii="Times New Roman" w:eastAsia="Times New Roman" w:hAnsi="Times New Roman" w:cs="Times New Roman"/>
          <w:bCs/>
          <w:color w:val="000000"/>
          <w:sz w:val="28"/>
          <w:szCs w:val="28"/>
          <w:lang w:eastAsia="lv-LV"/>
        </w:rPr>
        <w:t xml:space="preserve">apmērā, kā arī </w:t>
      </w:r>
      <w:r w:rsidRPr="006E3DAD">
        <w:rPr>
          <w:rFonts w:ascii="Times New Roman" w:eastAsia="Times New Roman" w:hAnsi="Times New Roman" w:cs="Times New Roman"/>
          <w:bCs/>
          <w:color w:val="FF0000"/>
          <w:sz w:val="28"/>
          <w:szCs w:val="28"/>
          <w:lang w:eastAsia="lv-LV"/>
        </w:rPr>
        <w:t xml:space="preserve">111 300 </w:t>
      </w:r>
      <w:proofErr w:type="spellStart"/>
      <w:r w:rsidRPr="006E3DAD">
        <w:rPr>
          <w:rFonts w:ascii="Times New Roman" w:eastAsia="Times New Roman" w:hAnsi="Times New Roman" w:cs="Times New Roman"/>
          <w:bCs/>
          <w:i/>
          <w:color w:val="FF0000"/>
          <w:sz w:val="28"/>
          <w:szCs w:val="28"/>
          <w:lang w:eastAsia="lv-LV"/>
        </w:rPr>
        <w:t>euro</w:t>
      </w:r>
      <w:proofErr w:type="spellEnd"/>
      <w:r w:rsidRPr="006E3DAD">
        <w:rPr>
          <w:rFonts w:ascii="Times New Roman" w:eastAsia="Times New Roman" w:hAnsi="Times New Roman" w:cs="Times New Roman"/>
          <w:bCs/>
          <w:i/>
          <w:color w:val="FF0000"/>
          <w:sz w:val="28"/>
          <w:szCs w:val="28"/>
          <w:lang w:eastAsia="lv-LV"/>
        </w:rPr>
        <w:t xml:space="preserve"> </w:t>
      </w:r>
      <w:r w:rsidRPr="00A1079F">
        <w:rPr>
          <w:rFonts w:ascii="Times New Roman" w:eastAsia="Times New Roman" w:hAnsi="Times New Roman" w:cs="Times New Roman"/>
          <w:sz w:val="28"/>
          <w:szCs w:val="28"/>
          <w:lang w:eastAsia="lv-LV"/>
        </w:rPr>
        <w:t>gadā</w:t>
      </w:r>
      <w:r w:rsidRPr="00A1079F">
        <w:rPr>
          <w:rFonts w:ascii="Times New Roman" w:eastAsia="Times New Roman" w:hAnsi="Times New Roman" w:cs="Times New Roman"/>
          <w:sz w:val="28"/>
          <w:szCs w:val="24"/>
          <w:lang w:eastAsia="lv-LV"/>
        </w:rPr>
        <w:t xml:space="preserve"> informatīvajā ziņojumā paredzētā risinājuma uzturēšanai un uzlabošanai. </w:t>
      </w:r>
    </w:p>
    <w:p w:rsidR="00A1079F" w:rsidRPr="00A1079F" w:rsidRDefault="00A1079F" w:rsidP="00A1079F">
      <w:pPr>
        <w:tabs>
          <w:tab w:val="left" w:pos="567"/>
        </w:tabs>
        <w:spacing w:after="0" w:line="240" w:lineRule="auto"/>
        <w:jc w:val="both"/>
        <w:rPr>
          <w:rFonts w:ascii="Times New Roman" w:eastAsia="Times New Roman" w:hAnsi="Times New Roman" w:cs="Times New Roman"/>
          <w:bCs/>
          <w:color w:val="000000"/>
          <w:sz w:val="28"/>
          <w:szCs w:val="28"/>
          <w:lang w:eastAsia="lv-LV"/>
        </w:rPr>
      </w:pPr>
    </w:p>
    <w:p w:rsidR="00A1079F" w:rsidRPr="00A1079F" w:rsidRDefault="00A1079F" w:rsidP="006E3DAD">
      <w:pPr>
        <w:spacing w:after="0" w:line="240" w:lineRule="auto"/>
        <w:ind w:right="-1" w:firstLine="709"/>
        <w:jc w:val="both"/>
        <w:rPr>
          <w:rFonts w:ascii="Times New Roman" w:eastAsia="Times New Roman" w:hAnsi="Times New Roman" w:cs="Times New Roman"/>
          <w:color w:val="000000"/>
          <w:sz w:val="28"/>
          <w:szCs w:val="28"/>
          <w:lang w:eastAsia="lv-LV"/>
        </w:rPr>
      </w:pPr>
      <w:r w:rsidRPr="00A1079F">
        <w:rPr>
          <w:rFonts w:ascii="Times New Roman" w:eastAsia="Times New Roman" w:hAnsi="Times New Roman" w:cs="Times New Roman"/>
          <w:color w:val="000000"/>
          <w:sz w:val="28"/>
          <w:szCs w:val="28"/>
          <w:lang w:eastAsia="lv-LV"/>
        </w:rPr>
        <w:t>Ietekmes uz budžetu aprēķini un paskaidrojumi:</w:t>
      </w:r>
    </w:p>
    <w:p w:rsidR="00A1079F" w:rsidRPr="00A1079F" w:rsidRDefault="00A1079F" w:rsidP="006E3DAD">
      <w:pPr>
        <w:numPr>
          <w:ilvl w:val="1"/>
          <w:numId w:val="11"/>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Vienreizējās izmaksas:</w:t>
      </w:r>
    </w:p>
    <w:p w:rsidR="00440954" w:rsidRPr="004F0DCA" w:rsidRDefault="00A1079F" w:rsidP="00440954">
      <w:pPr>
        <w:spacing w:after="0" w:line="240" w:lineRule="auto"/>
        <w:ind w:right="-1" w:firstLine="709"/>
        <w:jc w:val="both"/>
        <w:rPr>
          <w:rFonts w:ascii="Times New Roman" w:eastAsia="Times New Roman" w:hAnsi="Times New Roman" w:cs="Times New Roman"/>
          <w:color w:val="000000" w:themeColor="text1"/>
          <w:sz w:val="28"/>
          <w:szCs w:val="28"/>
          <w:lang w:eastAsia="lv-LV"/>
        </w:rPr>
      </w:pPr>
      <w:r w:rsidRPr="00A1079F">
        <w:rPr>
          <w:rFonts w:ascii="Times New Roman" w:eastAsia="Times New Roman" w:hAnsi="Times New Roman" w:cs="Times New Roman"/>
          <w:color w:val="000000"/>
          <w:sz w:val="28"/>
          <w:szCs w:val="28"/>
          <w:lang w:eastAsia="lv-LV"/>
        </w:rPr>
        <w:lastRenderedPageBreak/>
        <w:tab/>
      </w:r>
      <w:r w:rsidR="004F0DCA" w:rsidRPr="004F0DCA">
        <w:rPr>
          <w:rFonts w:ascii="Times New Roman" w:eastAsia="Times New Roman" w:hAnsi="Times New Roman" w:cs="Times New Roman"/>
          <w:color w:val="000000" w:themeColor="text1"/>
          <w:sz w:val="28"/>
          <w:szCs w:val="28"/>
          <w:lang w:eastAsia="lv-LV"/>
        </w:rPr>
        <w:t xml:space="preserve">Ugunsdrošības un civilās aizsardzības riska instrumenta risinājuma ieviešanai paredzēts piesaistīt ES Atveseļošanas un noturības mehānisma plāna programmas “Digitālā transformācija” </w:t>
      </w:r>
      <w:r w:rsidR="00440954" w:rsidRPr="004F0DCA">
        <w:rPr>
          <w:rFonts w:ascii="Times New Roman" w:eastAsia="Times New Roman" w:hAnsi="Times New Roman" w:cs="Times New Roman"/>
          <w:color w:val="000000" w:themeColor="text1"/>
          <w:sz w:val="28"/>
          <w:szCs w:val="28"/>
          <w:lang w:eastAsia="lv-LV"/>
        </w:rPr>
        <w:t>līdzekļus, ja šāds piešķīrums šim mērķim tiks apstiprināts.</w:t>
      </w:r>
    </w:p>
    <w:p w:rsidR="00A1079F" w:rsidRDefault="00A1079F" w:rsidP="00440954">
      <w:pPr>
        <w:spacing w:after="0" w:line="240" w:lineRule="auto"/>
        <w:ind w:right="-1" w:firstLine="709"/>
        <w:jc w:val="both"/>
        <w:rPr>
          <w:rFonts w:ascii="Times New Roman" w:eastAsia="Times New Roman" w:hAnsi="Times New Roman" w:cs="Times New Roman"/>
          <w:color w:val="000000"/>
          <w:sz w:val="28"/>
          <w:szCs w:val="28"/>
          <w:lang w:eastAsia="lv-LV"/>
        </w:rPr>
      </w:pPr>
      <w:r w:rsidRPr="00A1079F">
        <w:rPr>
          <w:rFonts w:ascii="Times New Roman" w:eastAsia="Times New Roman" w:hAnsi="Times New Roman" w:cs="Times New Roman"/>
          <w:color w:val="000000"/>
          <w:sz w:val="28"/>
          <w:szCs w:val="28"/>
          <w:lang w:eastAsia="lv-LV"/>
        </w:rPr>
        <w:t xml:space="preserve">Risinājuma īstenošanai </w:t>
      </w:r>
      <w:r w:rsidRPr="00A1079F">
        <w:rPr>
          <w:rFonts w:ascii="Times New Roman" w:eastAsia="Times New Roman" w:hAnsi="Times New Roman" w:cs="Times New Roman"/>
          <w:sz w:val="28"/>
          <w:szCs w:val="28"/>
          <w:lang w:eastAsia="lv-LV"/>
        </w:rPr>
        <w:t xml:space="preserve">Iekšlietu ministrijas Informācijas centram </w:t>
      </w:r>
      <w:r w:rsidRPr="006E3DAD">
        <w:rPr>
          <w:rFonts w:ascii="Times New Roman" w:eastAsia="Times New Roman" w:hAnsi="Times New Roman" w:cs="Times New Roman"/>
          <w:color w:val="FF0000"/>
          <w:sz w:val="28"/>
          <w:szCs w:val="28"/>
          <w:lang w:eastAsia="lv-LV"/>
        </w:rPr>
        <w:t xml:space="preserve">2025.gadā </w:t>
      </w:r>
      <w:r w:rsidRPr="00A1079F">
        <w:rPr>
          <w:rFonts w:ascii="Times New Roman" w:eastAsia="Times New Roman" w:hAnsi="Times New Roman" w:cs="Times New Roman"/>
          <w:color w:val="000000"/>
          <w:sz w:val="28"/>
          <w:szCs w:val="28"/>
          <w:lang w:eastAsia="lv-LV"/>
        </w:rPr>
        <w:t xml:space="preserve">indikatīvi paredzamas vienreizējās izmaksas </w:t>
      </w:r>
      <w:r w:rsidRPr="006E3DAD">
        <w:rPr>
          <w:rFonts w:ascii="Times New Roman" w:eastAsia="Times New Roman" w:hAnsi="Times New Roman" w:cs="Times New Roman"/>
          <w:color w:val="FF0000"/>
          <w:sz w:val="28"/>
          <w:szCs w:val="28"/>
          <w:lang w:eastAsia="lv-LV"/>
        </w:rPr>
        <w:t>742 000</w:t>
      </w:r>
      <w:r w:rsidRPr="006E3DAD">
        <w:rPr>
          <w:rFonts w:ascii="Times New Roman" w:eastAsia="Times New Roman" w:hAnsi="Times New Roman" w:cs="Times New Roman"/>
          <w:i/>
          <w:color w:val="FF0000"/>
          <w:sz w:val="28"/>
          <w:szCs w:val="28"/>
          <w:lang w:eastAsia="lv-LV"/>
        </w:rPr>
        <w:t xml:space="preserve"> </w:t>
      </w:r>
      <w:proofErr w:type="spellStart"/>
      <w:r w:rsidRPr="006E3DAD">
        <w:rPr>
          <w:rFonts w:ascii="Times New Roman" w:eastAsia="Times New Roman" w:hAnsi="Times New Roman" w:cs="Times New Roman"/>
          <w:i/>
          <w:color w:val="FF0000"/>
          <w:sz w:val="28"/>
          <w:szCs w:val="28"/>
          <w:lang w:eastAsia="lv-LV"/>
        </w:rPr>
        <w:t>euro</w:t>
      </w:r>
      <w:proofErr w:type="spellEnd"/>
      <w:r w:rsidRPr="006E3DAD">
        <w:rPr>
          <w:rFonts w:ascii="Times New Roman" w:eastAsia="Times New Roman" w:hAnsi="Times New Roman" w:cs="Times New Roman"/>
          <w:color w:val="FF0000"/>
          <w:sz w:val="28"/>
          <w:szCs w:val="28"/>
          <w:lang w:eastAsia="lv-LV"/>
        </w:rPr>
        <w:t xml:space="preserve"> </w:t>
      </w:r>
      <w:r w:rsidRPr="00A1079F">
        <w:rPr>
          <w:rFonts w:ascii="Times New Roman" w:eastAsia="Times New Roman" w:hAnsi="Times New Roman" w:cs="Times New Roman"/>
          <w:color w:val="000000"/>
          <w:sz w:val="28"/>
          <w:szCs w:val="28"/>
          <w:lang w:eastAsia="lv-LV"/>
        </w:rPr>
        <w:t>apmērā. Vienreizējās izmaksu sadalījums pa</w:t>
      </w:r>
      <w:r w:rsidR="00CA4702">
        <w:rPr>
          <w:rFonts w:ascii="Times New Roman" w:eastAsia="Times New Roman" w:hAnsi="Times New Roman" w:cs="Times New Roman"/>
          <w:color w:val="000000"/>
          <w:sz w:val="28"/>
          <w:szCs w:val="28"/>
          <w:lang w:eastAsia="lv-LV"/>
        </w:rPr>
        <w:t xml:space="preserve"> pozīcijām:</w:t>
      </w:r>
    </w:p>
    <w:p w:rsidR="006E3DAD" w:rsidRPr="00A1079F" w:rsidRDefault="006E3DAD" w:rsidP="00A1079F">
      <w:pPr>
        <w:tabs>
          <w:tab w:val="left" w:pos="567"/>
        </w:tabs>
        <w:spacing w:after="0" w:line="240" w:lineRule="auto"/>
        <w:ind w:right="-1"/>
        <w:jc w:val="both"/>
        <w:rPr>
          <w:rFonts w:ascii="Times New Roman" w:eastAsia="Times New Roman" w:hAnsi="Times New Roman" w:cs="Times New Roman"/>
          <w:color w:val="000000"/>
          <w:sz w:val="28"/>
          <w:szCs w:val="28"/>
          <w:lang w:eastAsia="lv-LV"/>
        </w:rPr>
      </w:pPr>
    </w:p>
    <w:p w:rsidR="00A1079F" w:rsidRPr="00A1079F" w:rsidRDefault="00A1079F" w:rsidP="006E3DAD">
      <w:pPr>
        <w:spacing w:after="0" w:line="240" w:lineRule="auto"/>
        <w:jc w:val="center"/>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Vienreizējo izmaksu uzskaitījums un sadalījums</w:t>
      </w:r>
    </w:p>
    <w:tbl>
      <w:tblPr>
        <w:tblW w:w="9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43"/>
        <w:gridCol w:w="1775"/>
      </w:tblGrid>
      <w:tr w:rsidR="00A1079F" w:rsidRPr="00A1079F" w:rsidTr="008E5DE8">
        <w:trPr>
          <w:trHeight w:val="479"/>
        </w:trPr>
        <w:tc>
          <w:tcPr>
            <w:tcW w:w="756" w:type="dxa"/>
          </w:tcPr>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Nr.</w:t>
            </w:r>
          </w:p>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p.k.</w:t>
            </w:r>
          </w:p>
        </w:tc>
        <w:tc>
          <w:tcPr>
            <w:tcW w:w="6643" w:type="dxa"/>
            <w:shd w:val="clear" w:color="auto" w:fill="auto"/>
            <w:vAlign w:val="center"/>
          </w:tcPr>
          <w:p w:rsidR="00A1079F" w:rsidRPr="00A1079F" w:rsidRDefault="00A1079F" w:rsidP="00A1079F">
            <w:pPr>
              <w:spacing w:after="0" w:line="240" w:lineRule="auto"/>
              <w:jc w:val="center"/>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Vienreizējās izmaksas nosaukums</w:t>
            </w:r>
          </w:p>
        </w:tc>
        <w:tc>
          <w:tcPr>
            <w:tcW w:w="1775" w:type="dxa"/>
            <w:shd w:val="clear" w:color="auto" w:fill="auto"/>
            <w:vAlign w:val="center"/>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b/>
                <w:bCs/>
                <w:color w:val="FF0000"/>
                <w:sz w:val="24"/>
                <w:szCs w:val="24"/>
                <w:lang w:eastAsia="lv-LV"/>
              </w:rPr>
              <w:t>Summa,</w:t>
            </w:r>
          </w:p>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proofErr w:type="spellStart"/>
            <w:r w:rsidRPr="006E3DAD">
              <w:rPr>
                <w:rFonts w:ascii="Times New Roman" w:eastAsia="Times New Roman" w:hAnsi="Times New Roman" w:cs="Times New Roman"/>
                <w:b/>
                <w:bCs/>
                <w:i/>
                <w:iCs/>
                <w:color w:val="FF0000"/>
                <w:sz w:val="24"/>
                <w:szCs w:val="24"/>
                <w:lang w:eastAsia="lv-LV"/>
              </w:rPr>
              <w:t>euro</w:t>
            </w:r>
            <w:proofErr w:type="spellEnd"/>
          </w:p>
        </w:tc>
      </w:tr>
      <w:tr w:rsidR="00A1079F" w:rsidRPr="00A1079F" w:rsidTr="008E5DE8">
        <w:trPr>
          <w:trHeight w:val="204"/>
        </w:trPr>
        <w:tc>
          <w:tcPr>
            <w:tcW w:w="756" w:type="dxa"/>
          </w:tcPr>
          <w:p w:rsidR="00A1079F" w:rsidRPr="00A1079F" w:rsidRDefault="00A1079F" w:rsidP="00A1079F">
            <w:pPr>
              <w:spacing w:after="0" w:line="240" w:lineRule="auto"/>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1.</w:t>
            </w:r>
          </w:p>
        </w:tc>
        <w:tc>
          <w:tcPr>
            <w:tcW w:w="6643" w:type="dxa"/>
            <w:shd w:val="clear" w:color="auto" w:fill="auto"/>
          </w:tcPr>
          <w:p w:rsidR="00A1079F" w:rsidRPr="00A1079F" w:rsidRDefault="00A1079F" w:rsidP="00A1079F">
            <w:pPr>
              <w:spacing w:after="0" w:line="240" w:lineRule="auto"/>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Projekta dokumentācijas sagatavošanas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b/>
                <w:bCs/>
                <w:color w:val="FF0000"/>
                <w:sz w:val="24"/>
                <w:szCs w:val="24"/>
                <w:lang w:eastAsia="lv-LV"/>
              </w:rPr>
              <w:t>95 000</w:t>
            </w:r>
          </w:p>
        </w:tc>
      </w:tr>
      <w:tr w:rsidR="00A1079F" w:rsidRPr="00A1079F" w:rsidTr="008E5DE8">
        <w:trPr>
          <w:trHeight w:val="207"/>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1.1.</w:t>
            </w:r>
          </w:p>
        </w:tc>
        <w:tc>
          <w:tcPr>
            <w:tcW w:w="6643" w:type="dxa"/>
            <w:shd w:val="clear" w:color="auto" w:fill="auto"/>
            <w:hideMark/>
          </w:tcPr>
          <w:p w:rsidR="00A1079F" w:rsidRPr="00A1079F" w:rsidRDefault="00A1079F" w:rsidP="00A1079F">
            <w:pPr>
              <w:spacing w:after="0" w:line="240" w:lineRule="auto"/>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Projekta pamatojošās dokumentācijas sagatavošanas izmaksas</w:t>
            </w:r>
          </w:p>
        </w:tc>
        <w:tc>
          <w:tcPr>
            <w:tcW w:w="1775" w:type="dxa"/>
            <w:shd w:val="clear" w:color="auto" w:fill="auto"/>
            <w:hideMark/>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r w:rsidRPr="006E3DAD">
              <w:rPr>
                <w:rFonts w:ascii="Times New Roman" w:eastAsia="Times New Roman" w:hAnsi="Times New Roman" w:cs="Times New Roman"/>
                <w:color w:val="FF0000"/>
                <w:sz w:val="24"/>
                <w:szCs w:val="24"/>
                <w:lang w:eastAsia="lv-LV"/>
              </w:rPr>
              <w:t>15 000*</w:t>
            </w:r>
          </w:p>
        </w:tc>
      </w:tr>
      <w:tr w:rsidR="00A1079F" w:rsidRPr="00A1079F" w:rsidTr="008E5DE8">
        <w:trPr>
          <w:trHeight w:val="557"/>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1.2.</w:t>
            </w:r>
          </w:p>
        </w:tc>
        <w:tc>
          <w:tcPr>
            <w:tcW w:w="6643" w:type="dxa"/>
            <w:shd w:val="clear" w:color="auto" w:fill="auto"/>
            <w:vAlign w:val="center"/>
            <w:hideMark/>
          </w:tcPr>
          <w:p w:rsidR="00A1079F" w:rsidRPr="00A1079F" w:rsidRDefault="00A1079F" w:rsidP="00A1079F">
            <w:pPr>
              <w:spacing w:after="0" w:line="240" w:lineRule="auto"/>
              <w:jc w:val="both"/>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informācijas sistēmas iegādes tehniskās specifikācijas izstrādes izmaksas</w:t>
            </w:r>
          </w:p>
        </w:tc>
        <w:tc>
          <w:tcPr>
            <w:tcW w:w="1775" w:type="dxa"/>
            <w:shd w:val="clear" w:color="auto" w:fill="auto"/>
            <w:hideMark/>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r w:rsidRPr="006E3DAD">
              <w:rPr>
                <w:rFonts w:ascii="Times New Roman" w:eastAsia="Times New Roman" w:hAnsi="Times New Roman" w:cs="Times New Roman"/>
                <w:color w:val="FF0000"/>
                <w:sz w:val="24"/>
                <w:szCs w:val="24"/>
                <w:lang w:eastAsia="lv-LV"/>
              </w:rPr>
              <w:t>40 000</w:t>
            </w:r>
          </w:p>
        </w:tc>
      </w:tr>
      <w:tr w:rsidR="00A1079F" w:rsidRPr="00A1079F" w:rsidTr="008E5DE8">
        <w:trPr>
          <w:trHeight w:val="48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1.3.</w:t>
            </w:r>
          </w:p>
        </w:tc>
        <w:tc>
          <w:tcPr>
            <w:tcW w:w="6643" w:type="dxa"/>
            <w:shd w:val="clear" w:color="auto" w:fill="auto"/>
            <w:hideMark/>
          </w:tcPr>
          <w:p w:rsidR="00A1079F" w:rsidRPr="00A1079F" w:rsidRDefault="00A1079F" w:rsidP="00A1079F">
            <w:pPr>
              <w:spacing w:after="0" w:line="240" w:lineRule="auto"/>
              <w:jc w:val="both"/>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informācijas sistēmas programmatūras prasību specifikācijas izstrādes izmaksas</w:t>
            </w:r>
          </w:p>
        </w:tc>
        <w:tc>
          <w:tcPr>
            <w:tcW w:w="1775" w:type="dxa"/>
            <w:shd w:val="clear" w:color="auto" w:fill="auto"/>
            <w:hideMark/>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r w:rsidRPr="006E3DAD">
              <w:rPr>
                <w:rFonts w:ascii="Times New Roman" w:eastAsia="Times New Roman" w:hAnsi="Times New Roman" w:cs="Times New Roman"/>
                <w:color w:val="FF0000"/>
                <w:sz w:val="24"/>
                <w:szCs w:val="24"/>
                <w:lang w:eastAsia="lv-LV"/>
              </w:rPr>
              <w:t>40 000</w:t>
            </w:r>
          </w:p>
        </w:tc>
      </w:tr>
      <w:tr w:rsidR="00A1079F" w:rsidRPr="00A1079F" w:rsidTr="008E5DE8">
        <w:trPr>
          <w:trHeight w:val="558"/>
        </w:trPr>
        <w:tc>
          <w:tcPr>
            <w:tcW w:w="756" w:type="dxa"/>
          </w:tcPr>
          <w:p w:rsidR="00A1079F" w:rsidRPr="00A1079F" w:rsidRDefault="00A1079F" w:rsidP="00A1079F">
            <w:pPr>
              <w:spacing w:after="0" w:line="240" w:lineRule="auto"/>
              <w:jc w:val="both"/>
              <w:rPr>
                <w:rFonts w:ascii="Times New Roman" w:eastAsia="Times New Roman" w:hAnsi="Times New Roman" w:cs="Times New Roman"/>
                <w:b/>
                <w:color w:val="000000"/>
                <w:sz w:val="24"/>
                <w:szCs w:val="24"/>
                <w:lang w:eastAsia="lv-LV"/>
              </w:rPr>
            </w:pPr>
            <w:r w:rsidRPr="00A1079F">
              <w:rPr>
                <w:rFonts w:ascii="Times New Roman" w:eastAsia="Times New Roman" w:hAnsi="Times New Roman" w:cs="Times New Roman"/>
                <w:b/>
                <w:color w:val="000000"/>
                <w:sz w:val="24"/>
                <w:szCs w:val="24"/>
                <w:lang w:eastAsia="lv-LV"/>
              </w:rPr>
              <w:t>2.</w:t>
            </w:r>
          </w:p>
        </w:tc>
        <w:tc>
          <w:tcPr>
            <w:tcW w:w="6643" w:type="dxa"/>
            <w:shd w:val="clear" w:color="auto" w:fill="auto"/>
          </w:tcPr>
          <w:p w:rsidR="00A1079F" w:rsidRPr="00A1079F" w:rsidRDefault="00A1079F" w:rsidP="00A1079F">
            <w:pPr>
              <w:spacing w:after="0" w:line="240" w:lineRule="auto"/>
              <w:jc w:val="both"/>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b/>
                <w:bCs/>
                <w:color w:val="000000"/>
                <w:sz w:val="24"/>
                <w:szCs w:val="24"/>
                <w:lang w:eastAsia="lv-LV"/>
              </w:rPr>
              <w:t>Ar projektu saistītās sistēmas programmatūras izstrādes un ieviešanas kvalitātes kontroles veikšanas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r w:rsidRPr="006E3DAD">
              <w:rPr>
                <w:rFonts w:ascii="Times New Roman" w:eastAsia="Times New Roman" w:hAnsi="Times New Roman" w:cs="Times New Roman"/>
                <w:b/>
                <w:bCs/>
                <w:color w:val="FF0000"/>
                <w:sz w:val="24"/>
                <w:szCs w:val="24"/>
                <w:lang w:eastAsia="lv-LV"/>
              </w:rPr>
              <w:t>120 000</w:t>
            </w:r>
          </w:p>
        </w:tc>
      </w:tr>
      <w:tr w:rsidR="00A1079F" w:rsidRPr="00A1079F" w:rsidTr="008E5DE8">
        <w:trPr>
          <w:trHeight w:val="139"/>
        </w:trPr>
        <w:tc>
          <w:tcPr>
            <w:tcW w:w="756" w:type="dxa"/>
          </w:tcPr>
          <w:p w:rsidR="00A1079F" w:rsidRPr="00A1079F" w:rsidRDefault="00A1079F" w:rsidP="00A1079F">
            <w:pPr>
              <w:spacing w:after="0" w:line="240" w:lineRule="auto"/>
              <w:rPr>
                <w:rFonts w:ascii="Times New Roman" w:eastAsia="Times New Roman" w:hAnsi="Times New Roman" w:cs="Times New Roman"/>
                <w:b/>
                <w:color w:val="000000"/>
                <w:sz w:val="24"/>
                <w:szCs w:val="24"/>
                <w:lang w:eastAsia="lv-LV"/>
              </w:rPr>
            </w:pPr>
            <w:r w:rsidRPr="00A1079F">
              <w:rPr>
                <w:rFonts w:ascii="Times New Roman" w:eastAsia="Times New Roman" w:hAnsi="Times New Roman" w:cs="Times New Roman"/>
                <w:b/>
                <w:color w:val="000000"/>
                <w:sz w:val="24"/>
                <w:szCs w:val="24"/>
                <w:lang w:eastAsia="lv-LV"/>
              </w:rPr>
              <w:t>3.</w:t>
            </w:r>
          </w:p>
        </w:tc>
        <w:tc>
          <w:tcPr>
            <w:tcW w:w="6643" w:type="dxa"/>
            <w:shd w:val="clear" w:color="auto" w:fill="auto"/>
          </w:tcPr>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b/>
                <w:bCs/>
                <w:color w:val="000000"/>
                <w:sz w:val="24"/>
                <w:szCs w:val="24"/>
                <w:lang w:eastAsia="lv-LV"/>
              </w:rPr>
              <w:t>Informācijas sistēmu izstrādes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b/>
                <w:bCs/>
                <w:color w:val="FF0000"/>
                <w:sz w:val="24"/>
                <w:szCs w:val="24"/>
                <w:lang w:eastAsia="lv-LV"/>
              </w:rPr>
              <w:t>527 000</w:t>
            </w:r>
          </w:p>
        </w:tc>
      </w:tr>
      <w:tr w:rsidR="00A1079F" w:rsidRPr="00A1079F" w:rsidTr="008E5DE8">
        <w:trPr>
          <w:trHeight w:val="30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3.1.</w:t>
            </w:r>
          </w:p>
        </w:tc>
        <w:tc>
          <w:tcPr>
            <w:tcW w:w="6643" w:type="dxa"/>
            <w:shd w:val="clear" w:color="auto" w:fill="auto"/>
            <w:vAlign w:val="center"/>
          </w:tcPr>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color w:val="000000"/>
                <w:sz w:val="24"/>
                <w:szCs w:val="24"/>
                <w:lang w:eastAsia="lv-LV"/>
              </w:rPr>
              <w:t xml:space="preserve">informācijas sistēmas programmatūras izstrādes izmaksas, t.sk., datu apmaiņas </w:t>
            </w:r>
            <w:proofErr w:type="spellStart"/>
            <w:r w:rsidRPr="00A1079F">
              <w:rPr>
                <w:rFonts w:ascii="Times New Roman" w:eastAsia="Times New Roman" w:hAnsi="Times New Roman" w:cs="Times New Roman"/>
                <w:color w:val="000000"/>
                <w:sz w:val="24"/>
                <w:szCs w:val="24"/>
                <w:lang w:eastAsia="lv-LV"/>
              </w:rPr>
              <w:t>saskarnes</w:t>
            </w:r>
            <w:proofErr w:type="spellEnd"/>
            <w:r w:rsidRPr="00A1079F">
              <w:rPr>
                <w:rFonts w:ascii="Times New Roman" w:eastAsia="Times New Roman" w:hAnsi="Times New Roman" w:cs="Times New Roman"/>
                <w:color w:val="000000"/>
                <w:sz w:val="24"/>
                <w:szCs w:val="24"/>
                <w:lang w:eastAsia="lv-LV"/>
              </w:rPr>
              <w:t xml:space="preserve"> izveides ar ārējām sistēmām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color w:val="FF0000"/>
                <w:sz w:val="24"/>
                <w:szCs w:val="24"/>
                <w:lang w:eastAsia="lv-LV"/>
              </w:rPr>
              <w:t>500 000</w:t>
            </w:r>
          </w:p>
        </w:tc>
      </w:tr>
      <w:tr w:rsidR="00A1079F" w:rsidRPr="00A1079F" w:rsidTr="008E5DE8">
        <w:trPr>
          <w:trHeight w:val="30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3.2.</w:t>
            </w:r>
          </w:p>
        </w:tc>
        <w:tc>
          <w:tcPr>
            <w:tcW w:w="6643" w:type="dxa"/>
            <w:shd w:val="clear" w:color="auto" w:fill="auto"/>
            <w:vAlign w:val="center"/>
          </w:tcPr>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color w:val="000000"/>
                <w:sz w:val="24"/>
                <w:szCs w:val="24"/>
                <w:lang w:eastAsia="lv-LV"/>
              </w:rPr>
              <w:t>programmatūras projektējuma dokumentācijas izstrādes izmaksas</w:t>
            </w:r>
          </w:p>
        </w:tc>
        <w:tc>
          <w:tcPr>
            <w:tcW w:w="1775" w:type="dxa"/>
            <w:shd w:val="clear" w:color="auto" w:fill="auto"/>
            <w:vAlign w:val="center"/>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color w:val="FF0000"/>
                <w:sz w:val="24"/>
                <w:szCs w:val="24"/>
                <w:lang w:eastAsia="lv-LV"/>
              </w:rPr>
              <w:t>6000</w:t>
            </w:r>
          </w:p>
        </w:tc>
      </w:tr>
      <w:tr w:rsidR="00A1079F" w:rsidRPr="00A1079F" w:rsidTr="008E5DE8">
        <w:trPr>
          <w:trHeight w:val="30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3.3.</w:t>
            </w:r>
          </w:p>
        </w:tc>
        <w:tc>
          <w:tcPr>
            <w:tcW w:w="6643" w:type="dxa"/>
            <w:shd w:val="clear" w:color="auto" w:fill="auto"/>
          </w:tcPr>
          <w:p w:rsidR="00A1079F" w:rsidRPr="00A1079F" w:rsidRDefault="00A1079F" w:rsidP="00A1079F">
            <w:pPr>
              <w:spacing w:after="0" w:line="240" w:lineRule="auto"/>
              <w:jc w:val="both"/>
              <w:rPr>
                <w:rFonts w:ascii="Times New Roman" w:eastAsia="Times New Roman" w:hAnsi="Times New Roman" w:cs="Times New Roman"/>
                <w:b/>
                <w:bCs/>
                <w:color w:val="000000"/>
                <w:sz w:val="24"/>
                <w:szCs w:val="24"/>
                <w:lang w:eastAsia="lv-LV"/>
              </w:rPr>
            </w:pPr>
            <w:r w:rsidRPr="00A1079F">
              <w:rPr>
                <w:rFonts w:ascii="Times New Roman" w:eastAsia="Times New Roman" w:hAnsi="Times New Roman" w:cs="Times New Roman"/>
                <w:color w:val="000000"/>
                <w:sz w:val="24"/>
                <w:szCs w:val="24"/>
                <w:lang w:eastAsia="lv-LV"/>
              </w:rPr>
              <w:t>programmatūras lietotāja un administratora rokasgrāmatu izstrādes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b/>
                <w:bCs/>
                <w:color w:val="FF0000"/>
                <w:sz w:val="24"/>
                <w:szCs w:val="24"/>
                <w:lang w:eastAsia="lv-LV"/>
              </w:rPr>
            </w:pPr>
            <w:r w:rsidRPr="006E3DAD">
              <w:rPr>
                <w:rFonts w:ascii="Times New Roman" w:eastAsia="Times New Roman" w:hAnsi="Times New Roman" w:cs="Times New Roman"/>
                <w:color w:val="FF0000"/>
                <w:sz w:val="24"/>
                <w:szCs w:val="24"/>
                <w:lang w:eastAsia="lv-LV"/>
              </w:rPr>
              <w:t>6000</w:t>
            </w:r>
          </w:p>
        </w:tc>
      </w:tr>
      <w:tr w:rsidR="00A1079F" w:rsidRPr="00A1079F" w:rsidTr="008E5DE8">
        <w:trPr>
          <w:trHeight w:val="30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3.4.</w:t>
            </w:r>
          </w:p>
        </w:tc>
        <w:tc>
          <w:tcPr>
            <w:tcW w:w="6643" w:type="dxa"/>
            <w:shd w:val="clear" w:color="auto" w:fill="auto"/>
          </w:tcPr>
          <w:p w:rsidR="00A1079F" w:rsidRPr="00A1079F" w:rsidRDefault="00A1079F" w:rsidP="00A1079F">
            <w:pPr>
              <w:spacing w:after="0" w:line="240" w:lineRule="auto"/>
              <w:jc w:val="both"/>
              <w:rPr>
                <w:rFonts w:ascii="Times New Roman" w:eastAsia="Times New Roman" w:hAnsi="Times New Roman" w:cs="Times New Roman"/>
                <w:color w:val="000000"/>
                <w:sz w:val="24"/>
                <w:szCs w:val="24"/>
                <w:lang w:eastAsia="lv-LV"/>
              </w:rPr>
            </w:pPr>
            <w:r w:rsidRPr="00A1079F">
              <w:rPr>
                <w:rFonts w:ascii="Times New Roman" w:eastAsia="Times New Roman" w:hAnsi="Times New Roman" w:cs="Times New Roman"/>
                <w:color w:val="000000"/>
                <w:sz w:val="24"/>
                <w:szCs w:val="24"/>
                <w:lang w:eastAsia="lv-LV"/>
              </w:rPr>
              <w:t>izveidotās informācijas sistēmas drošības audita veikšanas izmaksas</w:t>
            </w: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r w:rsidRPr="006E3DAD">
              <w:rPr>
                <w:rFonts w:ascii="Times New Roman" w:eastAsia="Times New Roman" w:hAnsi="Times New Roman" w:cs="Times New Roman"/>
                <w:color w:val="FF0000"/>
                <w:sz w:val="24"/>
                <w:szCs w:val="24"/>
                <w:lang w:eastAsia="lv-LV"/>
              </w:rPr>
              <w:t>15 000**</w:t>
            </w:r>
          </w:p>
        </w:tc>
      </w:tr>
      <w:tr w:rsidR="00A1079F" w:rsidRPr="00A1079F" w:rsidTr="008E5DE8">
        <w:trPr>
          <w:trHeight w:val="300"/>
        </w:trPr>
        <w:tc>
          <w:tcPr>
            <w:tcW w:w="756" w:type="dxa"/>
          </w:tcPr>
          <w:p w:rsidR="00A1079F" w:rsidRPr="00A1079F" w:rsidRDefault="00A1079F" w:rsidP="00A1079F">
            <w:pPr>
              <w:spacing w:after="0" w:line="240" w:lineRule="auto"/>
              <w:jc w:val="center"/>
              <w:rPr>
                <w:rFonts w:ascii="Times New Roman" w:eastAsia="Times New Roman" w:hAnsi="Times New Roman" w:cs="Times New Roman"/>
                <w:color w:val="000000"/>
                <w:sz w:val="24"/>
                <w:szCs w:val="24"/>
                <w:lang w:eastAsia="lv-LV"/>
              </w:rPr>
            </w:pPr>
          </w:p>
        </w:tc>
        <w:tc>
          <w:tcPr>
            <w:tcW w:w="6643" w:type="dxa"/>
            <w:shd w:val="clear" w:color="auto" w:fill="auto"/>
          </w:tcPr>
          <w:p w:rsidR="00A1079F" w:rsidRPr="00A1079F" w:rsidRDefault="00A1079F" w:rsidP="00A1079F">
            <w:pPr>
              <w:spacing w:after="0" w:line="240" w:lineRule="auto"/>
              <w:jc w:val="both"/>
              <w:rPr>
                <w:rFonts w:ascii="Times New Roman" w:eastAsia="Times New Roman" w:hAnsi="Times New Roman" w:cs="Times New Roman"/>
                <w:color w:val="000000"/>
                <w:sz w:val="24"/>
                <w:szCs w:val="24"/>
                <w:lang w:eastAsia="lv-LV"/>
              </w:rPr>
            </w:pPr>
          </w:p>
        </w:tc>
        <w:tc>
          <w:tcPr>
            <w:tcW w:w="1775" w:type="dxa"/>
            <w:shd w:val="clear" w:color="auto" w:fill="auto"/>
          </w:tcPr>
          <w:p w:rsidR="00A1079F" w:rsidRPr="006E3DAD" w:rsidRDefault="00A1079F" w:rsidP="00A1079F">
            <w:pPr>
              <w:spacing w:after="0" w:line="240" w:lineRule="auto"/>
              <w:jc w:val="center"/>
              <w:rPr>
                <w:rFonts w:ascii="Times New Roman" w:eastAsia="Times New Roman" w:hAnsi="Times New Roman" w:cs="Times New Roman"/>
                <w:color w:val="FF0000"/>
                <w:sz w:val="24"/>
                <w:szCs w:val="24"/>
                <w:lang w:eastAsia="lv-LV"/>
              </w:rPr>
            </w:pPr>
          </w:p>
        </w:tc>
      </w:tr>
      <w:tr w:rsidR="00A1079F" w:rsidRPr="00A1079F" w:rsidTr="008E5DE8">
        <w:trPr>
          <w:trHeight w:val="300"/>
        </w:trPr>
        <w:tc>
          <w:tcPr>
            <w:tcW w:w="7399" w:type="dxa"/>
            <w:gridSpan w:val="2"/>
          </w:tcPr>
          <w:p w:rsidR="00A1079F" w:rsidRPr="00A1079F" w:rsidRDefault="00A1079F" w:rsidP="00A1079F">
            <w:pPr>
              <w:spacing w:after="0" w:line="240" w:lineRule="auto"/>
              <w:jc w:val="right"/>
              <w:rPr>
                <w:rFonts w:ascii="Times New Roman" w:eastAsia="Times New Roman" w:hAnsi="Times New Roman" w:cs="Times New Roman"/>
                <w:b/>
                <w:color w:val="000000"/>
                <w:sz w:val="24"/>
                <w:szCs w:val="24"/>
                <w:lang w:eastAsia="lv-LV"/>
              </w:rPr>
            </w:pPr>
            <w:r w:rsidRPr="00A1079F">
              <w:rPr>
                <w:rFonts w:ascii="Times New Roman" w:eastAsia="Times New Roman" w:hAnsi="Times New Roman" w:cs="Times New Roman"/>
                <w:b/>
                <w:color w:val="000000"/>
                <w:sz w:val="24"/>
                <w:szCs w:val="24"/>
                <w:lang w:eastAsia="lv-LV"/>
              </w:rPr>
              <w:t>Kopā:</w:t>
            </w:r>
          </w:p>
        </w:tc>
        <w:tc>
          <w:tcPr>
            <w:tcW w:w="1775" w:type="dxa"/>
            <w:shd w:val="clear" w:color="auto" w:fill="auto"/>
            <w:vAlign w:val="center"/>
          </w:tcPr>
          <w:p w:rsidR="00A1079F" w:rsidRPr="006E3DAD" w:rsidRDefault="00A1079F" w:rsidP="00A1079F">
            <w:pPr>
              <w:spacing w:after="0" w:line="240" w:lineRule="auto"/>
              <w:jc w:val="center"/>
              <w:rPr>
                <w:rFonts w:ascii="Times New Roman" w:eastAsia="Times New Roman" w:hAnsi="Times New Roman" w:cs="Times New Roman"/>
                <w:b/>
                <w:color w:val="FF0000"/>
                <w:sz w:val="24"/>
                <w:szCs w:val="24"/>
                <w:lang w:eastAsia="lv-LV"/>
              </w:rPr>
            </w:pPr>
            <w:r w:rsidRPr="006E3DAD">
              <w:rPr>
                <w:rFonts w:ascii="Times New Roman" w:eastAsia="Times New Roman" w:hAnsi="Times New Roman" w:cs="Times New Roman"/>
                <w:b/>
                <w:color w:val="FF0000"/>
                <w:sz w:val="24"/>
                <w:szCs w:val="24"/>
                <w:lang w:eastAsia="lv-LV"/>
              </w:rPr>
              <w:t>742 000</w:t>
            </w:r>
          </w:p>
        </w:tc>
      </w:tr>
    </w:tbl>
    <w:p w:rsidR="00A1079F" w:rsidRPr="00A1079F" w:rsidRDefault="00A1079F" w:rsidP="00A1079F">
      <w:pPr>
        <w:spacing w:after="0" w:line="240" w:lineRule="auto"/>
        <w:jc w:val="both"/>
        <w:rPr>
          <w:rFonts w:ascii="Times New Roman" w:eastAsia="Times New Roman" w:hAnsi="Times New Roman" w:cs="Times New Roman"/>
          <w:color w:val="000000"/>
          <w:sz w:val="20"/>
          <w:szCs w:val="20"/>
          <w:lang w:eastAsia="lv-LV"/>
        </w:rPr>
      </w:pPr>
      <w:r w:rsidRPr="00A1079F">
        <w:rPr>
          <w:rFonts w:ascii="Times New Roman" w:eastAsia="Times New Roman" w:hAnsi="Times New Roman" w:cs="Times New Roman"/>
          <w:color w:val="000000"/>
          <w:sz w:val="20"/>
          <w:szCs w:val="20"/>
          <w:lang w:eastAsia="lv-LV"/>
        </w:rPr>
        <w:t xml:space="preserve">*Pēc </w:t>
      </w:r>
      <w:r w:rsidRPr="00A1079F">
        <w:rPr>
          <w:rFonts w:ascii="Times New Roman" w:eastAsia="Times New Roman" w:hAnsi="Times New Roman" w:cs="Times New Roman"/>
          <w:sz w:val="20"/>
          <w:szCs w:val="20"/>
          <w:lang w:eastAsia="lv-LV"/>
        </w:rPr>
        <w:t>Elektronisko iepirkumu sistēmas</w:t>
      </w:r>
      <w:r w:rsidRPr="00A1079F">
        <w:rPr>
          <w:rFonts w:ascii="Times New Roman" w:eastAsia="Times New Roman" w:hAnsi="Times New Roman" w:cs="Times New Roman"/>
          <w:color w:val="000000"/>
          <w:sz w:val="20"/>
          <w:szCs w:val="20"/>
          <w:lang w:eastAsia="lv-LV"/>
        </w:rPr>
        <w:t xml:space="preserve"> datiem minimālā stundas likme šādam pakalpojumam ir 43 </w:t>
      </w:r>
      <w:proofErr w:type="spellStart"/>
      <w:r w:rsidRPr="00A1079F">
        <w:rPr>
          <w:rFonts w:ascii="Times New Roman" w:eastAsia="Times New Roman" w:hAnsi="Times New Roman" w:cs="Times New Roman"/>
          <w:i/>
          <w:color w:val="000000"/>
          <w:sz w:val="20"/>
          <w:szCs w:val="20"/>
          <w:lang w:eastAsia="lv-LV"/>
        </w:rPr>
        <w:t>euro</w:t>
      </w:r>
      <w:proofErr w:type="spellEnd"/>
      <w:r w:rsidRPr="00A1079F">
        <w:rPr>
          <w:rFonts w:ascii="Times New Roman" w:eastAsia="Times New Roman" w:hAnsi="Times New Roman" w:cs="Times New Roman"/>
          <w:color w:val="000000"/>
          <w:sz w:val="20"/>
          <w:szCs w:val="20"/>
          <w:lang w:eastAsia="lv-LV"/>
        </w:rPr>
        <w:t xml:space="preserve"> ar PVN.</w:t>
      </w:r>
    </w:p>
    <w:p w:rsidR="00A1079F" w:rsidRPr="00A1079F" w:rsidRDefault="00A1079F" w:rsidP="00A1079F">
      <w:pPr>
        <w:spacing w:after="0" w:line="240" w:lineRule="auto"/>
        <w:ind w:right="-1"/>
        <w:rPr>
          <w:rFonts w:ascii="Times New Roman" w:eastAsia="Times New Roman" w:hAnsi="Times New Roman" w:cs="Times New Roman"/>
          <w:sz w:val="20"/>
          <w:szCs w:val="20"/>
          <w:lang w:eastAsia="lv-LV"/>
        </w:rPr>
      </w:pPr>
      <w:r w:rsidRPr="00A1079F">
        <w:rPr>
          <w:rFonts w:ascii="Times New Roman" w:eastAsia="Times New Roman" w:hAnsi="Times New Roman" w:cs="Times New Roman"/>
          <w:sz w:val="20"/>
          <w:szCs w:val="20"/>
          <w:lang w:eastAsia="lv-LV"/>
        </w:rPr>
        <w:t xml:space="preserve">**Aptuvenā tirgus cena 5000 - 20 000 </w:t>
      </w:r>
      <w:proofErr w:type="spellStart"/>
      <w:r w:rsidRPr="00A1079F">
        <w:rPr>
          <w:rFonts w:ascii="Times New Roman" w:eastAsia="Times New Roman" w:hAnsi="Times New Roman" w:cs="Times New Roman"/>
          <w:i/>
          <w:sz w:val="20"/>
          <w:szCs w:val="20"/>
          <w:lang w:eastAsia="lv-LV"/>
        </w:rPr>
        <w:t>euro</w:t>
      </w:r>
      <w:proofErr w:type="spellEnd"/>
      <w:r w:rsidRPr="00A1079F">
        <w:rPr>
          <w:rFonts w:ascii="Times New Roman" w:eastAsia="Times New Roman" w:hAnsi="Times New Roman" w:cs="Times New Roman"/>
          <w:sz w:val="20"/>
          <w:szCs w:val="20"/>
          <w:lang w:eastAsia="lv-LV"/>
        </w:rPr>
        <w:t>.</w:t>
      </w:r>
    </w:p>
    <w:p w:rsidR="00A1079F" w:rsidRPr="00A1079F" w:rsidRDefault="00A1079F" w:rsidP="00A1079F">
      <w:pPr>
        <w:spacing w:after="0" w:line="240" w:lineRule="auto"/>
        <w:ind w:left="284" w:right="-1"/>
        <w:contextualSpacing/>
        <w:jc w:val="both"/>
        <w:rPr>
          <w:rFonts w:ascii="Times New Roman" w:eastAsia="Times New Roman" w:hAnsi="Times New Roman" w:cs="Times New Roman"/>
          <w:b/>
          <w:sz w:val="28"/>
          <w:szCs w:val="28"/>
          <w:lang w:eastAsia="lv-LV"/>
        </w:rPr>
      </w:pPr>
    </w:p>
    <w:p w:rsidR="00A1079F" w:rsidRPr="00A1079F" w:rsidRDefault="00A1079F" w:rsidP="006E3DAD">
      <w:pPr>
        <w:numPr>
          <w:ilvl w:val="1"/>
          <w:numId w:val="11"/>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Uzturēšanas un uzlabošanas izmaksas:</w:t>
      </w:r>
    </w:p>
    <w:p w:rsidR="00A1079F" w:rsidRPr="00A1079F" w:rsidRDefault="00A1079F" w:rsidP="006E3DAD">
      <w:pPr>
        <w:spacing w:after="0" w:line="240" w:lineRule="auto"/>
        <w:ind w:right="-1" w:firstLine="709"/>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ab/>
        <w:t xml:space="preserve">Risinājuma īstenošanas rezultātā paredzams, ka Iekšlietu ministrijas Informācijas centram pēc </w:t>
      </w:r>
      <w:r w:rsidRPr="006E3DAD">
        <w:rPr>
          <w:rFonts w:ascii="Times New Roman" w:eastAsia="Times New Roman" w:hAnsi="Times New Roman" w:cs="Times New Roman"/>
          <w:color w:val="FF0000"/>
          <w:sz w:val="28"/>
          <w:szCs w:val="28"/>
          <w:lang w:eastAsia="lv-LV"/>
        </w:rPr>
        <w:t xml:space="preserve">2025.gada </w:t>
      </w:r>
      <w:r w:rsidRPr="00A1079F">
        <w:rPr>
          <w:rFonts w:ascii="Times New Roman" w:eastAsia="Times New Roman" w:hAnsi="Times New Roman" w:cs="Times New Roman"/>
          <w:sz w:val="28"/>
          <w:szCs w:val="28"/>
          <w:lang w:eastAsia="lv-LV"/>
        </w:rPr>
        <w:t xml:space="preserve">turpmākajos gados indikatīvi būs nepieciešams papildu finansējums </w:t>
      </w:r>
      <w:r w:rsidRPr="006E3DAD">
        <w:rPr>
          <w:rFonts w:ascii="Times New Roman" w:eastAsia="Times New Roman" w:hAnsi="Times New Roman" w:cs="Times New Roman"/>
          <w:color w:val="FF0000"/>
          <w:sz w:val="28"/>
          <w:szCs w:val="28"/>
          <w:lang w:eastAsia="lv-LV"/>
        </w:rPr>
        <w:t>15%</w:t>
      </w:r>
      <w:r w:rsidRPr="00A1079F">
        <w:rPr>
          <w:rFonts w:ascii="Times New Roman" w:eastAsia="Times New Roman" w:hAnsi="Times New Roman" w:cs="Times New Roman"/>
          <w:sz w:val="28"/>
          <w:szCs w:val="28"/>
          <w:lang w:eastAsia="lv-LV"/>
        </w:rPr>
        <w:t xml:space="preserve"> gadā no risinājuma īstenošanas izmaksām, lai nodrošinātu izstrādāto informācijas sistēmu turpmāko uzturēšanu un uzlabošanu, piemēram:</w:t>
      </w:r>
    </w:p>
    <w:p w:rsidR="00A1079F" w:rsidRPr="00A1079F" w:rsidRDefault="00A1079F" w:rsidP="006E3DAD">
      <w:pPr>
        <w:numPr>
          <w:ilvl w:val="0"/>
          <w:numId w:val="10"/>
        </w:numPr>
        <w:spacing w:after="0" w:line="240" w:lineRule="auto"/>
        <w:ind w:left="993" w:right="-1" w:hanging="284"/>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ikdienas uzraudzību, kas nodrošina informācijas sistēmu darbību bez pārtraukumiem un kļūdām un ļauj prognozēt un plānot uzlabojumus vai optimizācijas nepieciešamību;</w:t>
      </w:r>
    </w:p>
    <w:p w:rsidR="00A1079F" w:rsidRPr="00A1079F" w:rsidRDefault="00A1079F" w:rsidP="006E3DAD">
      <w:pPr>
        <w:numPr>
          <w:ilvl w:val="0"/>
          <w:numId w:val="10"/>
        </w:numPr>
        <w:spacing w:after="0" w:line="240" w:lineRule="auto"/>
        <w:ind w:left="993" w:right="-1" w:hanging="284"/>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regulāru datu drošības kontroli, lai nodrošinātu informācijas aizsardzību;</w:t>
      </w:r>
    </w:p>
    <w:p w:rsidR="00A1079F" w:rsidRPr="00A1079F" w:rsidRDefault="00A1079F" w:rsidP="006E3DAD">
      <w:pPr>
        <w:numPr>
          <w:ilvl w:val="0"/>
          <w:numId w:val="10"/>
        </w:numPr>
        <w:spacing w:after="0" w:line="240" w:lineRule="auto"/>
        <w:ind w:left="993" w:right="-1" w:hanging="284"/>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nepieciešamo programmatūru atjaunošanu un citu labojumu veikšanu;</w:t>
      </w:r>
    </w:p>
    <w:p w:rsidR="00A1079F" w:rsidRPr="00A1079F" w:rsidRDefault="00A1079F" w:rsidP="006E3DAD">
      <w:pPr>
        <w:numPr>
          <w:ilvl w:val="0"/>
          <w:numId w:val="10"/>
        </w:numPr>
        <w:spacing w:after="0" w:line="240" w:lineRule="auto"/>
        <w:ind w:left="993" w:right="-1" w:hanging="284"/>
        <w:contextualSpacing/>
        <w:jc w:val="both"/>
        <w:rPr>
          <w:rFonts w:ascii="Times New Roman" w:eastAsia="Times New Roman" w:hAnsi="Times New Roman" w:cs="Times New Roman"/>
          <w:sz w:val="28"/>
          <w:szCs w:val="28"/>
          <w:lang w:eastAsia="lv-LV"/>
        </w:rPr>
      </w:pPr>
      <w:r w:rsidRPr="00A1079F">
        <w:rPr>
          <w:rFonts w:ascii="Times New Roman" w:eastAsia="Times New Roman" w:hAnsi="Times New Roman" w:cs="Times New Roman"/>
          <w:sz w:val="28"/>
          <w:szCs w:val="28"/>
          <w:lang w:eastAsia="lv-LV"/>
        </w:rPr>
        <w:t>lietotāju piekļuves tiesību pārvaldību.</w:t>
      </w:r>
    </w:p>
    <w:p w:rsidR="00A1079F" w:rsidRPr="00A1079F" w:rsidRDefault="00A1079F" w:rsidP="006E3DAD">
      <w:pPr>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A1079F">
        <w:rPr>
          <w:rFonts w:ascii="Times New Roman" w:eastAsia="SimSun" w:hAnsi="Times New Roman" w:cs="Times New Roman"/>
          <w:kern w:val="3"/>
          <w:sz w:val="28"/>
          <w:szCs w:val="28"/>
        </w:rPr>
        <w:tab/>
        <w:t xml:space="preserve">Risinājuma ietvaros izstrādāto informācijas sistēmu nepieciešamo programmatūru atjaunošanai un labojumu veikšanai, kā arī citu uzturēšanas </w:t>
      </w:r>
      <w:r w:rsidRPr="00A1079F">
        <w:rPr>
          <w:rFonts w:ascii="Times New Roman" w:eastAsia="SimSun" w:hAnsi="Times New Roman" w:cs="Times New Roman"/>
          <w:kern w:val="3"/>
          <w:sz w:val="28"/>
          <w:szCs w:val="28"/>
        </w:rPr>
        <w:lastRenderedPageBreak/>
        <w:t xml:space="preserve">pasākumu nodrošināšanai indikatīvi tiek paredzētas nepieciešamās uzturēšanas izmaksas </w:t>
      </w:r>
      <w:r w:rsidRPr="006E3DAD">
        <w:rPr>
          <w:rFonts w:ascii="Times New Roman" w:eastAsia="SimSun" w:hAnsi="Times New Roman" w:cs="Times New Roman"/>
          <w:color w:val="FF0000"/>
          <w:kern w:val="3"/>
          <w:sz w:val="28"/>
          <w:szCs w:val="28"/>
        </w:rPr>
        <w:t>15%</w:t>
      </w:r>
      <w:r w:rsidRPr="00A1079F">
        <w:rPr>
          <w:rFonts w:ascii="Times New Roman" w:eastAsia="SimSun" w:hAnsi="Times New Roman" w:cs="Times New Roman"/>
          <w:kern w:val="3"/>
          <w:sz w:val="28"/>
          <w:szCs w:val="28"/>
        </w:rPr>
        <w:t xml:space="preserve"> gadā no risinājuma īstenošanas izmaksām. </w:t>
      </w:r>
    </w:p>
    <w:p w:rsidR="00CA4702" w:rsidRPr="004F0DCA" w:rsidRDefault="00A1079F" w:rsidP="00182FA1">
      <w:pPr>
        <w:tabs>
          <w:tab w:val="left" w:pos="567"/>
        </w:tabs>
        <w:suppressAutoHyphens/>
        <w:autoSpaceDN w:val="0"/>
        <w:spacing w:after="0" w:line="240" w:lineRule="auto"/>
        <w:jc w:val="both"/>
        <w:textAlignment w:val="baseline"/>
        <w:rPr>
          <w:rFonts w:ascii="Times New Roman" w:eastAsia="SimSun" w:hAnsi="Times New Roman" w:cs="Times New Roman"/>
          <w:color w:val="000000" w:themeColor="text1"/>
          <w:kern w:val="3"/>
          <w:sz w:val="28"/>
          <w:szCs w:val="28"/>
        </w:rPr>
      </w:pPr>
      <w:r w:rsidRPr="00A1079F">
        <w:rPr>
          <w:rFonts w:ascii="Times New Roman" w:eastAsia="SimSun" w:hAnsi="Times New Roman" w:cs="Times New Roman"/>
          <w:kern w:val="3"/>
          <w:sz w:val="28"/>
          <w:szCs w:val="28"/>
        </w:rPr>
        <w:tab/>
        <w:t xml:space="preserve">Ņemot vērā </w:t>
      </w:r>
      <w:r w:rsidRPr="00A1079F">
        <w:rPr>
          <w:rFonts w:ascii="Times New Roman" w:eastAsia="SimSun" w:hAnsi="Times New Roman" w:cs="Times New Roman"/>
          <w:color w:val="000000"/>
          <w:kern w:val="3"/>
          <w:sz w:val="28"/>
          <w:szCs w:val="28"/>
        </w:rPr>
        <w:t xml:space="preserve">risinājuma īstenošanai </w:t>
      </w:r>
      <w:r w:rsidRPr="00A1079F">
        <w:rPr>
          <w:rFonts w:ascii="Times New Roman" w:eastAsia="SimSun" w:hAnsi="Times New Roman" w:cs="Times New Roman"/>
          <w:kern w:val="3"/>
          <w:sz w:val="28"/>
          <w:szCs w:val="28"/>
        </w:rPr>
        <w:t>plānotās izmaksas (</w:t>
      </w:r>
      <w:r w:rsidRPr="006E3DAD">
        <w:rPr>
          <w:rFonts w:ascii="Times New Roman" w:eastAsia="SimSun" w:hAnsi="Times New Roman" w:cs="Times New Roman"/>
          <w:color w:val="FF0000"/>
          <w:kern w:val="3"/>
          <w:sz w:val="28"/>
          <w:szCs w:val="28"/>
        </w:rPr>
        <w:t>742 000 EUR</w:t>
      </w:r>
      <w:r w:rsidRPr="00A1079F">
        <w:rPr>
          <w:rFonts w:ascii="Times New Roman" w:eastAsia="SimSun" w:hAnsi="Times New Roman" w:cs="Times New Roman"/>
          <w:color w:val="000000"/>
          <w:kern w:val="3"/>
          <w:sz w:val="28"/>
          <w:szCs w:val="28"/>
        </w:rPr>
        <w:t xml:space="preserve">), paredzams, ka </w:t>
      </w:r>
      <w:r w:rsidRPr="00A1079F">
        <w:rPr>
          <w:rFonts w:ascii="Times New Roman" w:eastAsia="SimSun" w:hAnsi="Times New Roman" w:cs="Times New Roman"/>
          <w:kern w:val="3"/>
          <w:sz w:val="28"/>
          <w:szCs w:val="28"/>
        </w:rPr>
        <w:t xml:space="preserve">Iekšlietu ministrijas Informācijas centram risinājuma ietvaros izstrādāto informācijas sistēmu turpmākai uzturēšanai un uzlabošanai pēc </w:t>
      </w:r>
      <w:r w:rsidRPr="006E3DAD">
        <w:rPr>
          <w:rFonts w:ascii="Times New Roman" w:eastAsia="SimSun" w:hAnsi="Times New Roman" w:cs="Times New Roman"/>
          <w:color w:val="FF0000"/>
          <w:kern w:val="3"/>
          <w:sz w:val="28"/>
          <w:szCs w:val="28"/>
        </w:rPr>
        <w:t xml:space="preserve">2025.gada </w:t>
      </w:r>
      <w:r w:rsidRPr="00A1079F">
        <w:rPr>
          <w:rFonts w:ascii="Times New Roman" w:eastAsia="SimSun" w:hAnsi="Times New Roman" w:cs="Times New Roman"/>
          <w:kern w:val="3"/>
          <w:sz w:val="28"/>
          <w:szCs w:val="28"/>
        </w:rPr>
        <w:t xml:space="preserve">turpmākajos gados </w:t>
      </w:r>
      <w:r w:rsidRPr="00A1079F">
        <w:rPr>
          <w:rFonts w:ascii="Times New Roman" w:eastAsia="SimSun" w:hAnsi="Times New Roman" w:cs="Times New Roman"/>
          <w:color w:val="000000"/>
          <w:kern w:val="3"/>
          <w:sz w:val="28"/>
          <w:szCs w:val="28"/>
        </w:rPr>
        <w:t xml:space="preserve">indikatīvi gadā </w:t>
      </w:r>
      <w:r w:rsidRPr="00A1079F">
        <w:rPr>
          <w:rFonts w:ascii="Times New Roman" w:eastAsia="SimSun" w:hAnsi="Times New Roman" w:cs="Times New Roman"/>
          <w:kern w:val="3"/>
          <w:sz w:val="28"/>
          <w:szCs w:val="28"/>
        </w:rPr>
        <w:t xml:space="preserve">būs nepieciešams papildu finansējums </w:t>
      </w:r>
      <w:r w:rsidRPr="006E3DAD">
        <w:rPr>
          <w:rFonts w:ascii="Times New Roman" w:eastAsia="SimSun" w:hAnsi="Times New Roman" w:cs="Times New Roman"/>
          <w:color w:val="FF0000"/>
          <w:kern w:val="3"/>
          <w:sz w:val="28"/>
          <w:szCs w:val="28"/>
        </w:rPr>
        <w:t xml:space="preserve">111 300 </w:t>
      </w:r>
      <w:proofErr w:type="spellStart"/>
      <w:r w:rsidRPr="006E3DAD">
        <w:rPr>
          <w:rFonts w:ascii="Times New Roman" w:eastAsia="SimSun" w:hAnsi="Times New Roman" w:cs="Times New Roman"/>
          <w:i/>
          <w:color w:val="FF0000"/>
          <w:kern w:val="3"/>
          <w:sz w:val="28"/>
          <w:szCs w:val="28"/>
        </w:rPr>
        <w:t>euro</w:t>
      </w:r>
      <w:proofErr w:type="spellEnd"/>
      <w:r w:rsidRPr="006E3DAD">
        <w:rPr>
          <w:rFonts w:ascii="Times New Roman" w:eastAsia="SimSun" w:hAnsi="Times New Roman" w:cs="Times New Roman"/>
          <w:color w:val="FF0000"/>
          <w:kern w:val="3"/>
          <w:sz w:val="28"/>
          <w:szCs w:val="28"/>
        </w:rPr>
        <w:t xml:space="preserve"> </w:t>
      </w:r>
      <w:r w:rsidRPr="00A1079F">
        <w:rPr>
          <w:rFonts w:ascii="Times New Roman" w:eastAsia="SimSun" w:hAnsi="Times New Roman" w:cs="Times New Roman"/>
          <w:kern w:val="3"/>
          <w:sz w:val="28"/>
          <w:szCs w:val="28"/>
        </w:rPr>
        <w:t>apmērā.</w:t>
      </w:r>
      <w:r w:rsidR="00182FA1">
        <w:rPr>
          <w:rFonts w:ascii="Times New Roman" w:eastAsia="SimSun" w:hAnsi="Times New Roman" w:cs="Times New Roman"/>
          <w:kern w:val="3"/>
          <w:sz w:val="28"/>
          <w:szCs w:val="28"/>
        </w:rPr>
        <w:t xml:space="preserve"> </w:t>
      </w:r>
      <w:r w:rsidR="00440954" w:rsidRPr="004F0DCA">
        <w:rPr>
          <w:rFonts w:ascii="Times New Roman" w:hAnsi="Times New Roman"/>
          <w:color w:val="000000" w:themeColor="text1"/>
          <w:sz w:val="28"/>
          <w:szCs w:val="28"/>
        </w:rPr>
        <w:t>Saskaņā ar Ministru kabineta 2012.gada 11.decembra noteikumu Nr.867 “Kārtība, kādā nosakāms maksimāli pieļaujamais valsts budžeta izdevumu kopapjoms un maksimāli pieļaujamais valsts budžeta izdevumu kopējais apjoms katrai ministrijai un citām centrālajām valsts iestādēm vidējam termiņam” 10.4.apakšpunktu, uzturēšanas izdevumi tiks pieprasīti papildus.</w:t>
      </w:r>
    </w:p>
    <w:p w:rsidR="00B2203E" w:rsidRDefault="006E79B7" w:rsidP="006E79B7">
      <w:pPr>
        <w:pStyle w:val="Sarakstarindkopa"/>
        <w:spacing w:after="0"/>
        <w:ind w:left="0" w:firstLine="709"/>
        <w:jc w:val="both"/>
        <w:rPr>
          <w:rFonts w:ascii="Times New Roman" w:hAnsi="Times New Roman" w:cs="Times New Roman"/>
          <w:sz w:val="28"/>
          <w:szCs w:val="28"/>
        </w:rPr>
      </w:pPr>
      <w:r w:rsidRPr="006E79B7">
        <w:rPr>
          <w:rFonts w:ascii="Times New Roman" w:hAnsi="Times New Roman" w:cs="Times New Roman"/>
          <w:sz w:val="28"/>
          <w:szCs w:val="28"/>
        </w:rPr>
        <w:t xml:space="preserve">Ja risinājuma īstenošanai tiek piešķirts nepieciešamais finansējums, Iekšlietu ministrijai izstrādāt un </w:t>
      </w:r>
      <w:proofErr w:type="spellStart"/>
      <w:r w:rsidRPr="006E79B7">
        <w:rPr>
          <w:rFonts w:ascii="Times New Roman" w:hAnsi="Times New Roman" w:cs="Times New Roman"/>
          <w:sz w:val="28"/>
          <w:szCs w:val="28"/>
        </w:rPr>
        <w:t>iekšlietu</w:t>
      </w:r>
      <w:proofErr w:type="spellEnd"/>
      <w:r w:rsidRPr="006E79B7">
        <w:rPr>
          <w:rFonts w:ascii="Times New Roman" w:hAnsi="Times New Roman" w:cs="Times New Roman"/>
          <w:sz w:val="28"/>
          <w:szCs w:val="28"/>
        </w:rPr>
        <w:t xml:space="preserve"> ministram noteiktā kārtībā līdz 2023.gada 30.novembrim iesniegt Ministru kabinetā grozījumus Ugunsdrošības un ugunsdzēsības likumā, kā arī nepieciešamos Ministru kabineta noteikumus par informācijas sistēmu „</w:t>
      </w:r>
      <w:r w:rsidR="0099485C" w:rsidRPr="004F0DCA">
        <w:rPr>
          <w:rFonts w:ascii="Times New Roman" w:hAnsi="Times New Roman" w:cs="Times New Roman"/>
          <w:color w:val="000000" w:themeColor="text1"/>
          <w:sz w:val="28"/>
          <w:szCs w:val="28"/>
        </w:rPr>
        <w:t>Vienota ugunsdrošības un civilās aizsardzības platforma</w:t>
      </w:r>
      <w:r w:rsidRPr="006E79B7">
        <w:rPr>
          <w:rFonts w:ascii="Times New Roman" w:hAnsi="Times New Roman" w:cs="Times New Roman"/>
          <w:sz w:val="28"/>
          <w:szCs w:val="28"/>
        </w:rPr>
        <w:t xml:space="preserve">” izmantošanu </w:t>
      </w:r>
      <w:r w:rsidR="00A1079F">
        <w:rPr>
          <w:rFonts w:ascii="Times New Roman" w:hAnsi="Times New Roman" w:cs="Times New Roman"/>
          <w:sz w:val="28"/>
          <w:szCs w:val="28"/>
        </w:rPr>
        <w:t>VUGD</w:t>
      </w:r>
      <w:r w:rsidRPr="006E79B7">
        <w:rPr>
          <w:rFonts w:ascii="Times New Roman" w:hAnsi="Times New Roman" w:cs="Times New Roman"/>
          <w:sz w:val="28"/>
          <w:szCs w:val="28"/>
        </w:rPr>
        <w:t>.</w:t>
      </w:r>
    </w:p>
    <w:p w:rsidR="00DA7A49" w:rsidRDefault="00DA7A49" w:rsidP="00DA7A49">
      <w:pPr>
        <w:pStyle w:val="Sarakstarindkopa"/>
        <w:spacing w:after="0"/>
        <w:ind w:left="0" w:firstLine="709"/>
        <w:rPr>
          <w:rFonts w:ascii="Times New Roman" w:hAnsi="Times New Roman" w:cs="Times New Roman"/>
          <w:sz w:val="28"/>
          <w:szCs w:val="28"/>
        </w:rPr>
      </w:pPr>
    </w:p>
    <w:p w:rsidR="00B2203E" w:rsidRPr="00B2203E" w:rsidRDefault="00B2203E" w:rsidP="00B2203E">
      <w:pPr>
        <w:suppressAutoHyphens/>
        <w:autoSpaceDN w:val="0"/>
        <w:spacing w:after="0" w:line="240" w:lineRule="auto"/>
        <w:textAlignment w:val="baseline"/>
        <w:rPr>
          <w:rFonts w:ascii="Times New Roman" w:eastAsia="SimSun" w:hAnsi="Times New Roman" w:cs="Times New Roman"/>
          <w:b/>
          <w:color w:val="000000"/>
          <w:kern w:val="3"/>
          <w:sz w:val="28"/>
          <w:szCs w:val="28"/>
        </w:rPr>
      </w:pPr>
      <w:r w:rsidRPr="00B2203E">
        <w:rPr>
          <w:rFonts w:ascii="Times New Roman" w:eastAsia="SimSun" w:hAnsi="Times New Roman" w:cs="Times New Roman"/>
          <w:kern w:val="3"/>
          <w:sz w:val="28"/>
          <w:szCs w:val="28"/>
        </w:rPr>
        <w:t>Iekšlietu ministrs</w:t>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rPr>
        <w:tab/>
        <w:t xml:space="preserve">       </w:t>
      </w:r>
      <w:r w:rsidRPr="00B2203E">
        <w:rPr>
          <w:rFonts w:ascii="Times New Roman" w:eastAsia="SimSun" w:hAnsi="Times New Roman" w:cs="Times New Roman"/>
          <w:bCs/>
          <w:color w:val="000000"/>
          <w:kern w:val="3"/>
          <w:sz w:val="28"/>
          <w:szCs w:val="28"/>
          <w:bdr w:val="none" w:sz="0" w:space="0" w:color="auto" w:frame="1"/>
        </w:rPr>
        <w:t xml:space="preserve">Sandis </w:t>
      </w:r>
      <w:proofErr w:type="spellStart"/>
      <w:r w:rsidRPr="00B2203E">
        <w:rPr>
          <w:rFonts w:ascii="Times New Roman" w:eastAsia="SimSun" w:hAnsi="Times New Roman" w:cs="Times New Roman"/>
          <w:bCs/>
          <w:color w:val="000000"/>
          <w:kern w:val="3"/>
          <w:sz w:val="28"/>
          <w:szCs w:val="28"/>
          <w:bdr w:val="none" w:sz="0" w:space="0" w:color="auto" w:frame="1"/>
        </w:rPr>
        <w:t>Ģirģens</w:t>
      </w:r>
      <w:proofErr w:type="spellEnd"/>
    </w:p>
    <w:p w:rsidR="00B2203E" w:rsidRPr="00B2203E" w:rsidRDefault="00B2203E" w:rsidP="00B2203E">
      <w:pPr>
        <w:suppressAutoHyphens/>
        <w:autoSpaceDN w:val="0"/>
        <w:spacing w:after="0" w:line="240" w:lineRule="auto"/>
        <w:textAlignment w:val="baseline"/>
        <w:rPr>
          <w:rFonts w:ascii="Times New Roman" w:eastAsia="SimSun" w:hAnsi="Times New Roman" w:cs="Times New Roman"/>
          <w:kern w:val="3"/>
          <w:sz w:val="28"/>
          <w:szCs w:val="28"/>
        </w:rPr>
      </w:pPr>
    </w:p>
    <w:p w:rsidR="00B2203E" w:rsidRPr="00B2203E" w:rsidRDefault="00B2203E" w:rsidP="00B2203E">
      <w:pPr>
        <w:suppressAutoHyphens/>
        <w:autoSpaceDN w:val="0"/>
        <w:spacing w:after="0" w:line="240" w:lineRule="auto"/>
        <w:textAlignment w:val="baseline"/>
        <w:rPr>
          <w:rFonts w:ascii="Times New Roman" w:eastAsia="SimSun" w:hAnsi="Times New Roman" w:cs="Times New Roman"/>
          <w:kern w:val="3"/>
          <w:sz w:val="28"/>
          <w:szCs w:val="28"/>
        </w:rPr>
      </w:pPr>
      <w:r w:rsidRPr="00B2203E">
        <w:rPr>
          <w:rFonts w:ascii="Times New Roman" w:eastAsia="SimSun" w:hAnsi="Times New Roman" w:cs="Times New Roman"/>
          <w:kern w:val="3"/>
          <w:sz w:val="28"/>
          <w:szCs w:val="28"/>
        </w:rPr>
        <w:t xml:space="preserve">Vīza: </w:t>
      </w:r>
    </w:p>
    <w:p w:rsidR="00B2203E" w:rsidRPr="00B2203E" w:rsidRDefault="00B2203E" w:rsidP="00B2203E">
      <w:pPr>
        <w:tabs>
          <w:tab w:val="left" w:pos="6237"/>
        </w:tabs>
        <w:suppressAutoHyphens/>
        <w:autoSpaceDN w:val="0"/>
        <w:spacing w:after="0" w:line="240" w:lineRule="auto"/>
        <w:textAlignment w:val="baseline"/>
        <w:rPr>
          <w:rFonts w:ascii="Times New Roman" w:eastAsia="SimSun" w:hAnsi="Times New Roman" w:cs="Times New Roman"/>
          <w:kern w:val="3"/>
          <w:sz w:val="28"/>
          <w:szCs w:val="28"/>
          <w:bdr w:val="none" w:sz="0" w:space="0" w:color="auto" w:frame="1"/>
        </w:rPr>
      </w:pPr>
      <w:r w:rsidRPr="00B2203E">
        <w:rPr>
          <w:rFonts w:ascii="Times New Roman" w:eastAsia="SimSun" w:hAnsi="Times New Roman" w:cs="Times New Roman"/>
          <w:kern w:val="3"/>
          <w:sz w:val="28"/>
          <w:szCs w:val="28"/>
        </w:rPr>
        <w:t>valsts sekretārs</w:t>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bdr w:val="none" w:sz="0" w:space="0" w:color="auto" w:frame="1"/>
        </w:rPr>
        <w:t>Dimitrijs Trofimovs</w:t>
      </w:r>
    </w:p>
    <w:p w:rsidR="00B2203E" w:rsidRPr="00B2203E" w:rsidRDefault="00B2203E" w:rsidP="00B2203E">
      <w:pPr>
        <w:tabs>
          <w:tab w:val="left" w:pos="6237"/>
        </w:tabs>
        <w:suppressAutoHyphens/>
        <w:autoSpaceDN w:val="0"/>
        <w:spacing w:after="0" w:line="240" w:lineRule="auto"/>
        <w:textAlignment w:val="baseline"/>
        <w:rPr>
          <w:rFonts w:ascii="Times New Roman" w:eastAsia="SimSun" w:hAnsi="Times New Roman" w:cs="Times New Roman"/>
          <w:kern w:val="3"/>
          <w:sz w:val="28"/>
          <w:szCs w:val="28"/>
        </w:rPr>
      </w:pPr>
    </w:p>
    <w:p w:rsidR="00B2203E" w:rsidRPr="00DA7A49" w:rsidRDefault="00B2203E" w:rsidP="00B2203E">
      <w:pPr>
        <w:spacing w:after="0" w:line="240" w:lineRule="auto"/>
        <w:jc w:val="both"/>
        <w:rPr>
          <w:rFonts w:ascii="Times New Roman" w:eastAsia="Times New Roman" w:hAnsi="Times New Roman" w:cs="Times New Roman"/>
          <w:sz w:val="28"/>
          <w:szCs w:val="28"/>
          <w:lang w:eastAsia="lv-LV"/>
        </w:rPr>
      </w:pPr>
    </w:p>
    <w:p w:rsidR="00B2203E" w:rsidRDefault="00B2203E" w:rsidP="00B2203E">
      <w:pPr>
        <w:spacing w:after="0" w:line="240" w:lineRule="auto"/>
        <w:jc w:val="both"/>
        <w:rPr>
          <w:rFonts w:ascii="Times New Roman" w:eastAsia="Times New Roman" w:hAnsi="Times New Roman" w:cs="Times New Roman"/>
          <w:sz w:val="28"/>
          <w:szCs w:val="28"/>
          <w:lang w:eastAsia="lv-LV"/>
        </w:rPr>
      </w:pPr>
    </w:p>
    <w:p w:rsidR="00887E85" w:rsidRDefault="00887E85" w:rsidP="00B2203E">
      <w:pPr>
        <w:spacing w:after="0" w:line="240" w:lineRule="auto"/>
        <w:jc w:val="both"/>
        <w:rPr>
          <w:rFonts w:ascii="Times New Roman" w:eastAsia="Times New Roman" w:hAnsi="Times New Roman" w:cs="Times New Roman"/>
          <w:sz w:val="28"/>
          <w:szCs w:val="28"/>
          <w:lang w:eastAsia="lv-LV"/>
        </w:rPr>
      </w:pPr>
    </w:p>
    <w:p w:rsidR="00887E85" w:rsidRDefault="00887E85" w:rsidP="00B2203E">
      <w:pPr>
        <w:spacing w:after="0" w:line="240" w:lineRule="auto"/>
        <w:jc w:val="both"/>
        <w:rPr>
          <w:rFonts w:ascii="Times New Roman" w:eastAsia="Times New Roman" w:hAnsi="Times New Roman" w:cs="Times New Roman"/>
          <w:sz w:val="28"/>
          <w:szCs w:val="28"/>
          <w:lang w:eastAsia="lv-LV"/>
        </w:rPr>
      </w:pPr>
    </w:p>
    <w:p w:rsidR="00887E85" w:rsidRDefault="00887E85" w:rsidP="00B2203E">
      <w:pPr>
        <w:spacing w:after="0" w:line="240" w:lineRule="auto"/>
        <w:jc w:val="both"/>
        <w:rPr>
          <w:rFonts w:ascii="Times New Roman" w:eastAsia="Times New Roman" w:hAnsi="Times New Roman" w:cs="Times New Roman"/>
          <w:sz w:val="28"/>
          <w:szCs w:val="28"/>
          <w:lang w:eastAsia="lv-LV"/>
        </w:rPr>
      </w:pPr>
    </w:p>
    <w:p w:rsidR="00887E85" w:rsidRPr="00DA7A49" w:rsidRDefault="00887E85" w:rsidP="00B2203E">
      <w:pPr>
        <w:spacing w:after="0" w:line="240" w:lineRule="auto"/>
        <w:jc w:val="both"/>
        <w:rPr>
          <w:rFonts w:ascii="Times New Roman" w:eastAsia="Times New Roman" w:hAnsi="Times New Roman" w:cs="Times New Roman"/>
          <w:sz w:val="28"/>
          <w:szCs w:val="28"/>
          <w:lang w:eastAsia="lv-LV"/>
        </w:rPr>
      </w:pPr>
    </w:p>
    <w:p w:rsidR="00B2203E" w:rsidRPr="00B2203E" w:rsidRDefault="00B2203E" w:rsidP="00B2203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Baltmanis</w:t>
      </w:r>
      <w:r w:rsidRPr="00B2203E">
        <w:rPr>
          <w:rFonts w:ascii="Times New Roman" w:eastAsia="Times New Roman" w:hAnsi="Times New Roman" w:cs="Times New Roman"/>
          <w:sz w:val="20"/>
          <w:szCs w:val="20"/>
          <w:lang w:eastAsia="lv-LV"/>
        </w:rPr>
        <w:t>, 67</w:t>
      </w:r>
      <w:r>
        <w:rPr>
          <w:rFonts w:ascii="Times New Roman" w:eastAsia="Times New Roman" w:hAnsi="Times New Roman" w:cs="Times New Roman"/>
          <w:sz w:val="20"/>
          <w:szCs w:val="20"/>
          <w:lang w:eastAsia="lv-LV"/>
        </w:rPr>
        <w:t>0</w:t>
      </w:r>
      <w:r w:rsidRPr="00B2203E">
        <w:rPr>
          <w:rFonts w:ascii="Times New Roman" w:eastAsia="Times New Roman" w:hAnsi="Times New Roman" w:cs="Times New Roman"/>
          <w:sz w:val="20"/>
          <w:szCs w:val="20"/>
          <w:lang w:eastAsia="lv-LV"/>
        </w:rPr>
        <w:t>75</w:t>
      </w:r>
      <w:r>
        <w:rPr>
          <w:rFonts w:ascii="Times New Roman" w:eastAsia="Times New Roman" w:hAnsi="Times New Roman" w:cs="Times New Roman"/>
          <w:sz w:val="20"/>
          <w:szCs w:val="20"/>
          <w:lang w:eastAsia="lv-LV"/>
        </w:rPr>
        <w:t>990</w:t>
      </w:r>
    </w:p>
    <w:p w:rsidR="00B2203E" w:rsidRPr="00B2203E" w:rsidRDefault="00C42B63" w:rsidP="00B2203E">
      <w:pPr>
        <w:spacing w:after="0" w:line="240" w:lineRule="auto"/>
        <w:jc w:val="both"/>
        <w:rPr>
          <w:rFonts w:ascii="Times New Roman" w:eastAsia="Times New Roman" w:hAnsi="Times New Roman" w:cs="Times New Roman"/>
          <w:sz w:val="20"/>
          <w:szCs w:val="20"/>
          <w:lang w:eastAsia="lv-LV"/>
        </w:rPr>
      </w:pPr>
      <w:hyperlink r:id="rId18" w:history="1">
        <w:r w:rsidR="00E279DE" w:rsidRPr="00AF6A0D">
          <w:rPr>
            <w:rStyle w:val="Hipersaite"/>
            <w:rFonts w:ascii="Times New Roman" w:eastAsia="Times New Roman" w:hAnsi="Times New Roman" w:cs="Times New Roman"/>
            <w:sz w:val="20"/>
            <w:szCs w:val="20"/>
            <w:lang w:eastAsia="lv-LV"/>
          </w:rPr>
          <w:t>martins.baltmanis@vugd.gov.lv</w:t>
        </w:r>
      </w:hyperlink>
    </w:p>
    <w:p w:rsidR="00B2203E" w:rsidRPr="00B2203E" w:rsidRDefault="00B2203E" w:rsidP="00B2203E">
      <w:pPr>
        <w:spacing w:after="0" w:line="240" w:lineRule="auto"/>
        <w:jc w:val="both"/>
        <w:rPr>
          <w:rFonts w:ascii="Times New Roman" w:eastAsia="Times New Roman" w:hAnsi="Times New Roman" w:cs="Times New Roman"/>
          <w:sz w:val="16"/>
          <w:szCs w:val="16"/>
          <w:lang w:eastAsia="lv-LV"/>
        </w:rPr>
      </w:pPr>
    </w:p>
    <w:p w:rsidR="00B2203E" w:rsidRPr="00B2203E" w:rsidRDefault="00B2203E" w:rsidP="00B2203E">
      <w:pPr>
        <w:spacing w:after="0" w:line="240" w:lineRule="auto"/>
        <w:jc w:val="both"/>
        <w:rPr>
          <w:rFonts w:ascii="Times New Roman" w:eastAsia="Times New Roman" w:hAnsi="Times New Roman" w:cs="Times New Roman"/>
          <w:sz w:val="20"/>
          <w:szCs w:val="20"/>
          <w:lang w:eastAsia="lv-LV"/>
        </w:rPr>
      </w:pPr>
      <w:r w:rsidRPr="00B2203E">
        <w:rPr>
          <w:rFonts w:ascii="Times New Roman" w:eastAsia="Times New Roman" w:hAnsi="Times New Roman" w:cs="Times New Roman"/>
          <w:sz w:val="20"/>
          <w:szCs w:val="20"/>
          <w:lang w:eastAsia="lv-LV"/>
        </w:rPr>
        <w:t xml:space="preserve"> </w:t>
      </w:r>
      <w:bookmarkStart w:id="0" w:name="_GoBack"/>
      <w:bookmarkEnd w:id="0"/>
    </w:p>
    <w:p w:rsidR="00B2203E" w:rsidRPr="00B2203E" w:rsidRDefault="00B2203E" w:rsidP="00B2203E">
      <w:pPr>
        <w:pStyle w:val="Sarakstarindkopa"/>
        <w:ind w:left="0" w:firstLine="709"/>
        <w:rPr>
          <w:rFonts w:ascii="Times New Roman" w:hAnsi="Times New Roman" w:cs="Times New Roman"/>
          <w:sz w:val="28"/>
          <w:szCs w:val="28"/>
        </w:rPr>
      </w:pPr>
    </w:p>
    <w:p w:rsidR="00B2203E" w:rsidRPr="00E24A6C" w:rsidRDefault="00B2203E" w:rsidP="00B2203E">
      <w:pPr>
        <w:pStyle w:val="Sarakstarindkopa"/>
        <w:tabs>
          <w:tab w:val="left" w:pos="993"/>
        </w:tabs>
        <w:spacing w:after="0" w:line="240" w:lineRule="auto"/>
        <w:ind w:left="709"/>
        <w:jc w:val="both"/>
        <w:rPr>
          <w:rFonts w:ascii="Times New Roman" w:hAnsi="Times New Roman" w:cs="Times New Roman"/>
          <w:sz w:val="28"/>
          <w:szCs w:val="28"/>
        </w:rPr>
      </w:pPr>
    </w:p>
    <w:sectPr w:rsidR="00B2203E" w:rsidRPr="00E24A6C" w:rsidSect="00E279DE">
      <w:headerReference w:type="defaul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63" w:rsidRDefault="00C42B63" w:rsidP="00E279DE">
      <w:pPr>
        <w:spacing w:after="0" w:line="240" w:lineRule="auto"/>
      </w:pPr>
      <w:r>
        <w:separator/>
      </w:r>
    </w:p>
  </w:endnote>
  <w:endnote w:type="continuationSeparator" w:id="0">
    <w:p w:rsidR="00C42B63" w:rsidRDefault="00C42B63" w:rsidP="00E2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63" w:rsidRDefault="00C42B63" w:rsidP="00E279DE">
      <w:pPr>
        <w:spacing w:after="0" w:line="240" w:lineRule="auto"/>
      </w:pPr>
      <w:r>
        <w:separator/>
      </w:r>
    </w:p>
  </w:footnote>
  <w:footnote w:type="continuationSeparator" w:id="0">
    <w:p w:rsidR="00C42B63" w:rsidRDefault="00C42B63" w:rsidP="00E27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94257"/>
      <w:docPartObj>
        <w:docPartGallery w:val="Page Numbers (Top of Page)"/>
        <w:docPartUnique/>
      </w:docPartObj>
    </w:sdtPr>
    <w:sdtEndPr>
      <w:rPr>
        <w:rFonts w:ascii="Times New Roman" w:hAnsi="Times New Roman" w:cs="Times New Roman"/>
        <w:sz w:val="20"/>
        <w:szCs w:val="20"/>
      </w:rPr>
    </w:sdtEndPr>
    <w:sdtContent>
      <w:p w:rsidR="006316FD" w:rsidRPr="00E279DE" w:rsidRDefault="006316FD">
        <w:pPr>
          <w:pStyle w:val="Galvene"/>
          <w:jc w:val="center"/>
          <w:rPr>
            <w:rFonts w:ascii="Times New Roman" w:hAnsi="Times New Roman" w:cs="Times New Roman"/>
            <w:sz w:val="20"/>
            <w:szCs w:val="20"/>
          </w:rPr>
        </w:pPr>
        <w:r w:rsidRPr="00E279DE">
          <w:rPr>
            <w:rFonts w:ascii="Times New Roman" w:hAnsi="Times New Roman" w:cs="Times New Roman"/>
            <w:sz w:val="20"/>
            <w:szCs w:val="20"/>
          </w:rPr>
          <w:fldChar w:fldCharType="begin"/>
        </w:r>
        <w:r w:rsidRPr="00E279DE">
          <w:rPr>
            <w:rFonts w:ascii="Times New Roman" w:hAnsi="Times New Roman" w:cs="Times New Roman"/>
            <w:sz w:val="20"/>
            <w:szCs w:val="20"/>
          </w:rPr>
          <w:instrText>PAGE   \* MERGEFORMAT</w:instrText>
        </w:r>
        <w:r w:rsidRPr="00E279DE">
          <w:rPr>
            <w:rFonts w:ascii="Times New Roman" w:hAnsi="Times New Roman" w:cs="Times New Roman"/>
            <w:sz w:val="20"/>
            <w:szCs w:val="20"/>
          </w:rPr>
          <w:fldChar w:fldCharType="separate"/>
        </w:r>
        <w:r w:rsidR="00BC2AB4">
          <w:rPr>
            <w:rFonts w:ascii="Times New Roman" w:hAnsi="Times New Roman" w:cs="Times New Roman"/>
            <w:noProof/>
            <w:sz w:val="20"/>
            <w:szCs w:val="20"/>
          </w:rPr>
          <w:t>9</w:t>
        </w:r>
        <w:r w:rsidRPr="00E279DE">
          <w:rPr>
            <w:rFonts w:ascii="Times New Roman" w:hAnsi="Times New Roman" w:cs="Times New Roman"/>
            <w:sz w:val="20"/>
            <w:szCs w:val="20"/>
          </w:rPr>
          <w:fldChar w:fldCharType="end"/>
        </w:r>
      </w:p>
    </w:sdtContent>
  </w:sdt>
  <w:p w:rsidR="006316FD" w:rsidRDefault="006316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549"/>
    <w:multiLevelType w:val="hybridMultilevel"/>
    <w:tmpl w:val="ECC26348"/>
    <w:lvl w:ilvl="0" w:tplc="4F7240CE">
      <w:start w:val="1"/>
      <w:numFmt w:val="bullet"/>
      <w:lvlText w:val=""/>
      <w:lvlJc w:val="left"/>
      <w:pPr>
        <w:ind w:left="360" w:hanging="360"/>
      </w:pPr>
      <w:rPr>
        <w:rFonts w:ascii="Wingdings" w:hAnsi="Wingdings" w:hint="default"/>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6D70CA2"/>
    <w:multiLevelType w:val="hybridMultilevel"/>
    <w:tmpl w:val="8626C838"/>
    <w:lvl w:ilvl="0" w:tplc="0409000B">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0F8874CB"/>
    <w:multiLevelType w:val="hybridMultilevel"/>
    <w:tmpl w:val="A2E477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85A3E"/>
    <w:multiLevelType w:val="hybridMultilevel"/>
    <w:tmpl w:val="6E902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6E492C"/>
    <w:multiLevelType w:val="hybridMultilevel"/>
    <w:tmpl w:val="D26405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527C38F9"/>
    <w:multiLevelType w:val="hybridMultilevel"/>
    <w:tmpl w:val="67A45EFC"/>
    <w:lvl w:ilvl="0" w:tplc="04260001">
      <w:start w:val="1"/>
      <w:numFmt w:val="bullet"/>
      <w:lvlText w:val=""/>
      <w:lvlJc w:val="left"/>
      <w:pPr>
        <w:ind w:left="36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5C2D7F"/>
    <w:multiLevelType w:val="hybridMultilevel"/>
    <w:tmpl w:val="B324F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F44FEE"/>
    <w:multiLevelType w:val="multilevel"/>
    <w:tmpl w:val="59F800C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A94200"/>
    <w:multiLevelType w:val="hybridMultilevel"/>
    <w:tmpl w:val="5E183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DD26C9B"/>
    <w:multiLevelType w:val="multilevel"/>
    <w:tmpl w:val="108890F2"/>
    <w:lvl w:ilvl="0">
      <w:start w:val="1"/>
      <w:numFmt w:val="decimal"/>
      <w:lvlText w:val="%1."/>
      <w:lvlJc w:val="left"/>
      <w:pPr>
        <w:ind w:left="720" w:hanging="360"/>
      </w:pPr>
    </w:lvl>
    <w:lvl w:ilvl="1">
      <w:start w:val="1"/>
      <w:numFmt w:val="decimal"/>
      <w:isLgl/>
      <w:lvlText w:val="%1.%2."/>
      <w:lvlJc w:val="left"/>
      <w:pPr>
        <w:ind w:left="2161" w:hanging="732"/>
      </w:pPr>
      <w:rPr>
        <w:rFonts w:hint="default"/>
      </w:rPr>
    </w:lvl>
    <w:lvl w:ilvl="2">
      <w:start w:val="1"/>
      <w:numFmt w:val="decimal"/>
      <w:isLgl/>
      <w:lvlText w:val="%1.%2.%3."/>
      <w:lvlJc w:val="left"/>
      <w:pPr>
        <w:ind w:left="3230" w:hanging="732"/>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abstractNum w:abstractNumId="10" w15:restartNumberingAfterBreak="0">
    <w:nsid w:val="7E0422BA"/>
    <w:multiLevelType w:val="hybridMultilevel"/>
    <w:tmpl w:val="CC94D5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6"/>
  </w:num>
  <w:num w:numId="5">
    <w:abstractNumId w:val="4"/>
  </w:num>
  <w:num w:numId="6">
    <w:abstractNumId w:val="5"/>
  </w:num>
  <w:num w:numId="7">
    <w:abstractNumId w:val="1"/>
  </w:num>
  <w:num w:numId="8">
    <w:abstractNumId w:val="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6C"/>
    <w:rsid w:val="00001D35"/>
    <w:rsid w:val="00031F4D"/>
    <w:rsid w:val="000C6E48"/>
    <w:rsid w:val="00103BB3"/>
    <w:rsid w:val="00122203"/>
    <w:rsid w:val="00144211"/>
    <w:rsid w:val="00164958"/>
    <w:rsid w:val="00182FA1"/>
    <w:rsid w:val="00191E3B"/>
    <w:rsid w:val="001A18AB"/>
    <w:rsid w:val="001B7B17"/>
    <w:rsid w:val="001C5E85"/>
    <w:rsid w:val="002038B5"/>
    <w:rsid w:val="00215ADD"/>
    <w:rsid w:val="00240B39"/>
    <w:rsid w:val="00273B0D"/>
    <w:rsid w:val="00341159"/>
    <w:rsid w:val="00355142"/>
    <w:rsid w:val="003A302D"/>
    <w:rsid w:val="003C5BE6"/>
    <w:rsid w:val="003E4A07"/>
    <w:rsid w:val="003F3C1F"/>
    <w:rsid w:val="00413809"/>
    <w:rsid w:val="00440954"/>
    <w:rsid w:val="00471363"/>
    <w:rsid w:val="004B1491"/>
    <w:rsid w:val="004D54A4"/>
    <w:rsid w:val="004F0DCA"/>
    <w:rsid w:val="00501F35"/>
    <w:rsid w:val="005D1FA1"/>
    <w:rsid w:val="006316FD"/>
    <w:rsid w:val="0064142C"/>
    <w:rsid w:val="006610DE"/>
    <w:rsid w:val="006A0801"/>
    <w:rsid w:val="006D3DDD"/>
    <w:rsid w:val="006E3DAD"/>
    <w:rsid w:val="006E72D1"/>
    <w:rsid w:val="006E79B7"/>
    <w:rsid w:val="00745C34"/>
    <w:rsid w:val="007E5505"/>
    <w:rsid w:val="00820681"/>
    <w:rsid w:val="00855B08"/>
    <w:rsid w:val="00887E85"/>
    <w:rsid w:val="008D530B"/>
    <w:rsid w:val="008D707C"/>
    <w:rsid w:val="008E7328"/>
    <w:rsid w:val="008F0C1D"/>
    <w:rsid w:val="009068C6"/>
    <w:rsid w:val="00916A64"/>
    <w:rsid w:val="00982E5D"/>
    <w:rsid w:val="0099485C"/>
    <w:rsid w:val="009D0B20"/>
    <w:rsid w:val="00A0076B"/>
    <w:rsid w:val="00A1079F"/>
    <w:rsid w:val="00A50BD6"/>
    <w:rsid w:val="00A76F34"/>
    <w:rsid w:val="00AB332A"/>
    <w:rsid w:val="00B04C06"/>
    <w:rsid w:val="00B15215"/>
    <w:rsid w:val="00B2203E"/>
    <w:rsid w:val="00B34C0E"/>
    <w:rsid w:val="00B63716"/>
    <w:rsid w:val="00B66DC8"/>
    <w:rsid w:val="00B67A23"/>
    <w:rsid w:val="00B932AE"/>
    <w:rsid w:val="00BA075F"/>
    <w:rsid w:val="00BC2AB4"/>
    <w:rsid w:val="00BC383A"/>
    <w:rsid w:val="00BC680D"/>
    <w:rsid w:val="00BE1B54"/>
    <w:rsid w:val="00C05FA9"/>
    <w:rsid w:val="00C10FAD"/>
    <w:rsid w:val="00C42B63"/>
    <w:rsid w:val="00C443EB"/>
    <w:rsid w:val="00C6697B"/>
    <w:rsid w:val="00C857AB"/>
    <w:rsid w:val="00CA0DEF"/>
    <w:rsid w:val="00CA4702"/>
    <w:rsid w:val="00CE442E"/>
    <w:rsid w:val="00D06544"/>
    <w:rsid w:val="00D57C50"/>
    <w:rsid w:val="00D91B82"/>
    <w:rsid w:val="00DA7A49"/>
    <w:rsid w:val="00DB4151"/>
    <w:rsid w:val="00DC1B6D"/>
    <w:rsid w:val="00DD16D4"/>
    <w:rsid w:val="00DD66C9"/>
    <w:rsid w:val="00DE2A4C"/>
    <w:rsid w:val="00DF4FE6"/>
    <w:rsid w:val="00E24A6C"/>
    <w:rsid w:val="00E279DE"/>
    <w:rsid w:val="00E84388"/>
    <w:rsid w:val="00E858E8"/>
    <w:rsid w:val="00EF1DB3"/>
    <w:rsid w:val="00EF3BEF"/>
    <w:rsid w:val="00F16118"/>
    <w:rsid w:val="00F34488"/>
    <w:rsid w:val="00F83CE1"/>
    <w:rsid w:val="00FD7634"/>
    <w:rsid w:val="00FE2383"/>
    <w:rsid w:val="00FF4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F9B4C-EA56-4ABF-9A6E-90BF7BED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0C1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24A6C"/>
    <w:pPr>
      <w:ind w:left="720"/>
      <w:contextualSpacing/>
    </w:pPr>
  </w:style>
  <w:style w:type="paragraph" w:styleId="Galvene">
    <w:name w:val="header"/>
    <w:basedOn w:val="Parasts"/>
    <w:link w:val="GalveneRakstz"/>
    <w:uiPriority w:val="99"/>
    <w:unhideWhenUsed/>
    <w:rsid w:val="00E279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79DE"/>
  </w:style>
  <w:style w:type="paragraph" w:styleId="Kjene">
    <w:name w:val="footer"/>
    <w:basedOn w:val="Parasts"/>
    <w:link w:val="KjeneRakstz"/>
    <w:uiPriority w:val="99"/>
    <w:unhideWhenUsed/>
    <w:rsid w:val="00E279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79DE"/>
  </w:style>
  <w:style w:type="character" w:styleId="Hipersaite">
    <w:name w:val="Hyperlink"/>
    <w:basedOn w:val="Noklusjumarindkopasfonts"/>
    <w:uiPriority w:val="99"/>
    <w:unhideWhenUsed/>
    <w:rsid w:val="00E279DE"/>
    <w:rPr>
      <w:color w:val="0563C1" w:themeColor="hyperlink"/>
      <w:u w:val="single"/>
    </w:rPr>
  </w:style>
  <w:style w:type="table" w:styleId="Reatabula">
    <w:name w:val="Table Grid"/>
    <w:basedOn w:val="Parastatabula"/>
    <w:uiPriority w:val="39"/>
    <w:rsid w:val="004D5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E442E"/>
    <w:rPr>
      <w:sz w:val="16"/>
      <w:szCs w:val="16"/>
    </w:rPr>
  </w:style>
  <w:style w:type="paragraph" w:styleId="Komentrateksts">
    <w:name w:val="annotation text"/>
    <w:basedOn w:val="Parasts"/>
    <w:link w:val="KomentratekstsRakstz"/>
    <w:uiPriority w:val="99"/>
    <w:semiHidden/>
    <w:unhideWhenUsed/>
    <w:rsid w:val="00CE442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E442E"/>
    <w:rPr>
      <w:sz w:val="20"/>
      <w:szCs w:val="20"/>
    </w:rPr>
  </w:style>
  <w:style w:type="paragraph" w:styleId="Komentratma">
    <w:name w:val="annotation subject"/>
    <w:basedOn w:val="Komentrateksts"/>
    <w:next w:val="Komentrateksts"/>
    <w:link w:val="KomentratmaRakstz"/>
    <w:uiPriority w:val="99"/>
    <w:semiHidden/>
    <w:unhideWhenUsed/>
    <w:rsid w:val="00CE442E"/>
    <w:rPr>
      <w:b/>
      <w:bCs/>
    </w:rPr>
  </w:style>
  <w:style w:type="character" w:customStyle="1" w:styleId="KomentratmaRakstz">
    <w:name w:val="Komentāra tēma Rakstz."/>
    <w:basedOn w:val="KomentratekstsRakstz"/>
    <w:link w:val="Komentratma"/>
    <w:uiPriority w:val="99"/>
    <w:semiHidden/>
    <w:rsid w:val="00CE442E"/>
    <w:rPr>
      <w:b/>
      <w:bCs/>
      <w:sz w:val="20"/>
      <w:szCs w:val="20"/>
    </w:rPr>
  </w:style>
  <w:style w:type="paragraph" w:styleId="Balonteksts">
    <w:name w:val="Balloon Text"/>
    <w:basedOn w:val="Parasts"/>
    <w:link w:val="BalontekstsRakstz"/>
    <w:uiPriority w:val="99"/>
    <w:semiHidden/>
    <w:unhideWhenUsed/>
    <w:rsid w:val="00CE442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4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martins.baltmanis@vugd.gov.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10697</Words>
  <Characters>6098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16762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Baltmanis</dc:creator>
  <cp:keywords/>
  <dc:description/>
  <cp:lastModifiedBy>Mārtiņš Baltmanis</cp:lastModifiedBy>
  <cp:revision>33</cp:revision>
  <dcterms:created xsi:type="dcterms:W3CDTF">2020-07-20T12:49:00Z</dcterms:created>
  <dcterms:modified xsi:type="dcterms:W3CDTF">2021-04-16T05:21:00Z</dcterms:modified>
</cp:coreProperties>
</file>