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A465D" w14:textId="59C3516F" w:rsidR="0013748D" w:rsidRPr="0013748D" w:rsidRDefault="006C71C0" w:rsidP="0013748D">
      <w:pPr>
        <w:spacing w:after="0" w:line="240" w:lineRule="auto"/>
        <w:jc w:val="right"/>
        <w:rPr>
          <w:rFonts w:ascii="Times New Roman" w:hAnsi="Times New Roman"/>
          <w:sz w:val="24"/>
          <w:szCs w:val="24"/>
        </w:rPr>
      </w:pPr>
      <w:r>
        <w:rPr>
          <w:rFonts w:ascii="Times New Roman" w:hAnsi="Times New Roman"/>
          <w:sz w:val="24"/>
          <w:szCs w:val="24"/>
        </w:rPr>
        <w:t>4</w:t>
      </w:r>
      <w:r w:rsidR="0013748D" w:rsidRPr="0013748D">
        <w:rPr>
          <w:rFonts w:ascii="Times New Roman" w:hAnsi="Times New Roman"/>
          <w:sz w:val="24"/>
          <w:szCs w:val="24"/>
        </w:rPr>
        <w:t xml:space="preserve">.pielikums </w:t>
      </w:r>
    </w:p>
    <w:p w14:paraId="49EA056C" w14:textId="77777777" w:rsidR="0013748D" w:rsidRPr="0013748D" w:rsidRDefault="0013748D" w:rsidP="0013748D">
      <w:pPr>
        <w:spacing w:after="0" w:line="240" w:lineRule="auto"/>
        <w:jc w:val="right"/>
        <w:rPr>
          <w:rFonts w:ascii="Times New Roman" w:hAnsi="Times New Roman"/>
          <w:sz w:val="24"/>
          <w:szCs w:val="24"/>
        </w:rPr>
      </w:pPr>
      <w:r w:rsidRPr="0013748D">
        <w:rPr>
          <w:rFonts w:ascii="Times New Roman" w:hAnsi="Times New Roman"/>
          <w:sz w:val="24"/>
          <w:szCs w:val="24"/>
        </w:rPr>
        <w:t>Ministru kabineta 2021.gada __. _______</w:t>
      </w:r>
    </w:p>
    <w:p w14:paraId="31DEDD72" w14:textId="77777777" w:rsidR="0013748D" w:rsidRPr="0013748D" w:rsidRDefault="0013748D" w:rsidP="0013748D">
      <w:pPr>
        <w:spacing w:after="0" w:line="240" w:lineRule="auto"/>
        <w:jc w:val="right"/>
        <w:rPr>
          <w:rFonts w:ascii="Times New Roman" w:hAnsi="Times New Roman"/>
          <w:sz w:val="24"/>
          <w:szCs w:val="24"/>
        </w:rPr>
      </w:pPr>
      <w:r w:rsidRPr="0013748D">
        <w:rPr>
          <w:rFonts w:ascii="Times New Roman" w:hAnsi="Times New Roman"/>
          <w:sz w:val="24"/>
          <w:szCs w:val="24"/>
        </w:rPr>
        <w:t>rīkojumam Nr.____</w:t>
      </w:r>
    </w:p>
    <w:p w14:paraId="1CC752CF" w14:textId="77777777" w:rsidR="0013748D" w:rsidRDefault="0013748D" w:rsidP="007C58A8">
      <w:pPr>
        <w:spacing w:after="0" w:line="240" w:lineRule="auto"/>
        <w:jc w:val="right"/>
        <w:rPr>
          <w:rFonts w:ascii="Times New Roman" w:hAnsi="Times New Roman"/>
          <w:sz w:val="24"/>
          <w:szCs w:val="24"/>
        </w:rPr>
      </w:pPr>
    </w:p>
    <w:p w14:paraId="53C0C01A" w14:textId="77777777" w:rsidR="0013748D" w:rsidRDefault="0013748D" w:rsidP="007C58A8">
      <w:pPr>
        <w:spacing w:after="0" w:line="240" w:lineRule="auto"/>
        <w:jc w:val="right"/>
        <w:rPr>
          <w:rFonts w:ascii="Times New Roman" w:hAnsi="Times New Roman"/>
          <w:sz w:val="24"/>
          <w:szCs w:val="24"/>
        </w:rPr>
      </w:pPr>
    </w:p>
    <w:p w14:paraId="0AC04753" w14:textId="79D37374" w:rsidR="007C58A8" w:rsidRPr="00F469C2" w:rsidRDefault="00F469C2" w:rsidP="007C58A8">
      <w:pPr>
        <w:spacing w:after="0" w:line="240" w:lineRule="auto"/>
        <w:jc w:val="right"/>
        <w:rPr>
          <w:rFonts w:ascii="Times New Roman" w:hAnsi="Times New Roman"/>
          <w:sz w:val="24"/>
          <w:szCs w:val="24"/>
        </w:rPr>
      </w:pPr>
      <w:r w:rsidRPr="00F469C2">
        <w:rPr>
          <w:rFonts w:ascii="Times New Roman" w:hAnsi="Times New Roman"/>
          <w:sz w:val="24"/>
          <w:szCs w:val="24"/>
        </w:rPr>
        <w:t>3</w:t>
      </w:r>
      <w:r w:rsidR="002E166F">
        <w:rPr>
          <w:rFonts w:ascii="Times New Roman" w:hAnsi="Times New Roman"/>
          <w:sz w:val="24"/>
          <w:szCs w:val="24"/>
        </w:rPr>
        <w:t>7</w:t>
      </w:r>
      <w:r w:rsidR="007C58A8" w:rsidRPr="00F469C2">
        <w:rPr>
          <w:rFonts w:ascii="Times New Roman" w:hAnsi="Times New Roman"/>
          <w:sz w:val="24"/>
          <w:szCs w:val="24"/>
        </w:rPr>
        <w:t>.pielikums</w:t>
      </w:r>
    </w:p>
    <w:p w14:paraId="0D7CE9FC" w14:textId="77777777" w:rsidR="007C58A8" w:rsidRDefault="007C58A8" w:rsidP="007C58A8">
      <w:pPr>
        <w:spacing w:after="0" w:line="240" w:lineRule="auto"/>
        <w:jc w:val="right"/>
        <w:rPr>
          <w:rFonts w:ascii="Times New Roman" w:hAnsi="Times New Roman"/>
          <w:sz w:val="24"/>
          <w:szCs w:val="24"/>
        </w:rPr>
      </w:pPr>
      <w:r w:rsidRPr="00F469C2">
        <w:rPr>
          <w:rFonts w:ascii="Times New Roman" w:hAnsi="Times New Roman"/>
          <w:sz w:val="24"/>
          <w:szCs w:val="24"/>
        </w:rPr>
        <w:t>Valsts civilās aizsardzības plānam</w:t>
      </w:r>
    </w:p>
    <w:p w14:paraId="7C21A9C6" w14:textId="77777777" w:rsidR="00201049" w:rsidRDefault="00201049" w:rsidP="007C58A8">
      <w:pPr>
        <w:spacing w:after="0" w:line="240" w:lineRule="auto"/>
        <w:jc w:val="right"/>
        <w:rPr>
          <w:rFonts w:ascii="Times New Roman" w:hAnsi="Times New Roman"/>
          <w:sz w:val="24"/>
          <w:szCs w:val="24"/>
        </w:rPr>
      </w:pPr>
    </w:p>
    <w:p w14:paraId="6EDCC05F" w14:textId="77777777" w:rsidR="00621C25" w:rsidRDefault="00621C25" w:rsidP="00274C03">
      <w:pPr>
        <w:spacing w:after="0" w:line="240" w:lineRule="auto"/>
        <w:rPr>
          <w:rFonts w:ascii="Times New Roman" w:hAnsi="Times New Roman"/>
          <w:sz w:val="24"/>
          <w:szCs w:val="24"/>
        </w:rPr>
      </w:pPr>
    </w:p>
    <w:p w14:paraId="25CCE2A4" w14:textId="7BE57A0C" w:rsidR="00621C25" w:rsidRPr="00621C25" w:rsidRDefault="00D402AA" w:rsidP="00646EA5">
      <w:pPr>
        <w:spacing w:after="0" w:line="240" w:lineRule="auto"/>
        <w:jc w:val="center"/>
        <w:rPr>
          <w:rFonts w:ascii="Times New Roman" w:hAnsi="Times New Roman"/>
          <w:b/>
          <w:sz w:val="24"/>
          <w:szCs w:val="24"/>
        </w:rPr>
      </w:pPr>
      <w:r>
        <w:rPr>
          <w:rFonts w:ascii="Times New Roman" w:hAnsi="Times New Roman"/>
          <w:b/>
          <w:sz w:val="24"/>
          <w:szCs w:val="24"/>
        </w:rPr>
        <w:t>K</w:t>
      </w:r>
      <w:r w:rsidR="00621C25" w:rsidRPr="00621C25">
        <w:rPr>
          <w:rFonts w:ascii="Times New Roman" w:hAnsi="Times New Roman"/>
          <w:b/>
          <w:sz w:val="24"/>
          <w:szCs w:val="24"/>
        </w:rPr>
        <w:t xml:space="preserve">atastrofu pārvaldīšanas pasākumu (preventīvo un gatavības pasākumu) </w:t>
      </w:r>
      <w:r w:rsidR="00646EA5" w:rsidRPr="00621C25">
        <w:rPr>
          <w:rFonts w:ascii="Times New Roman" w:hAnsi="Times New Roman"/>
          <w:b/>
          <w:sz w:val="24"/>
          <w:szCs w:val="24"/>
        </w:rPr>
        <w:t>novērtēšana</w:t>
      </w:r>
      <w:r w:rsidR="00646EA5">
        <w:rPr>
          <w:rFonts w:ascii="Times New Roman" w:hAnsi="Times New Roman"/>
          <w:b/>
          <w:sz w:val="24"/>
          <w:szCs w:val="24"/>
        </w:rPr>
        <w:t xml:space="preserve">, atbilstoši </w:t>
      </w:r>
      <w:r w:rsidR="00646EA5" w:rsidRPr="00646EA5">
        <w:rPr>
          <w:rFonts w:ascii="Times New Roman" w:hAnsi="Times New Roman"/>
          <w:b/>
          <w:sz w:val="24"/>
          <w:szCs w:val="24"/>
        </w:rPr>
        <w:t xml:space="preserve"> ieguldījumu priekšnosacījumus </w:t>
      </w:r>
    </w:p>
    <w:p w14:paraId="401F773C" w14:textId="77777777" w:rsidR="00621C25" w:rsidRDefault="00621C25" w:rsidP="00646EA5">
      <w:pPr>
        <w:spacing w:after="0" w:line="240" w:lineRule="auto"/>
        <w:jc w:val="both"/>
        <w:rPr>
          <w:rFonts w:ascii="Times New Roman" w:hAnsi="Times New Roman"/>
          <w:sz w:val="24"/>
          <w:szCs w:val="24"/>
        </w:rPr>
      </w:pPr>
    </w:p>
    <w:p w14:paraId="2860ED9B" w14:textId="77777777" w:rsidR="00393D25" w:rsidRDefault="00393D25" w:rsidP="00646EA5">
      <w:pPr>
        <w:spacing w:after="0" w:line="240" w:lineRule="auto"/>
        <w:jc w:val="both"/>
        <w:rPr>
          <w:rFonts w:ascii="Times New Roman" w:hAnsi="Times New Roman"/>
          <w:b/>
          <w:sz w:val="24"/>
          <w:szCs w:val="24"/>
        </w:rPr>
      </w:pPr>
      <w:r w:rsidRPr="00D402AA">
        <w:rPr>
          <w:rFonts w:ascii="Times New Roman" w:hAnsi="Times New Roman"/>
          <w:b/>
          <w:sz w:val="24"/>
          <w:szCs w:val="24"/>
        </w:rPr>
        <w:t>IEVADS</w:t>
      </w:r>
    </w:p>
    <w:p w14:paraId="765F1579" w14:textId="77777777" w:rsidR="00347D6F" w:rsidRPr="00D402AA" w:rsidRDefault="00347D6F" w:rsidP="00646EA5">
      <w:pPr>
        <w:spacing w:after="0" w:line="240" w:lineRule="auto"/>
        <w:jc w:val="both"/>
        <w:rPr>
          <w:rFonts w:ascii="Times New Roman" w:hAnsi="Times New Roman"/>
          <w:b/>
          <w:sz w:val="24"/>
          <w:szCs w:val="24"/>
        </w:rPr>
      </w:pPr>
    </w:p>
    <w:p w14:paraId="7AE60122" w14:textId="751520C5" w:rsidR="00274C03" w:rsidRPr="00201049" w:rsidRDefault="00201049" w:rsidP="00646EA5">
      <w:pPr>
        <w:spacing w:after="0" w:line="240" w:lineRule="auto"/>
        <w:ind w:firstLine="360"/>
        <w:jc w:val="both"/>
        <w:rPr>
          <w:rFonts w:ascii="Times New Roman" w:hAnsi="Times New Roman"/>
          <w:sz w:val="24"/>
          <w:szCs w:val="24"/>
        </w:rPr>
      </w:pPr>
      <w:r w:rsidRPr="00201049">
        <w:rPr>
          <w:rFonts w:ascii="Times New Roman" w:hAnsi="Times New Roman"/>
          <w:sz w:val="24"/>
          <w:szCs w:val="24"/>
        </w:rPr>
        <w:t>Darbības programma Latvijai 2021.–2027.gadam</w:t>
      </w:r>
      <w:r w:rsidR="00D402AA">
        <w:rPr>
          <w:rFonts w:ascii="Times New Roman" w:hAnsi="Times New Roman"/>
          <w:sz w:val="24"/>
          <w:szCs w:val="24"/>
        </w:rPr>
        <w:t xml:space="preserve"> (Darbības programma)</w:t>
      </w:r>
      <w:r>
        <w:rPr>
          <w:rFonts w:ascii="Times New Roman" w:hAnsi="Times New Roman"/>
          <w:sz w:val="24"/>
          <w:szCs w:val="24"/>
        </w:rPr>
        <w:t xml:space="preserve"> ir noteikti vairāki politikas mērķi, </w:t>
      </w:r>
      <w:r w:rsidR="00274C03">
        <w:rPr>
          <w:rFonts w:ascii="Times New Roman" w:hAnsi="Times New Roman"/>
          <w:sz w:val="24"/>
          <w:szCs w:val="24"/>
        </w:rPr>
        <w:t xml:space="preserve">kuri ir saskaņoti ar </w:t>
      </w:r>
      <w:r w:rsidR="00274C03" w:rsidRPr="00201049">
        <w:rPr>
          <w:rFonts w:ascii="Times New Roman" w:hAnsi="Times New Roman"/>
          <w:sz w:val="24"/>
          <w:szCs w:val="24"/>
        </w:rPr>
        <w:t>Eiropas Savienības (ES) investīcij</w:t>
      </w:r>
      <w:r w:rsidR="00274C03">
        <w:rPr>
          <w:rFonts w:ascii="Times New Roman" w:hAnsi="Times New Roman"/>
          <w:sz w:val="24"/>
          <w:szCs w:val="24"/>
        </w:rPr>
        <w:t xml:space="preserve">u prioritātēm un to </w:t>
      </w:r>
      <w:r w:rsidR="00274C03" w:rsidRPr="00201049">
        <w:rPr>
          <w:rFonts w:ascii="Times New Roman" w:hAnsi="Times New Roman"/>
          <w:sz w:val="24"/>
          <w:szCs w:val="24"/>
        </w:rPr>
        <w:t>galven</w:t>
      </w:r>
      <w:r w:rsidR="00274C03">
        <w:rPr>
          <w:rFonts w:ascii="Times New Roman" w:hAnsi="Times New Roman"/>
          <w:sz w:val="24"/>
          <w:szCs w:val="24"/>
        </w:rPr>
        <w:t>aj</w:t>
      </w:r>
      <w:r w:rsidR="00274C03" w:rsidRPr="00201049">
        <w:rPr>
          <w:rFonts w:ascii="Times New Roman" w:hAnsi="Times New Roman"/>
          <w:sz w:val="24"/>
          <w:szCs w:val="24"/>
        </w:rPr>
        <w:t>ie</w:t>
      </w:r>
      <w:r w:rsidR="00274C03">
        <w:rPr>
          <w:rFonts w:ascii="Times New Roman" w:hAnsi="Times New Roman"/>
          <w:sz w:val="24"/>
          <w:szCs w:val="24"/>
        </w:rPr>
        <w:t>m</w:t>
      </w:r>
      <w:r w:rsidR="00274C03" w:rsidRPr="00201049">
        <w:rPr>
          <w:rFonts w:ascii="Times New Roman" w:hAnsi="Times New Roman"/>
          <w:sz w:val="24"/>
          <w:szCs w:val="24"/>
        </w:rPr>
        <w:t xml:space="preserve"> mērķi</w:t>
      </w:r>
      <w:r w:rsidR="00274C03">
        <w:rPr>
          <w:rFonts w:ascii="Times New Roman" w:hAnsi="Times New Roman"/>
          <w:sz w:val="24"/>
          <w:szCs w:val="24"/>
        </w:rPr>
        <w:t>em</w:t>
      </w:r>
      <w:r w:rsidR="00274C03" w:rsidRPr="00201049">
        <w:rPr>
          <w:rFonts w:ascii="Times New Roman" w:hAnsi="Times New Roman"/>
          <w:sz w:val="24"/>
          <w:szCs w:val="24"/>
        </w:rPr>
        <w:t>:</w:t>
      </w:r>
    </w:p>
    <w:p w14:paraId="291AA27B" w14:textId="3DA2EB53" w:rsidR="00274C03" w:rsidRPr="00274C03" w:rsidRDefault="00274C03" w:rsidP="00646EA5">
      <w:pPr>
        <w:pStyle w:val="ListParagraph"/>
        <w:numPr>
          <w:ilvl w:val="0"/>
          <w:numId w:val="1"/>
        </w:numPr>
        <w:spacing w:after="0" w:line="240" w:lineRule="auto"/>
        <w:jc w:val="both"/>
        <w:rPr>
          <w:rFonts w:ascii="Times New Roman" w:hAnsi="Times New Roman"/>
          <w:sz w:val="24"/>
          <w:szCs w:val="24"/>
        </w:rPr>
      </w:pPr>
      <w:r w:rsidRPr="00274C03">
        <w:rPr>
          <w:rFonts w:ascii="Times New Roman" w:hAnsi="Times New Roman"/>
          <w:sz w:val="24"/>
          <w:szCs w:val="24"/>
        </w:rPr>
        <w:t>Viedāka Eiropa – inovatīvas un viedas ekonomiskās pārmaiņas - pēt</w:t>
      </w:r>
      <w:bookmarkStart w:id="0" w:name="_GoBack"/>
      <w:bookmarkEnd w:id="0"/>
      <w:r w:rsidRPr="00274C03">
        <w:rPr>
          <w:rFonts w:ascii="Times New Roman" w:hAnsi="Times New Roman"/>
          <w:sz w:val="24"/>
          <w:szCs w:val="24"/>
        </w:rPr>
        <w:t>niecības un prasmju attīstīšana, atbalsts uzņēmējdarbībai un digitalizācijai;</w:t>
      </w:r>
    </w:p>
    <w:p w14:paraId="7DD80B5E" w14:textId="5F2B1000" w:rsidR="00274C03" w:rsidRPr="00274C03" w:rsidRDefault="00274C03" w:rsidP="00646EA5">
      <w:pPr>
        <w:pStyle w:val="ListParagraph"/>
        <w:numPr>
          <w:ilvl w:val="0"/>
          <w:numId w:val="1"/>
        </w:numPr>
        <w:spacing w:after="0" w:line="240" w:lineRule="auto"/>
        <w:jc w:val="both"/>
        <w:rPr>
          <w:rFonts w:ascii="Times New Roman" w:hAnsi="Times New Roman"/>
          <w:sz w:val="24"/>
          <w:szCs w:val="24"/>
        </w:rPr>
      </w:pPr>
      <w:r w:rsidRPr="00274C03">
        <w:rPr>
          <w:rFonts w:ascii="Times New Roman" w:hAnsi="Times New Roman"/>
          <w:sz w:val="24"/>
          <w:szCs w:val="24"/>
        </w:rPr>
        <w:t xml:space="preserve">Zaļāka Eiropa – </w:t>
      </w:r>
      <w:proofErr w:type="spellStart"/>
      <w:r w:rsidRPr="00274C03">
        <w:rPr>
          <w:rFonts w:ascii="Times New Roman" w:hAnsi="Times New Roman"/>
          <w:sz w:val="24"/>
          <w:szCs w:val="24"/>
        </w:rPr>
        <w:t>klimatneitralitāte</w:t>
      </w:r>
      <w:proofErr w:type="spellEnd"/>
      <w:r w:rsidRPr="00274C03">
        <w:rPr>
          <w:rFonts w:ascii="Times New Roman" w:hAnsi="Times New Roman"/>
          <w:sz w:val="24"/>
          <w:szCs w:val="24"/>
        </w:rPr>
        <w:t>, pielāgošanās klimata pārmaiņām un vides aizsardzība;</w:t>
      </w:r>
    </w:p>
    <w:p w14:paraId="64390850" w14:textId="1B5F3869" w:rsidR="00274C03" w:rsidRPr="00274C03" w:rsidRDefault="00274C03" w:rsidP="00646EA5">
      <w:pPr>
        <w:pStyle w:val="ListParagraph"/>
        <w:numPr>
          <w:ilvl w:val="0"/>
          <w:numId w:val="1"/>
        </w:numPr>
        <w:spacing w:after="0" w:line="240" w:lineRule="auto"/>
        <w:jc w:val="both"/>
        <w:rPr>
          <w:rFonts w:ascii="Times New Roman" w:hAnsi="Times New Roman"/>
          <w:sz w:val="24"/>
          <w:szCs w:val="24"/>
        </w:rPr>
      </w:pPr>
      <w:r w:rsidRPr="00274C03">
        <w:rPr>
          <w:rFonts w:ascii="Times New Roman" w:hAnsi="Times New Roman"/>
          <w:sz w:val="24"/>
          <w:szCs w:val="24"/>
        </w:rPr>
        <w:t>Savienotāka Eiropa – droša, ilgtspējīga un pieejama transporta un digitālo savienojumu attīstība;</w:t>
      </w:r>
    </w:p>
    <w:p w14:paraId="7B00C5F1" w14:textId="402C62F3" w:rsidR="00274C03" w:rsidRPr="00274C03" w:rsidRDefault="00274C03" w:rsidP="00646EA5">
      <w:pPr>
        <w:pStyle w:val="ListParagraph"/>
        <w:numPr>
          <w:ilvl w:val="0"/>
          <w:numId w:val="1"/>
        </w:numPr>
        <w:spacing w:after="0" w:line="240" w:lineRule="auto"/>
        <w:jc w:val="both"/>
        <w:rPr>
          <w:rFonts w:ascii="Times New Roman" w:hAnsi="Times New Roman"/>
          <w:sz w:val="24"/>
          <w:szCs w:val="24"/>
        </w:rPr>
      </w:pPr>
      <w:r w:rsidRPr="00274C03">
        <w:rPr>
          <w:rFonts w:ascii="Times New Roman" w:hAnsi="Times New Roman"/>
          <w:sz w:val="24"/>
          <w:szCs w:val="24"/>
        </w:rPr>
        <w:t>Sociālāka Eiropa – vienlīdzīgas iespējas un piekļuve izglītībai, veselības aprūpei un darba tirgum, taisnīgi darba nosacījumi, sociālā aizsardzība un iekļaušana;</w:t>
      </w:r>
    </w:p>
    <w:p w14:paraId="67B6A96E" w14:textId="15066725" w:rsidR="00274C03" w:rsidRPr="00274C03" w:rsidRDefault="00274C03" w:rsidP="00646EA5">
      <w:pPr>
        <w:pStyle w:val="ListParagraph"/>
        <w:numPr>
          <w:ilvl w:val="0"/>
          <w:numId w:val="1"/>
        </w:numPr>
        <w:spacing w:after="0" w:line="240" w:lineRule="auto"/>
        <w:jc w:val="both"/>
        <w:rPr>
          <w:rFonts w:ascii="Times New Roman" w:hAnsi="Times New Roman"/>
          <w:sz w:val="24"/>
          <w:szCs w:val="24"/>
        </w:rPr>
      </w:pPr>
      <w:r w:rsidRPr="00274C03">
        <w:rPr>
          <w:rFonts w:ascii="Times New Roman" w:hAnsi="Times New Roman"/>
          <w:sz w:val="24"/>
          <w:szCs w:val="24"/>
        </w:rPr>
        <w:t>Iedzīvotājiem tuvāka Eiropa - ilgtspējīga un līdzsvarota reģionu attīstība.</w:t>
      </w:r>
    </w:p>
    <w:p w14:paraId="6D9C65BF" w14:textId="77777777" w:rsidR="00274C03" w:rsidRDefault="00274C03" w:rsidP="00646EA5">
      <w:pPr>
        <w:spacing w:after="0" w:line="240" w:lineRule="auto"/>
        <w:jc w:val="both"/>
        <w:rPr>
          <w:rFonts w:ascii="Times New Roman" w:hAnsi="Times New Roman"/>
          <w:sz w:val="24"/>
          <w:szCs w:val="24"/>
        </w:rPr>
      </w:pPr>
    </w:p>
    <w:p w14:paraId="37768D6C" w14:textId="61543045" w:rsidR="00D402AA" w:rsidRDefault="00274C03" w:rsidP="00646EA5">
      <w:pPr>
        <w:spacing w:after="0" w:line="240" w:lineRule="auto"/>
        <w:ind w:firstLine="360"/>
        <w:jc w:val="both"/>
        <w:rPr>
          <w:rFonts w:ascii="Times New Roman" w:hAnsi="Times New Roman"/>
          <w:sz w:val="24"/>
          <w:szCs w:val="24"/>
        </w:rPr>
      </w:pPr>
      <w:r>
        <w:rPr>
          <w:rFonts w:ascii="Times New Roman" w:hAnsi="Times New Roman"/>
          <w:sz w:val="24"/>
          <w:szCs w:val="24"/>
        </w:rPr>
        <w:t xml:space="preserve">Darbības programmā politiskajiem mērķiem ir </w:t>
      </w:r>
      <w:r w:rsidR="00201049">
        <w:rPr>
          <w:rFonts w:ascii="Times New Roman" w:hAnsi="Times New Roman"/>
          <w:sz w:val="24"/>
          <w:szCs w:val="24"/>
        </w:rPr>
        <w:t>pakārtoti vairāki s</w:t>
      </w:r>
      <w:r w:rsidR="00201049" w:rsidRPr="00201049">
        <w:rPr>
          <w:rFonts w:ascii="Times New Roman" w:hAnsi="Times New Roman"/>
          <w:sz w:val="24"/>
          <w:szCs w:val="24"/>
        </w:rPr>
        <w:t>pecifisk</w:t>
      </w:r>
      <w:r w:rsidR="00201049">
        <w:rPr>
          <w:rFonts w:ascii="Times New Roman" w:hAnsi="Times New Roman"/>
          <w:sz w:val="24"/>
          <w:szCs w:val="24"/>
        </w:rPr>
        <w:t>ie</w:t>
      </w:r>
      <w:r w:rsidR="00201049" w:rsidRPr="00201049">
        <w:rPr>
          <w:rFonts w:ascii="Times New Roman" w:hAnsi="Times New Roman"/>
          <w:sz w:val="24"/>
          <w:szCs w:val="24"/>
        </w:rPr>
        <w:t xml:space="preserve"> atbalsta mērķi</w:t>
      </w:r>
      <w:r w:rsidR="00201049">
        <w:rPr>
          <w:rFonts w:ascii="Times New Roman" w:hAnsi="Times New Roman"/>
          <w:sz w:val="24"/>
          <w:szCs w:val="24"/>
        </w:rPr>
        <w:t>, k</w:t>
      </w:r>
      <w:r>
        <w:rPr>
          <w:rFonts w:ascii="Times New Roman" w:hAnsi="Times New Roman"/>
          <w:sz w:val="24"/>
          <w:szCs w:val="24"/>
        </w:rPr>
        <w:t xml:space="preserve">uru īstenošana tiks </w:t>
      </w:r>
      <w:r w:rsidR="00201049" w:rsidRPr="00201049">
        <w:rPr>
          <w:rFonts w:ascii="Times New Roman" w:hAnsi="Times New Roman"/>
          <w:sz w:val="24"/>
          <w:szCs w:val="24"/>
        </w:rPr>
        <w:t>veicin</w:t>
      </w:r>
      <w:r>
        <w:rPr>
          <w:rFonts w:ascii="Times New Roman" w:hAnsi="Times New Roman"/>
          <w:sz w:val="24"/>
          <w:szCs w:val="24"/>
        </w:rPr>
        <w:t>āta</w:t>
      </w:r>
      <w:r w:rsidR="00201049" w:rsidRPr="00201049">
        <w:rPr>
          <w:rFonts w:ascii="Times New Roman" w:hAnsi="Times New Roman"/>
          <w:sz w:val="24"/>
          <w:szCs w:val="24"/>
        </w:rPr>
        <w:t xml:space="preserve">, </w:t>
      </w:r>
      <w:r>
        <w:rPr>
          <w:rFonts w:ascii="Times New Roman" w:hAnsi="Times New Roman"/>
          <w:sz w:val="24"/>
          <w:szCs w:val="24"/>
        </w:rPr>
        <w:t xml:space="preserve">īstenojot valsts vai reģionu ieguldījumu prioritātes vai </w:t>
      </w:r>
      <w:r w:rsidR="00D402AA">
        <w:rPr>
          <w:rFonts w:ascii="Times New Roman" w:hAnsi="Times New Roman"/>
          <w:sz w:val="24"/>
          <w:szCs w:val="24"/>
        </w:rPr>
        <w:t>ES</w:t>
      </w:r>
      <w:r>
        <w:rPr>
          <w:rFonts w:ascii="Times New Roman" w:hAnsi="Times New Roman"/>
          <w:sz w:val="24"/>
          <w:szCs w:val="24"/>
        </w:rPr>
        <w:t xml:space="preserve"> prioritātes. Darbības programmā </w:t>
      </w:r>
      <w:r w:rsidR="00D402AA">
        <w:rPr>
          <w:rFonts w:ascii="Times New Roman" w:hAnsi="Times New Roman"/>
          <w:sz w:val="24"/>
          <w:szCs w:val="24"/>
        </w:rPr>
        <w:t>atsevišķu katastrofu pārvaldīšanas pasākumu īstenošanu, kuri ir iekļauti arī Valsts civilās aizsardzības plānā, paredzēts īstenot ar politikas mērķu</w:t>
      </w:r>
      <w:r w:rsidRPr="00274C03">
        <w:rPr>
          <w:rFonts w:ascii="Times New Roman" w:hAnsi="Times New Roman"/>
          <w:sz w:val="24"/>
          <w:szCs w:val="24"/>
        </w:rPr>
        <w:t xml:space="preserve"> “Zaļāka Eiropa ar zemām oglekļa emisijām, veicinot tīru un taisnīgu enerģētikas pārkārtošanu, “zaļas” un “zilas” investīcijas, aprites ekonomiku, pielāgošanos klimata pārmaiņām un risku novēršanu un pārvaldību”</w:t>
      </w:r>
      <w:r w:rsidR="00B30DC7">
        <w:rPr>
          <w:rFonts w:ascii="Times New Roman" w:hAnsi="Times New Roman"/>
          <w:sz w:val="24"/>
          <w:szCs w:val="24"/>
        </w:rPr>
        <w:t xml:space="preserve"> vien</w:t>
      </w:r>
      <w:r w:rsidR="00D402AA">
        <w:rPr>
          <w:rFonts w:ascii="Times New Roman" w:hAnsi="Times New Roman"/>
          <w:sz w:val="24"/>
          <w:szCs w:val="24"/>
        </w:rPr>
        <w:t>u</w:t>
      </w:r>
      <w:r w:rsidR="00B30DC7">
        <w:rPr>
          <w:rFonts w:ascii="Times New Roman" w:hAnsi="Times New Roman"/>
          <w:sz w:val="24"/>
          <w:szCs w:val="24"/>
        </w:rPr>
        <w:t xml:space="preserve"> no </w:t>
      </w:r>
      <w:r>
        <w:rPr>
          <w:rFonts w:ascii="Times New Roman" w:hAnsi="Times New Roman"/>
          <w:sz w:val="24"/>
          <w:szCs w:val="24"/>
        </w:rPr>
        <w:t>s</w:t>
      </w:r>
      <w:r w:rsidRPr="00201049">
        <w:rPr>
          <w:rFonts w:ascii="Times New Roman" w:hAnsi="Times New Roman"/>
          <w:sz w:val="24"/>
          <w:szCs w:val="24"/>
        </w:rPr>
        <w:t>pecifisk</w:t>
      </w:r>
      <w:r>
        <w:rPr>
          <w:rFonts w:ascii="Times New Roman" w:hAnsi="Times New Roman"/>
          <w:sz w:val="24"/>
          <w:szCs w:val="24"/>
        </w:rPr>
        <w:t>ā</w:t>
      </w:r>
      <w:r w:rsidRPr="00201049">
        <w:rPr>
          <w:rFonts w:ascii="Times New Roman" w:hAnsi="Times New Roman"/>
          <w:sz w:val="24"/>
          <w:szCs w:val="24"/>
        </w:rPr>
        <w:t xml:space="preserve"> atbalsta mērķi</w:t>
      </w:r>
      <w:r w:rsidR="00B30DC7">
        <w:rPr>
          <w:rFonts w:ascii="Times New Roman" w:hAnsi="Times New Roman"/>
          <w:sz w:val="24"/>
          <w:szCs w:val="24"/>
        </w:rPr>
        <w:t>em (SAM)</w:t>
      </w:r>
      <w:r>
        <w:rPr>
          <w:rFonts w:ascii="Times New Roman" w:hAnsi="Times New Roman"/>
          <w:sz w:val="24"/>
          <w:szCs w:val="24"/>
        </w:rPr>
        <w:t xml:space="preserve"> </w:t>
      </w:r>
      <w:r w:rsidRPr="00274C03">
        <w:rPr>
          <w:rFonts w:ascii="Times New Roman" w:hAnsi="Times New Roman"/>
          <w:sz w:val="24"/>
          <w:szCs w:val="24"/>
        </w:rPr>
        <w:t>“Veicināt pielāgošanos klimata pārmaiņām, risku novēršanu un noturību pret katastrofām”</w:t>
      </w:r>
      <w:r w:rsidR="00D402AA">
        <w:rPr>
          <w:rFonts w:ascii="Times New Roman" w:hAnsi="Times New Roman"/>
          <w:sz w:val="24"/>
          <w:szCs w:val="24"/>
        </w:rPr>
        <w:t xml:space="preserve">. </w:t>
      </w:r>
    </w:p>
    <w:p w14:paraId="5D95AB6C" w14:textId="4892274A" w:rsidR="00D402AA" w:rsidRDefault="00666617" w:rsidP="00646EA5">
      <w:pPr>
        <w:spacing w:after="0" w:line="240" w:lineRule="auto"/>
        <w:ind w:firstLine="360"/>
        <w:jc w:val="both"/>
        <w:rPr>
          <w:rFonts w:ascii="Times New Roman" w:hAnsi="Times New Roman"/>
          <w:sz w:val="24"/>
          <w:szCs w:val="24"/>
        </w:rPr>
      </w:pPr>
      <w:r w:rsidRPr="00666617">
        <w:rPr>
          <w:rFonts w:ascii="Times New Roman" w:hAnsi="Times New Roman"/>
          <w:sz w:val="24"/>
          <w:szCs w:val="24"/>
        </w:rPr>
        <w:t>Valsts civilās aizsardzības plāns izstrādāts, ņemot vērā 2021.-2027.gada plānošanas perioda Kopējās fondu regulas III. pielikumā noteiktos ieguldījumu priekšnosacījumus (</w:t>
      </w:r>
      <w:proofErr w:type="spellStart"/>
      <w:r w:rsidRPr="00646EA5">
        <w:rPr>
          <w:rFonts w:ascii="Times New Roman" w:hAnsi="Times New Roman"/>
          <w:i/>
          <w:sz w:val="24"/>
          <w:szCs w:val="24"/>
        </w:rPr>
        <w:t>enabling</w:t>
      </w:r>
      <w:proofErr w:type="spellEnd"/>
      <w:r w:rsidRPr="00646EA5">
        <w:rPr>
          <w:rFonts w:ascii="Times New Roman" w:hAnsi="Times New Roman"/>
          <w:i/>
          <w:sz w:val="24"/>
          <w:szCs w:val="24"/>
        </w:rPr>
        <w:t xml:space="preserve"> </w:t>
      </w:r>
      <w:proofErr w:type="spellStart"/>
      <w:r w:rsidRPr="00646EA5">
        <w:rPr>
          <w:rFonts w:ascii="Times New Roman" w:hAnsi="Times New Roman"/>
          <w:i/>
          <w:sz w:val="24"/>
          <w:szCs w:val="24"/>
        </w:rPr>
        <w:t>conditions</w:t>
      </w:r>
      <w:proofErr w:type="spellEnd"/>
      <w:r w:rsidRPr="00666617">
        <w:rPr>
          <w:rFonts w:ascii="Times New Roman" w:hAnsi="Times New Roman"/>
          <w:sz w:val="24"/>
          <w:szCs w:val="24"/>
        </w:rPr>
        <w:t xml:space="preserve">). </w:t>
      </w:r>
      <w:r w:rsidR="00D402AA">
        <w:rPr>
          <w:rFonts w:ascii="Times New Roman" w:hAnsi="Times New Roman"/>
          <w:sz w:val="24"/>
          <w:szCs w:val="24"/>
        </w:rPr>
        <w:t>Lai Darbības programmā</w:t>
      </w:r>
      <w:r w:rsidR="00B30DC7">
        <w:rPr>
          <w:rFonts w:ascii="Times New Roman" w:hAnsi="Times New Roman"/>
          <w:sz w:val="24"/>
          <w:szCs w:val="24"/>
        </w:rPr>
        <w:t xml:space="preserve"> minētā SAM </w:t>
      </w:r>
      <w:r w:rsidR="00D402AA">
        <w:rPr>
          <w:rFonts w:ascii="Times New Roman" w:hAnsi="Times New Roman"/>
          <w:sz w:val="24"/>
          <w:szCs w:val="24"/>
        </w:rPr>
        <w:t xml:space="preserve">ietvaros varētu īstenot noteiktās ieguldījumu prioritātes, tā </w:t>
      </w:r>
      <w:r w:rsidR="00B30DC7">
        <w:rPr>
          <w:rFonts w:ascii="Times New Roman" w:hAnsi="Times New Roman"/>
          <w:sz w:val="24"/>
          <w:szCs w:val="24"/>
        </w:rPr>
        <w:t>īstenošanai ir noteikts t</w:t>
      </w:r>
      <w:r w:rsidR="00D402AA">
        <w:rPr>
          <w:rFonts w:ascii="Times New Roman" w:hAnsi="Times New Roman"/>
          <w:sz w:val="24"/>
          <w:szCs w:val="24"/>
        </w:rPr>
        <w:t xml:space="preserve">ematiskais priekšnosacījums, kas ietver </w:t>
      </w:r>
      <w:r w:rsidR="00347D6F">
        <w:rPr>
          <w:rFonts w:ascii="Times New Roman" w:hAnsi="Times New Roman"/>
          <w:sz w:val="24"/>
          <w:szCs w:val="24"/>
        </w:rPr>
        <w:t>izpildes kritērijus.</w:t>
      </w:r>
    </w:p>
    <w:p w14:paraId="35A02011" w14:textId="77777777" w:rsidR="00D402AA" w:rsidRDefault="00D402AA" w:rsidP="00D402AA">
      <w:pPr>
        <w:spacing w:after="0" w:line="240" w:lineRule="auto"/>
        <w:ind w:firstLine="360"/>
        <w:rPr>
          <w:rFonts w:ascii="Times New Roman" w:hAnsi="Times New Roman"/>
          <w:sz w:val="24"/>
          <w:szCs w:val="24"/>
        </w:rPr>
      </w:pPr>
    </w:p>
    <w:p w14:paraId="1EBD7D3F" w14:textId="77777777" w:rsidR="00347D6F" w:rsidRDefault="00347D6F" w:rsidP="00D402AA">
      <w:pPr>
        <w:spacing w:after="0" w:line="240" w:lineRule="auto"/>
        <w:ind w:firstLine="360"/>
        <w:rPr>
          <w:rFonts w:ascii="Times New Roman" w:hAnsi="Times New Roman"/>
          <w:sz w:val="24"/>
          <w:szCs w:val="24"/>
        </w:rPr>
      </w:pPr>
    </w:p>
    <w:p w14:paraId="0758D7E5" w14:textId="7CDC5D9B" w:rsidR="00347D6F" w:rsidRPr="00265E0C" w:rsidRDefault="00DC3421" w:rsidP="00DC3421">
      <w:pPr>
        <w:spacing w:after="0" w:line="240" w:lineRule="auto"/>
        <w:rPr>
          <w:rFonts w:ascii="Times New Roman" w:hAnsi="Times New Roman"/>
          <w:b/>
          <w:i/>
          <w:sz w:val="24"/>
          <w:szCs w:val="24"/>
        </w:rPr>
      </w:pPr>
      <w:r w:rsidRPr="00265E0C">
        <w:rPr>
          <w:rFonts w:ascii="Times New Roman" w:hAnsi="Times New Roman"/>
          <w:i/>
          <w:sz w:val="24"/>
          <w:szCs w:val="24"/>
        </w:rPr>
        <w:t>1.tabula.</w:t>
      </w:r>
      <w:r w:rsidR="00347D6F" w:rsidRPr="00265E0C">
        <w:rPr>
          <w:rFonts w:ascii="Times New Roman" w:hAnsi="Times New Roman"/>
          <w:i/>
          <w:sz w:val="24"/>
          <w:szCs w:val="24"/>
        </w:rPr>
        <w:t>Tematiskais priekšnosacījums - Efektīvs katastrofu risku pārvaldības ietvars</w:t>
      </w:r>
    </w:p>
    <w:tbl>
      <w:tblPr>
        <w:tblStyle w:val="TableGrid"/>
        <w:tblW w:w="0" w:type="auto"/>
        <w:tblLook w:val="04A0" w:firstRow="1" w:lastRow="0" w:firstColumn="1" w:lastColumn="0" w:noHBand="0" w:noVBand="1"/>
      </w:tblPr>
      <w:tblGrid>
        <w:gridCol w:w="2122"/>
        <w:gridCol w:w="4819"/>
        <w:gridCol w:w="2970"/>
      </w:tblGrid>
      <w:tr w:rsidR="00D402AA" w:rsidRPr="000C1425" w14:paraId="24F6E50F" w14:textId="77777777" w:rsidTr="00DC3421">
        <w:tc>
          <w:tcPr>
            <w:tcW w:w="2122" w:type="dxa"/>
          </w:tcPr>
          <w:p w14:paraId="5153244B" w14:textId="6CD45424" w:rsidR="00D402AA" w:rsidRPr="000C1425" w:rsidRDefault="00347D6F" w:rsidP="00347D6F">
            <w:pPr>
              <w:jc w:val="center"/>
              <w:rPr>
                <w:rFonts w:ascii="Times New Roman" w:hAnsi="Times New Roman"/>
                <w:b/>
                <w:sz w:val="20"/>
                <w:szCs w:val="20"/>
              </w:rPr>
            </w:pPr>
            <w:r w:rsidRPr="000C1425">
              <w:rPr>
                <w:rFonts w:ascii="Times New Roman" w:hAnsi="Times New Roman"/>
                <w:b/>
                <w:sz w:val="20"/>
                <w:szCs w:val="20"/>
              </w:rPr>
              <w:t>Kritērijs</w:t>
            </w:r>
          </w:p>
        </w:tc>
        <w:tc>
          <w:tcPr>
            <w:tcW w:w="4819" w:type="dxa"/>
          </w:tcPr>
          <w:p w14:paraId="7DA43D11" w14:textId="2BE7F0C3" w:rsidR="00D402AA" w:rsidRPr="000C1425" w:rsidRDefault="00347D6F" w:rsidP="00347D6F">
            <w:pPr>
              <w:jc w:val="center"/>
              <w:rPr>
                <w:rFonts w:ascii="Times New Roman" w:hAnsi="Times New Roman"/>
                <w:b/>
                <w:sz w:val="20"/>
                <w:szCs w:val="20"/>
              </w:rPr>
            </w:pPr>
            <w:r w:rsidRPr="000C1425">
              <w:rPr>
                <w:rFonts w:ascii="Times New Roman" w:hAnsi="Times New Roman"/>
                <w:b/>
                <w:sz w:val="20"/>
                <w:szCs w:val="20"/>
              </w:rPr>
              <w:t>Pamatojums</w:t>
            </w:r>
            <w:r w:rsidR="0027484B" w:rsidRPr="000C1425">
              <w:rPr>
                <w:rFonts w:ascii="Times New Roman" w:hAnsi="Times New Roman"/>
                <w:b/>
                <w:sz w:val="20"/>
                <w:szCs w:val="20"/>
              </w:rPr>
              <w:t xml:space="preserve"> un pašnovērtējums</w:t>
            </w:r>
          </w:p>
        </w:tc>
        <w:tc>
          <w:tcPr>
            <w:tcW w:w="2970" w:type="dxa"/>
          </w:tcPr>
          <w:p w14:paraId="20C79DA1" w14:textId="37DF1CD4" w:rsidR="00D402AA" w:rsidRPr="000C1425" w:rsidRDefault="00347D6F" w:rsidP="00347D6F">
            <w:pPr>
              <w:jc w:val="center"/>
              <w:rPr>
                <w:rFonts w:ascii="Times New Roman" w:hAnsi="Times New Roman"/>
                <w:b/>
                <w:sz w:val="20"/>
                <w:szCs w:val="20"/>
              </w:rPr>
            </w:pPr>
            <w:r w:rsidRPr="000C1425">
              <w:rPr>
                <w:rFonts w:ascii="Times New Roman" w:hAnsi="Times New Roman"/>
                <w:b/>
                <w:sz w:val="20"/>
                <w:szCs w:val="20"/>
              </w:rPr>
              <w:t xml:space="preserve">Eiropas Komisijas norādījumi, </w:t>
            </w:r>
            <w:r w:rsidR="00666617" w:rsidRPr="000C1425">
              <w:rPr>
                <w:rFonts w:ascii="Times New Roman" w:hAnsi="Times New Roman"/>
                <w:b/>
                <w:sz w:val="20"/>
                <w:szCs w:val="20"/>
              </w:rPr>
              <w:t xml:space="preserve">priekšnosacījumu </w:t>
            </w:r>
            <w:r w:rsidRPr="000C1425">
              <w:rPr>
                <w:rFonts w:ascii="Times New Roman" w:hAnsi="Times New Roman"/>
                <w:b/>
                <w:sz w:val="20"/>
                <w:szCs w:val="20"/>
              </w:rPr>
              <w:t>kritēriju izpildei</w:t>
            </w:r>
          </w:p>
        </w:tc>
      </w:tr>
      <w:tr w:rsidR="00347D6F" w:rsidRPr="000C1425" w14:paraId="1ECCC908" w14:textId="77777777" w:rsidTr="00DC3421">
        <w:tc>
          <w:tcPr>
            <w:tcW w:w="2122" w:type="dxa"/>
          </w:tcPr>
          <w:p w14:paraId="57F92029" w14:textId="77777777" w:rsidR="00347D6F" w:rsidRPr="000C1425" w:rsidRDefault="00347D6F" w:rsidP="00347D6F">
            <w:pPr>
              <w:jc w:val="both"/>
              <w:rPr>
                <w:rFonts w:ascii="Times New Roman" w:hAnsi="Times New Roman"/>
                <w:sz w:val="20"/>
                <w:szCs w:val="20"/>
              </w:rPr>
            </w:pPr>
            <w:r w:rsidRPr="000C1425">
              <w:rPr>
                <w:rFonts w:ascii="Times New Roman" w:hAnsi="Times New Roman"/>
                <w:sz w:val="20"/>
                <w:szCs w:val="20"/>
              </w:rPr>
              <w:t>Ir sagatavots valsts vai reģionālais katastrofu risku pārvaldības plāns, kas atbilst spēkā esošajām stratēģijām attiecībā uz pielāgošanos klimata pārmaiņām un kas ietver:</w:t>
            </w:r>
          </w:p>
          <w:p w14:paraId="3CD6BADB" w14:textId="0B53AD6C" w:rsidR="00347D6F" w:rsidRPr="000C1425" w:rsidRDefault="00347D6F" w:rsidP="00347D6F">
            <w:pPr>
              <w:jc w:val="both"/>
              <w:rPr>
                <w:rFonts w:ascii="Times New Roman" w:hAnsi="Times New Roman"/>
                <w:sz w:val="20"/>
                <w:szCs w:val="20"/>
              </w:rPr>
            </w:pPr>
            <w:r w:rsidRPr="000C1425">
              <w:rPr>
                <w:rFonts w:ascii="Times New Roman" w:hAnsi="Times New Roman"/>
                <w:b/>
                <w:sz w:val="20"/>
                <w:szCs w:val="20"/>
              </w:rPr>
              <w:t>1.</w:t>
            </w:r>
            <w:r w:rsidRPr="000C1425">
              <w:rPr>
                <w:rFonts w:ascii="Times New Roman" w:hAnsi="Times New Roman"/>
                <w:b/>
                <w:sz w:val="20"/>
                <w:szCs w:val="20"/>
              </w:rPr>
              <w:tab/>
              <w:t xml:space="preserve">Galveno risku aprakstu, kas novērtēts saskaņā ar Lēmuma Nr. </w:t>
            </w:r>
            <w:r w:rsidRPr="000C1425">
              <w:rPr>
                <w:rFonts w:ascii="Times New Roman" w:hAnsi="Times New Roman"/>
                <w:b/>
                <w:sz w:val="20"/>
                <w:szCs w:val="20"/>
              </w:rPr>
              <w:lastRenderedPageBreak/>
              <w:t>1313/2013/ES 6. panta a) punktu, atspoguļojot pašreizējo un mainīgo riska profilu. Novērtējumā, ņemot vērā ar klimatu saistītos riskus, tiek izstrādātas klimata pārmaiņu prognozes un scenāriji.</w:t>
            </w:r>
          </w:p>
        </w:tc>
        <w:tc>
          <w:tcPr>
            <w:tcW w:w="4819" w:type="dxa"/>
          </w:tcPr>
          <w:p w14:paraId="02244693" w14:textId="3C746FA4" w:rsidR="00347D6F" w:rsidRPr="000C1425" w:rsidRDefault="00347D6F" w:rsidP="00347D6F">
            <w:pPr>
              <w:jc w:val="both"/>
              <w:rPr>
                <w:rFonts w:ascii="Times New Roman" w:hAnsi="Times New Roman"/>
                <w:sz w:val="20"/>
                <w:szCs w:val="20"/>
              </w:rPr>
            </w:pPr>
            <w:r w:rsidRPr="000C1425">
              <w:rPr>
                <w:rFonts w:ascii="Times New Roman" w:hAnsi="Times New Roman"/>
                <w:sz w:val="20"/>
                <w:szCs w:val="20"/>
              </w:rPr>
              <w:lastRenderedPageBreak/>
              <w:t>Ir izstrādāts</w:t>
            </w:r>
            <w:r w:rsidR="001A4CD8" w:rsidRPr="000C1425">
              <w:rPr>
                <w:rFonts w:ascii="Times New Roman" w:hAnsi="Times New Roman"/>
                <w:sz w:val="20"/>
                <w:szCs w:val="20"/>
              </w:rPr>
              <w:t xml:space="preserve"> un apstiprināts</w:t>
            </w:r>
            <w:r w:rsidRPr="000C1425">
              <w:rPr>
                <w:rFonts w:ascii="Times New Roman" w:hAnsi="Times New Roman"/>
                <w:sz w:val="20"/>
                <w:szCs w:val="20"/>
              </w:rPr>
              <w:t xml:space="preserve"> Valsts civilās aizsardzības plāns, kas satur vairāku apdraudējumu riska novērtējuma rezultātus attiecībā uz iespējamiem apdraudējumiem / riskiem, kurus ir identificējušas un novērtējušas atbildīgās katastrofu pārvaldības institūcija attiecīgajā kompetences jomā, kā arī visus saistītos katastrofu riska pārvaldības pasākumus. Katra katastrofu pārvaldības institūcija, balstoties uz saviem pienākumiem, šos novērtētos apdraudējums / riskus uzskata par būtiskiem, k ā arī to pārvaldīšanai plāno un īsteno katastrofu pārvaldīšanas pasākumus. </w:t>
            </w:r>
          </w:p>
          <w:p w14:paraId="03AC6845" w14:textId="483E232E" w:rsidR="000659AE" w:rsidRPr="000C1425" w:rsidRDefault="000659AE" w:rsidP="000659AE">
            <w:pPr>
              <w:jc w:val="both"/>
              <w:rPr>
                <w:rFonts w:ascii="Times New Roman" w:hAnsi="Times New Roman"/>
                <w:sz w:val="20"/>
                <w:szCs w:val="20"/>
              </w:rPr>
            </w:pPr>
            <w:r w:rsidRPr="000C1425">
              <w:rPr>
                <w:rFonts w:ascii="Times New Roman" w:hAnsi="Times New Roman"/>
                <w:sz w:val="20"/>
                <w:szCs w:val="20"/>
              </w:rPr>
              <w:t>Vienotai k</w:t>
            </w:r>
            <w:r w:rsidR="00347D6F" w:rsidRPr="000C1425">
              <w:rPr>
                <w:rFonts w:ascii="Times New Roman" w:hAnsi="Times New Roman"/>
                <w:sz w:val="20"/>
                <w:szCs w:val="20"/>
              </w:rPr>
              <w:t xml:space="preserve">atastrofu riska novērtēšanai </w:t>
            </w:r>
            <w:r w:rsidRPr="000C1425">
              <w:rPr>
                <w:rFonts w:ascii="Times New Roman" w:hAnsi="Times New Roman"/>
                <w:sz w:val="20"/>
                <w:szCs w:val="20"/>
              </w:rPr>
              <w:t xml:space="preserve">ir izstrādātas katastrofu riska novērtēšanas rekomendācijas (metodika), </w:t>
            </w:r>
            <w:r w:rsidRPr="000C1425">
              <w:rPr>
                <w:rFonts w:ascii="Times New Roman" w:hAnsi="Times New Roman"/>
                <w:sz w:val="20"/>
                <w:szCs w:val="20"/>
              </w:rPr>
              <w:lastRenderedPageBreak/>
              <w:t>kurā ņemti vērā Eiropas Komisijas 2010.gada 12.decembra SEC(2010) 1626 dienestu rekomendācijas “Riska novērtēšanas un kartēšanas pamatnostādnes katastrofu pārvaldībai”, projekta “Eiropas Savienības stratēģija Baltijas jūras reģionā 14.3” (EUSBSR 14.3) izstrādātā makro-reģionālā riska novērtēšanas metodoloģija, projekta “Riska pārvaldības spējas, kas balstītas uz trūkumu identificēšanu Baltijas jūras reģionā” (</w:t>
            </w:r>
            <w:proofErr w:type="spellStart"/>
            <w:r w:rsidRPr="000C1425">
              <w:rPr>
                <w:rFonts w:ascii="Times New Roman" w:hAnsi="Times New Roman"/>
                <w:sz w:val="20"/>
                <w:szCs w:val="20"/>
              </w:rPr>
              <w:t>From</w:t>
            </w:r>
            <w:proofErr w:type="spellEnd"/>
            <w:r w:rsidRPr="000C1425">
              <w:rPr>
                <w:rFonts w:ascii="Times New Roman" w:hAnsi="Times New Roman"/>
                <w:sz w:val="20"/>
                <w:szCs w:val="20"/>
              </w:rPr>
              <w:t xml:space="preserve"> </w:t>
            </w:r>
            <w:proofErr w:type="spellStart"/>
            <w:r w:rsidRPr="000C1425">
              <w:rPr>
                <w:rFonts w:ascii="Times New Roman" w:hAnsi="Times New Roman"/>
                <w:sz w:val="20"/>
                <w:szCs w:val="20"/>
              </w:rPr>
              <w:t>Gaps</w:t>
            </w:r>
            <w:proofErr w:type="spellEnd"/>
            <w:r w:rsidRPr="000C1425">
              <w:rPr>
                <w:rFonts w:ascii="Times New Roman" w:hAnsi="Times New Roman"/>
                <w:sz w:val="20"/>
                <w:szCs w:val="20"/>
              </w:rPr>
              <w:t xml:space="preserve"> to </w:t>
            </w:r>
            <w:proofErr w:type="spellStart"/>
            <w:r w:rsidRPr="000C1425">
              <w:rPr>
                <w:rFonts w:ascii="Times New Roman" w:hAnsi="Times New Roman"/>
                <w:sz w:val="20"/>
                <w:szCs w:val="20"/>
              </w:rPr>
              <w:t>Caps</w:t>
            </w:r>
            <w:proofErr w:type="spellEnd"/>
            <w:r w:rsidRPr="000C1425">
              <w:rPr>
                <w:rFonts w:ascii="Times New Roman" w:hAnsi="Times New Roman"/>
                <w:sz w:val="20"/>
                <w:szCs w:val="20"/>
              </w:rPr>
              <w:t>) izmantotā metodoloģija, kā arī Šveices riska analīzes metodoloģijas ieteikumi “</w:t>
            </w:r>
            <w:r w:rsidRPr="000C1425">
              <w:rPr>
                <w:rFonts w:ascii="Times New Roman" w:hAnsi="Times New Roman"/>
                <w:i/>
                <w:sz w:val="20"/>
                <w:szCs w:val="20"/>
              </w:rPr>
              <w:t xml:space="preserve">A </w:t>
            </w:r>
            <w:proofErr w:type="spellStart"/>
            <w:r w:rsidRPr="000C1425">
              <w:rPr>
                <w:rFonts w:ascii="Times New Roman" w:hAnsi="Times New Roman"/>
                <w:i/>
                <w:sz w:val="20"/>
                <w:szCs w:val="20"/>
              </w:rPr>
              <w:t>Method</w:t>
            </w:r>
            <w:proofErr w:type="spellEnd"/>
            <w:r w:rsidRPr="000C1425">
              <w:rPr>
                <w:rFonts w:ascii="Times New Roman" w:hAnsi="Times New Roman"/>
                <w:i/>
                <w:sz w:val="20"/>
                <w:szCs w:val="20"/>
              </w:rPr>
              <w:t xml:space="preserve"> </w:t>
            </w:r>
            <w:proofErr w:type="spellStart"/>
            <w:r w:rsidRPr="000C1425">
              <w:rPr>
                <w:rFonts w:ascii="Times New Roman" w:hAnsi="Times New Roman"/>
                <w:i/>
                <w:sz w:val="20"/>
                <w:szCs w:val="20"/>
              </w:rPr>
              <w:t>for</w:t>
            </w:r>
            <w:proofErr w:type="spellEnd"/>
            <w:r w:rsidRPr="000C1425">
              <w:rPr>
                <w:rFonts w:ascii="Times New Roman" w:hAnsi="Times New Roman"/>
                <w:i/>
                <w:sz w:val="20"/>
                <w:szCs w:val="20"/>
              </w:rPr>
              <w:t xml:space="preserve"> </w:t>
            </w:r>
            <w:proofErr w:type="spellStart"/>
            <w:r w:rsidRPr="000C1425">
              <w:rPr>
                <w:rFonts w:ascii="Times New Roman" w:hAnsi="Times New Roman"/>
                <w:i/>
                <w:sz w:val="20"/>
                <w:szCs w:val="20"/>
              </w:rPr>
              <w:t>Risk</w:t>
            </w:r>
            <w:proofErr w:type="spellEnd"/>
            <w:r w:rsidRPr="000C1425">
              <w:rPr>
                <w:rFonts w:ascii="Times New Roman" w:hAnsi="Times New Roman"/>
                <w:i/>
                <w:sz w:val="20"/>
                <w:szCs w:val="20"/>
              </w:rPr>
              <w:t xml:space="preserve"> </w:t>
            </w:r>
            <w:proofErr w:type="spellStart"/>
            <w:r w:rsidRPr="000C1425">
              <w:rPr>
                <w:rFonts w:ascii="Times New Roman" w:hAnsi="Times New Roman"/>
                <w:i/>
                <w:sz w:val="20"/>
                <w:szCs w:val="20"/>
              </w:rPr>
              <w:t>Analysis</w:t>
            </w:r>
            <w:proofErr w:type="spellEnd"/>
            <w:r w:rsidRPr="000C1425">
              <w:rPr>
                <w:rFonts w:ascii="Times New Roman" w:hAnsi="Times New Roman"/>
                <w:i/>
                <w:sz w:val="20"/>
                <w:szCs w:val="20"/>
              </w:rPr>
              <w:t xml:space="preserve"> </w:t>
            </w:r>
            <w:proofErr w:type="spellStart"/>
            <w:r w:rsidRPr="000C1425">
              <w:rPr>
                <w:rFonts w:ascii="Times New Roman" w:hAnsi="Times New Roman"/>
                <w:i/>
                <w:sz w:val="20"/>
                <w:szCs w:val="20"/>
              </w:rPr>
              <w:t>on</w:t>
            </w:r>
            <w:proofErr w:type="spellEnd"/>
            <w:r w:rsidRPr="000C1425">
              <w:rPr>
                <w:rFonts w:ascii="Times New Roman" w:hAnsi="Times New Roman"/>
                <w:i/>
                <w:sz w:val="20"/>
                <w:szCs w:val="20"/>
              </w:rPr>
              <w:t xml:space="preserve"> </w:t>
            </w:r>
            <w:proofErr w:type="spellStart"/>
            <w:r w:rsidRPr="000C1425">
              <w:rPr>
                <w:rFonts w:ascii="Times New Roman" w:hAnsi="Times New Roman"/>
                <w:i/>
                <w:sz w:val="20"/>
                <w:szCs w:val="20"/>
              </w:rPr>
              <w:t>Disasters</w:t>
            </w:r>
            <w:proofErr w:type="spellEnd"/>
            <w:r w:rsidRPr="000C1425">
              <w:rPr>
                <w:rFonts w:ascii="Times New Roman" w:hAnsi="Times New Roman"/>
                <w:i/>
                <w:sz w:val="20"/>
                <w:szCs w:val="20"/>
              </w:rPr>
              <w:t xml:space="preserve"> </w:t>
            </w:r>
            <w:proofErr w:type="spellStart"/>
            <w:r w:rsidRPr="000C1425">
              <w:rPr>
                <w:rFonts w:ascii="Times New Roman" w:hAnsi="Times New Roman"/>
                <w:i/>
                <w:sz w:val="20"/>
                <w:szCs w:val="20"/>
              </w:rPr>
              <w:t>and</w:t>
            </w:r>
            <w:proofErr w:type="spellEnd"/>
            <w:r w:rsidRPr="000C1425">
              <w:rPr>
                <w:rFonts w:ascii="Times New Roman" w:hAnsi="Times New Roman"/>
                <w:i/>
                <w:sz w:val="20"/>
                <w:szCs w:val="20"/>
              </w:rPr>
              <w:t xml:space="preserve"> </w:t>
            </w:r>
            <w:proofErr w:type="spellStart"/>
            <w:r w:rsidRPr="000C1425">
              <w:rPr>
                <w:rFonts w:ascii="Times New Roman" w:hAnsi="Times New Roman"/>
                <w:i/>
                <w:sz w:val="20"/>
                <w:szCs w:val="20"/>
              </w:rPr>
              <w:t>Emergencies</w:t>
            </w:r>
            <w:proofErr w:type="spellEnd"/>
            <w:r w:rsidRPr="000C1425">
              <w:rPr>
                <w:rFonts w:ascii="Times New Roman" w:hAnsi="Times New Roman"/>
                <w:i/>
                <w:sz w:val="20"/>
                <w:szCs w:val="20"/>
              </w:rPr>
              <w:t xml:space="preserve"> </w:t>
            </w:r>
            <w:proofErr w:type="spellStart"/>
            <w:r w:rsidRPr="000C1425">
              <w:rPr>
                <w:rFonts w:ascii="Times New Roman" w:hAnsi="Times New Roman"/>
                <w:i/>
                <w:sz w:val="20"/>
                <w:szCs w:val="20"/>
              </w:rPr>
              <w:t>in</w:t>
            </w:r>
            <w:proofErr w:type="spellEnd"/>
            <w:r w:rsidR="0027484B" w:rsidRPr="000C1425">
              <w:rPr>
                <w:rFonts w:ascii="Times New Roman" w:hAnsi="Times New Roman"/>
                <w:i/>
                <w:sz w:val="20"/>
                <w:szCs w:val="20"/>
              </w:rPr>
              <w:t xml:space="preserve"> </w:t>
            </w:r>
            <w:proofErr w:type="spellStart"/>
            <w:r w:rsidRPr="000C1425">
              <w:rPr>
                <w:rFonts w:ascii="Times New Roman" w:hAnsi="Times New Roman"/>
                <w:i/>
                <w:sz w:val="20"/>
                <w:szCs w:val="20"/>
              </w:rPr>
              <w:t>Switzerland</w:t>
            </w:r>
            <w:proofErr w:type="spellEnd"/>
            <w:r w:rsidRPr="000C1425">
              <w:rPr>
                <w:rFonts w:ascii="Times New Roman" w:hAnsi="Times New Roman"/>
                <w:sz w:val="20"/>
                <w:szCs w:val="20"/>
              </w:rPr>
              <w:t>” (2013.gads).</w:t>
            </w:r>
          </w:p>
          <w:p w14:paraId="22C82E26" w14:textId="33825295" w:rsidR="00347D6F" w:rsidRPr="000C1425" w:rsidRDefault="00347D6F" w:rsidP="00A016B9">
            <w:pPr>
              <w:jc w:val="both"/>
              <w:rPr>
                <w:rFonts w:ascii="Times New Roman" w:hAnsi="Times New Roman"/>
                <w:sz w:val="20"/>
                <w:szCs w:val="20"/>
              </w:rPr>
            </w:pPr>
            <w:r w:rsidRPr="000C1425">
              <w:rPr>
                <w:rFonts w:ascii="Times New Roman" w:hAnsi="Times New Roman"/>
                <w:sz w:val="20"/>
                <w:szCs w:val="20"/>
              </w:rPr>
              <w:t>L</w:t>
            </w:r>
            <w:r w:rsidR="000659AE" w:rsidRPr="000C1425">
              <w:rPr>
                <w:rFonts w:ascii="Times New Roman" w:hAnsi="Times New Roman"/>
                <w:sz w:val="20"/>
                <w:szCs w:val="20"/>
              </w:rPr>
              <w:t xml:space="preserve">ai nodrošinātu katastrofu apdraudējumu pašreizējo un mainīgo riska profilu, ir konstatēts, ka Latvijā nepietiekami tiek veikta katastrofu zaudējumu un bojājumu datu uzkrāšana, kurai ir būtiska loma katastrofu riska novērtēšanā. Tādēļ </w:t>
            </w:r>
            <w:r w:rsidRPr="000C1425">
              <w:rPr>
                <w:rFonts w:ascii="Times New Roman" w:hAnsi="Times New Roman"/>
                <w:sz w:val="20"/>
                <w:szCs w:val="20"/>
              </w:rPr>
              <w:t xml:space="preserve"> ir veikta priekšizpēte par katastrofu postījumu un zaudējumu datubāzes izstrādi  (</w:t>
            </w:r>
            <w:r w:rsidR="000659AE" w:rsidRPr="000C1425">
              <w:rPr>
                <w:rFonts w:ascii="Times New Roman" w:hAnsi="Times New Roman"/>
                <w:sz w:val="20"/>
                <w:szCs w:val="20"/>
              </w:rPr>
              <w:t xml:space="preserve">pasākumus ir iekļauts </w:t>
            </w:r>
            <w:r w:rsidRPr="000C1425">
              <w:rPr>
                <w:rFonts w:ascii="Times New Roman" w:hAnsi="Times New Roman"/>
                <w:sz w:val="20"/>
                <w:szCs w:val="20"/>
              </w:rPr>
              <w:t>Valsts civilās aizsardzības plānā), lai noteiktu ieviešanas potenciālos risinājumus un to izmaksas. Šādas sistēmas/risinājuma ieviešana</w:t>
            </w:r>
            <w:r w:rsidR="000659AE" w:rsidRPr="000C1425">
              <w:rPr>
                <w:rFonts w:ascii="Times New Roman" w:hAnsi="Times New Roman"/>
                <w:sz w:val="20"/>
                <w:szCs w:val="20"/>
              </w:rPr>
              <w:t xml:space="preserve"> ļautu uzkrāt vēsturiskos datus, apmainīties ar datiem starp dažādām nozarēm, m</w:t>
            </w:r>
            <w:r w:rsidR="0027484B" w:rsidRPr="000C1425">
              <w:rPr>
                <w:rFonts w:ascii="Times New Roman" w:hAnsi="Times New Roman"/>
                <w:sz w:val="20"/>
                <w:szCs w:val="20"/>
              </w:rPr>
              <w:t>a</w:t>
            </w:r>
            <w:r w:rsidR="000659AE" w:rsidRPr="000C1425">
              <w:rPr>
                <w:rFonts w:ascii="Times New Roman" w:hAnsi="Times New Roman"/>
                <w:sz w:val="20"/>
                <w:szCs w:val="20"/>
              </w:rPr>
              <w:t xml:space="preserve">zinātu nenoteiktību riska novērtēšanas procesā, un ļautu daudz precīzāk novērtēt apdraudējuma / </w:t>
            </w:r>
            <w:r w:rsidRPr="000C1425">
              <w:rPr>
                <w:rFonts w:ascii="Times New Roman" w:hAnsi="Times New Roman"/>
                <w:sz w:val="20"/>
                <w:szCs w:val="20"/>
              </w:rPr>
              <w:t>riska varbūtīb</w:t>
            </w:r>
            <w:r w:rsidR="000659AE" w:rsidRPr="000C1425">
              <w:rPr>
                <w:rFonts w:ascii="Times New Roman" w:hAnsi="Times New Roman"/>
                <w:sz w:val="20"/>
                <w:szCs w:val="20"/>
              </w:rPr>
              <w:t>u (atkārtošanās iespēju)</w:t>
            </w:r>
            <w:r w:rsidRPr="000C1425">
              <w:rPr>
                <w:rFonts w:ascii="Times New Roman" w:hAnsi="Times New Roman"/>
                <w:sz w:val="20"/>
                <w:szCs w:val="20"/>
              </w:rPr>
              <w:t xml:space="preserve"> un</w:t>
            </w:r>
            <w:r w:rsidR="00A016B9" w:rsidRPr="000C1425">
              <w:rPr>
                <w:rFonts w:ascii="Times New Roman" w:hAnsi="Times New Roman"/>
                <w:sz w:val="20"/>
                <w:szCs w:val="20"/>
              </w:rPr>
              <w:t xml:space="preserve"> šo apdraudējumu radīto</w:t>
            </w:r>
            <w:r w:rsidRPr="000C1425">
              <w:rPr>
                <w:rFonts w:ascii="Times New Roman" w:hAnsi="Times New Roman"/>
                <w:sz w:val="20"/>
                <w:szCs w:val="20"/>
              </w:rPr>
              <w:t xml:space="preserve"> seku </w:t>
            </w:r>
            <w:r w:rsidR="00A016B9" w:rsidRPr="000C1425">
              <w:rPr>
                <w:rFonts w:ascii="Times New Roman" w:hAnsi="Times New Roman"/>
                <w:sz w:val="20"/>
                <w:szCs w:val="20"/>
              </w:rPr>
              <w:t xml:space="preserve">ietekmi. </w:t>
            </w:r>
            <w:r w:rsidRPr="000C1425">
              <w:rPr>
                <w:rFonts w:ascii="Times New Roman" w:hAnsi="Times New Roman"/>
                <w:sz w:val="20"/>
                <w:szCs w:val="20"/>
              </w:rPr>
              <w:t>Tas ļau</w:t>
            </w:r>
            <w:r w:rsidR="00A016B9" w:rsidRPr="000C1425">
              <w:rPr>
                <w:rFonts w:ascii="Times New Roman" w:hAnsi="Times New Roman"/>
                <w:sz w:val="20"/>
                <w:szCs w:val="20"/>
              </w:rPr>
              <w:t xml:space="preserve">tu arī </w:t>
            </w:r>
            <w:r w:rsidRPr="000C1425">
              <w:rPr>
                <w:rFonts w:ascii="Times New Roman" w:hAnsi="Times New Roman"/>
                <w:sz w:val="20"/>
                <w:szCs w:val="20"/>
              </w:rPr>
              <w:t>noteikt prioritāros riskus,</w:t>
            </w:r>
            <w:r w:rsidR="00A016B9" w:rsidRPr="000C1425">
              <w:rPr>
                <w:rFonts w:ascii="Times New Roman" w:hAnsi="Times New Roman"/>
                <w:sz w:val="20"/>
                <w:szCs w:val="20"/>
              </w:rPr>
              <w:t xml:space="preserve"> </w:t>
            </w:r>
            <w:r w:rsidR="0027484B" w:rsidRPr="000C1425">
              <w:rPr>
                <w:rFonts w:ascii="Times New Roman" w:hAnsi="Times New Roman"/>
                <w:sz w:val="20"/>
                <w:szCs w:val="20"/>
              </w:rPr>
              <w:t xml:space="preserve">iepriekš definējot kopīgus </w:t>
            </w:r>
            <w:r w:rsidR="00A016B9" w:rsidRPr="000C1425">
              <w:rPr>
                <w:rFonts w:ascii="Times New Roman" w:hAnsi="Times New Roman"/>
                <w:sz w:val="20"/>
                <w:szCs w:val="20"/>
              </w:rPr>
              <w:t>kritērijus.</w:t>
            </w:r>
            <w:r w:rsidR="0027484B" w:rsidRPr="000C1425">
              <w:rPr>
                <w:rFonts w:ascii="Times New Roman" w:hAnsi="Times New Roman"/>
                <w:sz w:val="20"/>
                <w:szCs w:val="20"/>
              </w:rPr>
              <w:t xml:space="preserve"> </w:t>
            </w:r>
          </w:p>
          <w:p w14:paraId="14CB2D97" w14:textId="099C6867" w:rsidR="0027484B" w:rsidRPr="000C1425" w:rsidRDefault="00A016B9" w:rsidP="0027484B">
            <w:pPr>
              <w:jc w:val="both"/>
              <w:rPr>
                <w:rFonts w:ascii="Times New Roman" w:hAnsi="Times New Roman"/>
                <w:sz w:val="20"/>
                <w:szCs w:val="20"/>
              </w:rPr>
            </w:pPr>
            <w:r w:rsidRPr="000C1425">
              <w:rPr>
                <w:rFonts w:ascii="Times New Roman" w:hAnsi="Times New Roman"/>
                <w:sz w:val="20"/>
                <w:szCs w:val="20"/>
              </w:rPr>
              <w:t>Attiecībā uz klimata pārmaiņu prognozēm un scenārijiem, Latvijā ir izstrād</w:t>
            </w:r>
            <w:r w:rsidR="0027484B" w:rsidRPr="000C1425">
              <w:rPr>
                <w:rFonts w:ascii="Times New Roman" w:hAnsi="Times New Roman"/>
                <w:sz w:val="20"/>
                <w:szCs w:val="20"/>
              </w:rPr>
              <w:t>āti</w:t>
            </w:r>
            <w:r w:rsidRPr="000C1425">
              <w:rPr>
                <w:rFonts w:ascii="Times New Roman" w:hAnsi="Times New Roman"/>
                <w:sz w:val="20"/>
                <w:szCs w:val="20"/>
              </w:rPr>
              <w:t xml:space="preserve"> </w:t>
            </w:r>
            <w:r w:rsidR="0027484B" w:rsidRPr="000C1425">
              <w:rPr>
                <w:rFonts w:ascii="Times New Roman" w:hAnsi="Times New Roman"/>
                <w:sz w:val="20"/>
                <w:szCs w:val="20"/>
              </w:rPr>
              <w:t xml:space="preserve">klimata pārmaiņu scenāriji, kā arī ar 2019.gada 17.jūlija Ministru kabineta rīkojumu Nr.380 apstiprināts “Par Latvijas pielāgošanās klimata pārmaiņām plānu laika posmam līdz 2030.gadam”. </w:t>
            </w:r>
          </w:p>
        </w:tc>
        <w:tc>
          <w:tcPr>
            <w:tcW w:w="2970" w:type="dxa"/>
          </w:tcPr>
          <w:p w14:paraId="51A0BF03" w14:textId="196B6C42" w:rsidR="00347D6F" w:rsidRPr="000C1425" w:rsidRDefault="0027484B" w:rsidP="00347D6F">
            <w:pPr>
              <w:jc w:val="both"/>
              <w:rPr>
                <w:rFonts w:ascii="Times New Roman" w:hAnsi="Times New Roman"/>
                <w:sz w:val="20"/>
                <w:szCs w:val="20"/>
              </w:rPr>
            </w:pPr>
            <w:r w:rsidRPr="000C1425">
              <w:rPr>
                <w:rFonts w:ascii="Times New Roman" w:hAnsi="Times New Roman"/>
                <w:sz w:val="20"/>
                <w:szCs w:val="20"/>
              </w:rPr>
              <w:lastRenderedPageBreak/>
              <w:t>Kritēriju izpilde ir atzīta par pietiekamu.</w:t>
            </w:r>
          </w:p>
        </w:tc>
      </w:tr>
      <w:tr w:rsidR="00347D6F" w:rsidRPr="000C1425" w14:paraId="5988572B" w14:textId="77777777" w:rsidTr="00DC3421">
        <w:tc>
          <w:tcPr>
            <w:tcW w:w="2122" w:type="dxa"/>
          </w:tcPr>
          <w:p w14:paraId="0E339D05" w14:textId="1F74D294" w:rsidR="00347D6F" w:rsidRPr="000C1425" w:rsidRDefault="00347D6F" w:rsidP="00347D6F">
            <w:pPr>
              <w:jc w:val="both"/>
              <w:rPr>
                <w:rFonts w:ascii="Times New Roman" w:hAnsi="Times New Roman"/>
                <w:sz w:val="20"/>
                <w:szCs w:val="20"/>
              </w:rPr>
            </w:pPr>
            <w:r w:rsidRPr="000C1425">
              <w:rPr>
                <w:rFonts w:ascii="Times New Roman" w:hAnsi="Times New Roman"/>
                <w:sz w:val="20"/>
                <w:szCs w:val="20"/>
              </w:rPr>
              <w:t>Ir sagatavots valsts vai reģionālais katastrofu risku pārvaldības plāns, kas atbilst spēkā esošajām stratēģijām attiecībā uz pielāgošanos klimata pārmaiņām un kas ietver:</w:t>
            </w:r>
          </w:p>
          <w:p w14:paraId="1172869F" w14:textId="2EADF7A9" w:rsidR="00347D6F" w:rsidRPr="000C1425" w:rsidRDefault="00347D6F" w:rsidP="001A4CD8">
            <w:pPr>
              <w:jc w:val="both"/>
              <w:rPr>
                <w:rFonts w:ascii="Times New Roman" w:hAnsi="Times New Roman"/>
                <w:sz w:val="20"/>
                <w:szCs w:val="20"/>
              </w:rPr>
            </w:pPr>
            <w:r w:rsidRPr="000C1425">
              <w:rPr>
                <w:rFonts w:ascii="Times New Roman" w:hAnsi="Times New Roman"/>
                <w:b/>
                <w:sz w:val="20"/>
                <w:szCs w:val="20"/>
              </w:rPr>
              <w:t>2.</w:t>
            </w:r>
            <w:r w:rsidRPr="000C1425">
              <w:rPr>
                <w:rFonts w:ascii="Times New Roman" w:hAnsi="Times New Roman"/>
                <w:sz w:val="20"/>
                <w:szCs w:val="20"/>
              </w:rPr>
              <w:t xml:space="preserve"> </w:t>
            </w:r>
            <w:r w:rsidRPr="000C1425">
              <w:rPr>
                <w:rFonts w:ascii="Times New Roman" w:hAnsi="Times New Roman"/>
                <w:b/>
                <w:sz w:val="20"/>
                <w:szCs w:val="20"/>
              </w:rPr>
              <w:t>Katastrofu novēršanas, sagatavotības un reaģēšanas pasākumu apraksts, lai novērstu galvenos identificētos riskus. Pasākumus prioritāri nosaka proporcionāli riskiem un to ekonomiskajai ietekmei, jaudas/spēju trūkumiem</w:t>
            </w:r>
            <w:r w:rsidR="00326706">
              <w:rPr>
                <w:rFonts w:ascii="Times New Roman" w:hAnsi="Times New Roman"/>
                <w:b/>
                <w:sz w:val="20"/>
                <w:szCs w:val="20"/>
              </w:rPr>
              <w:t xml:space="preserve"> vai nepietiekamībai</w:t>
            </w:r>
            <w:r w:rsidRPr="000C1425">
              <w:rPr>
                <w:rFonts w:ascii="Times New Roman" w:hAnsi="Times New Roman"/>
                <w:b/>
                <w:sz w:val="20"/>
                <w:szCs w:val="20"/>
              </w:rPr>
              <w:t>, efektivitātei un lietderībai, ņemot vērā iespējamās alternatīvas.</w:t>
            </w:r>
          </w:p>
        </w:tc>
        <w:tc>
          <w:tcPr>
            <w:tcW w:w="4819" w:type="dxa"/>
          </w:tcPr>
          <w:p w14:paraId="6118A1FC" w14:textId="77777777" w:rsidR="00347D6F" w:rsidRPr="000C1425" w:rsidRDefault="001A4CD8" w:rsidP="00347D6F">
            <w:pPr>
              <w:jc w:val="both"/>
              <w:rPr>
                <w:rFonts w:ascii="Times New Roman" w:hAnsi="Times New Roman"/>
                <w:sz w:val="20"/>
                <w:szCs w:val="20"/>
              </w:rPr>
            </w:pPr>
            <w:r w:rsidRPr="000C1425">
              <w:rPr>
                <w:rFonts w:ascii="Times New Roman" w:hAnsi="Times New Roman"/>
                <w:sz w:val="20"/>
                <w:szCs w:val="20"/>
              </w:rPr>
              <w:t>Ir izstrādāts un apstiprināts Valsts civilās aizsardzības plāns.</w:t>
            </w:r>
          </w:p>
          <w:p w14:paraId="608BE0B1" w14:textId="2D38357A" w:rsidR="001A4CD8" w:rsidRPr="000C1425" w:rsidRDefault="001A4CD8" w:rsidP="001A4CD8">
            <w:pPr>
              <w:jc w:val="both"/>
              <w:rPr>
                <w:rFonts w:ascii="Times New Roman" w:hAnsi="Times New Roman"/>
                <w:sz w:val="20"/>
                <w:szCs w:val="20"/>
              </w:rPr>
            </w:pPr>
            <w:r w:rsidRPr="000C1425">
              <w:rPr>
                <w:rFonts w:ascii="Times New Roman" w:hAnsi="Times New Roman"/>
                <w:sz w:val="20"/>
                <w:szCs w:val="20"/>
              </w:rPr>
              <w:t xml:space="preserve">Ar klimatu saistītie riski tika analizēti vairākās projektu iniciatīvās ar Eiropas Ekonomikas zonas finanšu mehānisma un Norvēģijas finanšu mehānismu programmas atbalstu. Šie pētījumi sniedz sākotnējos priekšlikumus turpmākai valsts pielāgošanās stratēģijas izstrādei, tostarp zinātnisko datu un pasākumu identificēšanai attiecībā uz pielāgošanos klimata pārmaiņām, ietekmi un izmaksu novērtēšanu. Latvijā ir izstrādāti klimata pārmaiņu scenāriji, kuros analizēti dažādi klimata pārmaiņu scenāriji un raksturoti dažādie klimata rādītāji pagātnē (pamatojoties uz meteoroloģisko novērojumu staciju datiem par 50 gadiem), un nākotnes klimata pārmaiņu prognozes tika izstrādātas līdz 2100.gadam. Turpmākajam laika posmam klimata mainīgās izmaiņas tiek prognozētas saskaņā ar diviem siltumnīcefekta gāzu emisijas scenārijiem, kas pazīstami kā RCP4.5 un RCP8.5. Savukārt 2021.gadā Vides aizsardzības un reģionālās attīstības ministrija ar sadarbības partneriem ir uzsākusi projekta īstenošu “Klimata pārmaiņu politikas integrācija nozaru un reģionālajā politikā” ar mērķi uzlabot klimata pārmaiņu politikas plānošanas konsekvenci un atbilstību valstiskā līmenī, kā arī palielināt tās integrāciju nozaru un reģionālajā politikā, tajā skaitā paredzot atjaunot un uzlabot Latvijas klimata pārmaiņu scenārijus līdz 2100.gadam, ņemot vērā Klimata pārmaiņu starpvaldību padomes sesto izvērtēšanas ziņojumu, lai nodrošinātu politikas plānošanu atbilstoši jaunākajām prognozēm. </w:t>
            </w:r>
          </w:p>
          <w:p w14:paraId="71A329FF" w14:textId="0E9F68C3" w:rsidR="001A4CD8" w:rsidRPr="000C1425" w:rsidRDefault="001A4CD8" w:rsidP="001A4CD8">
            <w:pPr>
              <w:jc w:val="both"/>
              <w:rPr>
                <w:rFonts w:ascii="Times New Roman" w:hAnsi="Times New Roman"/>
                <w:sz w:val="20"/>
                <w:szCs w:val="20"/>
              </w:rPr>
            </w:pPr>
            <w:r w:rsidRPr="000C1425">
              <w:rPr>
                <w:rFonts w:ascii="Times New Roman" w:hAnsi="Times New Roman"/>
                <w:sz w:val="20"/>
                <w:szCs w:val="20"/>
              </w:rPr>
              <w:lastRenderedPageBreak/>
              <w:t>Valsts civilās aizsardzības plānā iekļautie katastrofu pārvaldīšanas pasākumi tiks īstenoti sinerģijā un saskaņotībā ar Latvijas pielāgošanās klimata pārmaiņām plānu laika posmam līdz 2030.gadam.</w:t>
            </w:r>
          </w:p>
        </w:tc>
        <w:tc>
          <w:tcPr>
            <w:tcW w:w="2970" w:type="dxa"/>
          </w:tcPr>
          <w:p w14:paraId="1482BAFD" w14:textId="77777777" w:rsidR="00347D6F" w:rsidRPr="000C1425" w:rsidRDefault="0027484B" w:rsidP="00347D6F">
            <w:pPr>
              <w:jc w:val="both"/>
              <w:rPr>
                <w:rFonts w:ascii="Times New Roman" w:hAnsi="Times New Roman"/>
                <w:color w:val="FF0000"/>
                <w:sz w:val="20"/>
                <w:szCs w:val="20"/>
              </w:rPr>
            </w:pPr>
            <w:r w:rsidRPr="000C1425">
              <w:rPr>
                <w:rFonts w:ascii="Times New Roman" w:hAnsi="Times New Roman"/>
                <w:color w:val="FF0000"/>
                <w:sz w:val="20"/>
                <w:szCs w:val="20"/>
              </w:rPr>
              <w:lastRenderedPageBreak/>
              <w:t xml:space="preserve">Kritēriju izpilde ir atzīta par </w:t>
            </w:r>
            <w:r w:rsidR="001A4CD8" w:rsidRPr="000C1425">
              <w:rPr>
                <w:rFonts w:ascii="Times New Roman" w:hAnsi="Times New Roman"/>
                <w:color w:val="FF0000"/>
                <w:sz w:val="20"/>
                <w:szCs w:val="20"/>
              </w:rPr>
              <w:t>ne</w:t>
            </w:r>
            <w:r w:rsidRPr="000C1425">
              <w:rPr>
                <w:rFonts w:ascii="Times New Roman" w:hAnsi="Times New Roman"/>
                <w:color w:val="FF0000"/>
                <w:sz w:val="20"/>
                <w:szCs w:val="20"/>
              </w:rPr>
              <w:t>pietiekamu.</w:t>
            </w:r>
          </w:p>
          <w:p w14:paraId="1B8F0A3C" w14:textId="6C6A834D" w:rsidR="001A4CD8" w:rsidRPr="000C1425" w:rsidRDefault="001A4CD8" w:rsidP="00705A3E">
            <w:pPr>
              <w:jc w:val="both"/>
              <w:rPr>
                <w:rFonts w:ascii="Times New Roman" w:hAnsi="Times New Roman"/>
                <w:sz w:val="20"/>
                <w:szCs w:val="20"/>
              </w:rPr>
            </w:pPr>
            <w:r w:rsidRPr="000C1425">
              <w:rPr>
                <w:rFonts w:ascii="Times New Roman" w:hAnsi="Times New Roman"/>
                <w:sz w:val="20"/>
                <w:szCs w:val="20"/>
              </w:rPr>
              <w:t xml:space="preserve">Lai nodrošinātu priekšnosacījumu skaidrāku ieviešanu, šajā Valsts civilās aizsardzības plāna pielikumā ir izstrādāta metodika/pieeja, </w:t>
            </w:r>
            <w:r w:rsidR="00705A3E" w:rsidRPr="000C1425">
              <w:rPr>
                <w:rFonts w:ascii="Times New Roman" w:hAnsi="Times New Roman"/>
                <w:sz w:val="20"/>
                <w:szCs w:val="20"/>
              </w:rPr>
              <w:t xml:space="preserve">lai atbilstoši priekšnosacījumu kritērijiem, </w:t>
            </w:r>
            <w:r w:rsidRPr="000C1425">
              <w:rPr>
                <w:rFonts w:ascii="Times New Roman" w:hAnsi="Times New Roman"/>
                <w:sz w:val="20"/>
                <w:szCs w:val="20"/>
              </w:rPr>
              <w:t>Valsts civilās aizsardzības plānā</w:t>
            </w:r>
            <w:r w:rsidR="00705A3E" w:rsidRPr="000C1425">
              <w:rPr>
                <w:rFonts w:ascii="Times New Roman" w:hAnsi="Times New Roman"/>
                <w:sz w:val="20"/>
                <w:szCs w:val="20"/>
              </w:rPr>
              <w:t xml:space="preserve"> noteiktajiem</w:t>
            </w:r>
            <w:r w:rsidRPr="000C1425">
              <w:rPr>
                <w:rFonts w:ascii="Times New Roman" w:hAnsi="Times New Roman"/>
                <w:sz w:val="20"/>
                <w:szCs w:val="20"/>
              </w:rPr>
              <w:t xml:space="preserve">  prevent</w:t>
            </w:r>
            <w:r w:rsidR="00705A3E" w:rsidRPr="000C1425">
              <w:rPr>
                <w:rFonts w:ascii="Times New Roman" w:hAnsi="Times New Roman"/>
                <w:sz w:val="20"/>
                <w:szCs w:val="20"/>
              </w:rPr>
              <w:t>īvajiem</w:t>
            </w:r>
            <w:r w:rsidRPr="000C1425">
              <w:rPr>
                <w:rFonts w:ascii="Times New Roman" w:hAnsi="Times New Roman"/>
                <w:sz w:val="20"/>
                <w:szCs w:val="20"/>
              </w:rPr>
              <w:t xml:space="preserve"> un </w:t>
            </w:r>
            <w:r w:rsidR="00705A3E" w:rsidRPr="000C1425">
              <w:rPr>
                <w:rFonts w:ascii="Times New Roman" w:hAnsi="Times New Roman"/>
                <w:sz w:val="20"/>
                <w:szCs w:val="20"/>
              </w:rPr>
              <w:t xml:space="preserve">gatavības pasākumiem </w:t>
            </w:r>
            <w:r w:rsidRPr="000C1425">
              <w:rPr>
                <w:rFonts w:ascii="Times New Roman" w:hAnsi="Times New Roman"/>
                <w:sz w:val="20"/>
                <w:szCs w:val="20"/>
              </w:rPr>
              <w:t xml:space="preserve">(katram apdraudējumam) </w:t>
            </w:r>
            <w:r w:rsidR="00705A3E" w:rsidRPr="000C1425">
              <w:rPr>
                <w:rFonts w:ascii="Times New Roman" w:hAnsi="Times New Roman"/>
                <w:sz w:val="20"/>
                <w:szCs w:val="20"/>
              </w:rPr>
              <w:t xml:space="preserve">varētu noteikt </w:t>
            </w:r>
            <w:r w:rsidRPr="000C1425">
              <w:rPr>
                <w:rFonts w:ascii="Times New Roman" w:hAnsi="Times New Roman"/>
                <w:sz w:val="20"/>
                <w:szCs w:val="20"/>
              </w:rPr>
              <w:t xml:space="preserve"> </w:t>
            </w:r>
            <w:r w:rsidR="00705A3E" w:rsidRPr="000C1425">
              <w:rPr>
                <w:rFonts w:ascii="Times New Roman" w:hAnsi="Times New Roman"/>
                <w:sz w:val="20"/>
                <w:szCs w:val="20"/>
              </w:rPr>
              <w:t>īstenošanas prioritātes</w:t>
            </w:r>
            <w:r w:rsidRPr="000C1425">
              <w:rPr>
                <w:rFonts w:ascii="Times New Roman" w:hAnsi="Times New Roman"/>
                <w:sz w:val="20"/>
                <w:szCs w:val="20"/>
              </w:rPr>
              <w:t>, ņemot vērā apdraudējumu ekonomisko ietekmi, jaudas/spēju trūkumus, pasākuma efektivitāti un ieviešanas lietderību.</w:t>
            </w:r>
          </w:p>
        </w:tc>
      </w:tr>
      <w:tr w:rsidR="007A377B" w:rsidRPr="000C1425" w14:paraId="5C00BC39" w14:textId="77777777" w:rsidTr="00DC3421">
        <w:tc>
          <w:tcPr>
            <w:tcW w:w="2122" w:type="dxa"/>
          </w:tcPr>
          <w:p w14:paraId="0A055D45" w14:textId="090B228F" w:rsidR="007A377B" w:rsidRPr="000C1425" w:rsidRDefault="007A377B" w:rsidP="007A377B">
            <w:pPr>
              <w:jc w:val="both"/>
              <w:rPr>
                <w:rFonts w:ascii="Times New Roman" w:hAnsi="Times New Roman"/>
                <w:sz w:val="20"/>
                <w:szCs w:val="20"/>
              </w:rPr>
            </w:pPr>
            <w:r w:rsidRPr="000C1425">
              <w:rPr>
                <w:rFonts w:ascii="Times New Roman" w:hAnsi="Times New Roman"/>
                <w:sz w:val="20"/>
                <w:szCs w:val="20"/>
              </w:rPr>
              <w:t>Ir sagatavots valsts vai reģionālais katastrofu risku pārvaldības plāns, kas atbilst spēkā esošajām stratēģijām attiecībā uz pielāgošanos klimata pārmaiņām un kas ietver:</w:t>
            </w:r>
          </w:p>
          <w:p w14:paraId="068D340A" w14:textId="41B6A186" w:rsidR="007A377B" w:rsidRPr="000C1425" w:rsidRDefault="007A377B" w:rsidP="007A377B">
            <w:pPr>
              <w:jc w:val="both"/>
              <w:rPr>
                <w:rFonts w:ascii="Times New Roman" w:hAnsi="Times New Roman"/>
                <w:b/>
                <w:sz w:val="20"/>
                <w:szCs w:val="20"/>
              </w:rPr>
            </w:pPr>
            <w:r w:rsidRPr="000C1425">
              <w:rPr>
                <w:rFonts w:ascii="Times New Roman" w:hAnsi="Times New Roman"/>
                <w:b/>
                <w:sz w:val="20"/>
                <w:szCs w:val="20"/>
              </w:rPr>
              <w:t>3. Informācija par finansēšanas resursiem un mehānismiem, lai segtu darbības un uzturēšanas izmaksas, kas saistītas ar profilaksi, gatavību un reaģēšanu.</w:t>
            </w:r>
          </w:p>
        </w:tc>
        <w:tc>
          <w:tcPr>
            <w:tcW w:w="4819" w:type="dxa"/>
          </w:tcPr>
          <w:p w14:paraId="2D882528" w14:textId="77777777" w:rsidR="007A377B" w:rsidRPr="005557FA" w:rsidRDefault="00666617" w:rsidP="007A377B">
            <w:pPr>
              <w:jc w:val="both"/>
              <w:rPr>
                <w:rFonts w:ascii="Times New Roman" w:hAnsi="Times New Roman"/>
                <w:sz w:val="20"/>
                <w:szCs w:val="20"/>
              </w:rPr>
            </w:pPr>
            <w:r w:rsidRPr="000C1425">
              <w:rPr>
                <w:rFonts w:ascii="Times New Roman" w:hAnsi="Times New Roman"/>
                <w:sz w:val="20"/>
                <w:szCs w:val="20"/>
              </w:rPr>
              <w:t xml:space="preserve">Ir izstrādāts un apstiprināts Valsts civilās aizsardzības plāns, kurā noteikto katastrofu pārvaldīšanas pasākumu īstenošana paredzama katrai institūcijai izmantojot gan valsts un pašvaldību budžeta finansējumu, gan piesaistot ES </w:t>
            </w:r>
            <w:r w:rsidR="00452FFF" w:rsidRPr="000C1425">
              <w:rPr>
                <w:rFonts w:ascii="Times New Roman" w:hAnsi="Times New Roman"/>
                <w:sz w:val="20"/>
                <w:szCs w:val="20"/>
              </w:rPr>
              <w:t>un citu avotu finanšu līdzekļus. Atbildīgajai ministrijai,</w:t>
            </w:r>
            <w:r w:rsidRPr="000C1425">
              <w:rPr>
                <w:rFonts w:ascii="Times New Roman" w:hAnsi="Times New Roman"/>
                <w:sz w:val="20"/>
                <w:szCs w:val="20"/>
              </w:rPr>
              <w:t xml:space="preserve"> nepieciešamības gadījumā</w:t>
            </w:r>
            <w:r w:rsidR="00452FFF" w:rsidRPr="000C1425">
              <w:rPr>
                <w:rFonts w:ascii="Times New Roman" w:hAnsi="Times New Roman"/>
                <w:sz w:val="20"/>
                <w:szCs w:val="20"/>
              </w:rPr>
              <w:t>,</w:t>
            </w:r>
            <w:r w:rsidRPr="000C1425">
              <w:rPr>
                <w:rFonts w:ascii="Times New Roman" w:hAnsi="Times New Roman"/>
                <w:sz w:val="20"/>
                <w:szCs w:val="20"/>
              </w:rPr>
              <w:t xml:space="preserve"> iesniedzot </w:t>
            </w:r>
            <w:r w:rsidR="00452FFF" w:rsidRPr="000C1425">
              <w:rPr>
                <w:rFonts w:ascii="Times New Roman" w:hAnsi="Times New Roman"/>
                <w:sz w:val="20"/>
                <w:szCs w:val="20"/>
              </w:rPr>
              <w:t xml:space="preserve">ministriju </w:t>
            </w:r>
            <w:r w:rsidRPr="000C1425">
              <w:rPr>
                <w:rFonts w:ascii="Times New Roman" w:hAnsi="Times New Roman"/>
                <w:sz w:val="20"/>
                <w:szCs w:val="20"/>
              </w:rPr>
              <w:t xml:space="preserve">priekšlikumus prioritārajiem pasākumiem, </w:t>
            </w:r>
            <w:r w:rsidR="00452FFF" w:rsidRPr="000C1425">
              <w:rPr>
                <w:rFonts w:ascii="Times New Roman" w:hAnsi="Times New Roman"/>
                <w:sz w:val="20"/>
                <w:szCs w:val="20"/>
              </w:rPr>
              <w:t xml:space="preserve">un izskatot jautājumu </w:t>
            </w:r>
            <w:r w:rsidRPr="000C1425">
              <w:rPr>
                <w:rFonts w:ascii="Times New Roman" w:hAnsi="Times New Roman"/>
                <w:sz w:val="20"/>
                <w:szCs w:val="20"/>
              </w:rPr>
              <w:t>Ministru kabineta sēdē</w:t>
            </w:r>
            <w:r w:rsidR="00452FFF" w:rsidRPr="000C1425">
              <w:rPr>
                <w:rFonts w:ascii="Times New Roman" w:hAnsi="Times New Roman"/>
                <w:sz w:val="20"/>
                <w:szCs w:val="20"/>
              </w:rPr>
              <w:t xml:space="preserve"> par </w:t>
            </w:r>
            <w:r w:rsidR="00452FFF" w:rsidRPr="005557FA">
              <w:rPr>
                <w:rFonts w:ascii="Times New Roman" w:hAnsi="Times New Roman"/>
                <w:sz w:val="20"/>
                <w:szCs w:val="20"/>
              </w:rPr>
              <w:t>likumprojektu “Par valsts budžetu” un likumprojektu “</w:t>
            </w:r>
            <w:r w:rsidRPr="005557FA">
              <w:rPr>
                <w:rFonts w:ascii="Times New Roman" w:hAnsi="Times New Roman"/>
                <w:sz w:val="20"/>
                <w:szCs w:val="20"/>
              </w:rPr>
              <w:t>Par</w:t>
            </w:r>
            <w:r w:rsidR="00452FFF" w:rsidRPr="005557FA">
              <w:rPr>
                <w:rFonts w:ascii="Times New Roman" w:hAnsi="Times New Roman"/>
                <w:sz w:val="20"/>
                <w:szCs w:val="20"/>
              </w:rPr>
              <w:t xml:space="preserve"> vidējā termiņa budžeta ietvaru”</w:t>
            </w:r>
            <w:r w:rsidRPr="005557FA">
              <w:rPr>
                <w:rFonts w:ascii="Times New Roman" w:hAnsi="Times New Roman"/>
                <w:sz w:val="20"/>
                <w:szCs w:val="20"/>
              </w:rPr>
              <w:t xml:space="preserve"> sagatavošanas procesā kopā ar visu ministriju un citu valsts pārvaldes iestāžu prioritāro pasākumu pieprasījumiem.</w:t>
            </w:r>
          </w:p>
          <w:p w14:paraId="72120BF1" w14:textId="55E704CF" w:rsidR="00646EA5" w:rsidRPr="000C1425" w:rsidRDefault="00646EA5" w:rsidP="009416DB">
            <w:pPr>
              <w:jc w:val="both"/>
              <w:rPr>
                <w:rFonts w:ascii="Times New Roman" w:hAnsi="Times New Roman"/>
                <w:sz w:val="20"/>
                <w:szCs w:val="20"/>
              </w:rPr>
            </w:pPr>
            <w:r w:rsidRPr="005557FA">
              <w:rPr>
                <w:rFonts w:ascii="Times New Roman" w:hAnsi="Times New Roman"/>
                <w:sz w:val="20"/>
                <w:szCs w:val="20"/>
              </w:rPr>
              <w:t>Reaģēšanas un seku likvidēšanas pasākumi nav iekļaut</w:t>
            </w:r>
            <w:r w:rsidR="005557FA">
              <w:rPr>
                <w:rFonts w:ascii="Times New Roman" w:hAnsi="Times New Roman"/>
                <w:sz w:val="20"/>
                <w:szCs w:val="20"/>
              </w:rPr>
              <w:t xml:space="preserve">i priekšnosacījumu novērtējumā, </w:t>
            </w:r>
            <w:r w:rsidR="005557FA" w:rsidRPr="005557FA">
              <w:rPr>
                <w:rFonts w:ascii="Times New Roman" w:hAnsi="Times New Roman"/>
                <w:sz w:val="20"/>
                <w:szCs w:val="20"/>
              </w:rPr>
              <w:t>jo Valsts civilās aizsardzības plānā paredzētie katastrofas pārvaldīšanas pasākumi attiecas uz valsts un reģionāla mēroga katastrofām vai to draudiem. Apdraudējumu novēršanā iesaistītās institūcijas reaģēšanas un seku likvidēšanas pasākumus veic savu piešķirto valsts budžeta līdzekļu ietvaros, kā arī normatīvajos aktos noteiktajā kārtībā, nozares ministrija finanšu līdzekļus var pieprasīt no budžeta programmas “Līdzekļi neparedzētiem gadījumiem”, kurus piešķir valsts pamatbudžeta apropriācijā neparedzētiem izdevumiem katastrofu un dabas stihiju seku novēršanai un to radīto zaudējumu kompensēšanai un citiem neparedzētiem gadījumiem</w:t>
            </w:r>
            <w:r w:rsidR="005557FA">
              <w:rPr>
                <w:rFonts w:ascii="Times New Roman" w:hAnsi="Times New Roman"/>
                <w:sz w:val="20"/>
                <w:szCs w:val="20"/>
              </w:rPr>
              <w:t xml:space="preserve">. </w:t>
            </w:r>
          </w:p>
        </w:tc>
        <w:tc>
          <w:tcPr>
            <w:tcW w:w="2970" w:type="dxa"/>
          </w:tcPr>
          <w:p w14:paraId="6C5615D7" w14:textId="77777777" w:rsidR="007A377B" w:rsidRPr="000C1425" w:rsidRDefault="007A377B" w:rsidP="007A377B">
            <w:pPr>
              <w:jc w:val="both"/>
              <w:rPr>
                <w:rFonts w:ascii="Times New Roman" w:hAnsi="Times New Roman"/>
                <w:color w:val="FF0000"/>
                <w:sz w:val="20"/>
                <w:szCs w:val="20"/>
              </w:rPr>
            </w:pPr>
            <w:r w:rsidRPr="000C1425">
              <w:rPr>
                <w:rFonts w:ascii="Times New Roman" w:hAnsi="Times New Roman"/>
                <w:color w:val="FF0000"/>
                <w:sz w:val="20"/>
                <w:szCs w:val="20"/>
              </w:rPr>
              <w:t>Kritēriju izpilde ir atzīta par nepietiekamu.</w:t>
            </w:r>
          </w:p>
          <w:p w14:paraId="3961121D" w14:textId="2E6184F6" w:rsidR="007A377B" w:rsidRPr="000C1425" w:rsidRDefault="007A377B" w:rsidP="009602B6">
            <w:pPr>
              <w:jc w:val="both"/>
              <w:rPr>
                <w:rFonts w:ascii="Times New Roman" w:hAnsi="Times New Roman"/>
                <w:sz w:val="20"/>
                <w:szCs w:val="20"/>
              </w:rPr>
            </w:pPr>
            <w:r w:rsidRPr="000C1425">
              <w:rPr>
                <w:rFonts w:ascii="Times New Roman" w:hAnsi="Times New Roman"/>
                <w:sz w:val="20"/>
                <w:szCs w:val="20"/>
              </w:rPr>
              <w:t>Lai nodrošinātu priekšnosacījumu skaidrāku ieviešanu, kas atbilst izvirzītajiem kritērijiem attiecībā uz finansēšanas resursiem un mehānismiem, šajā Valsts civilās aizsardzības plāna pielikumā identificētajiem preventīvajiem un gatavības pasākumiem ir norādīti provizoriskie fi</w:t>
            </w:r>
            <w:r w:rsidR="00452FFF" w:rsidRPr="000C1425">
              <w:rPr>
                <w:rFonts w:ascii="Times New Roman" w:hAnsi="Times New Roman"/>
                <w:sz w:val="20"/>
                <w:szCs w:val="20"/>
              </w:rPr>
              <w:t xml:space="preserve">nansēšanas resursi un mehānismi, </w:t>
            </w:r>
            <w:r w:rsidR="009602B6" w:rsidRPr="000C1425">
              <w:rPr>
                <w:rFonts w:ascii="Times New Roman" w:hAnsi="Times New Roman"/>
                <w:sz w:val="20"/>
                <w:szCs w:val="20"/>
              </w:rPr>
              <w:t>lai varētu noteikt vai nodalīt, kurus pasākumus plānots ieviest, izmantojot valsts un pašvaldību budžeta finansējumu, ES un citu avotu finanšu līdzekļus, un kurus paredzēts īstenot ikgadējo vai bāzes finansējuma ietvaros. I</w:t>
            </w:r>
            <w:r w:rsidR="00452FFF" w:rsidRPr="000C1425">
              <w:rPr>
                <w:rFonts w:ascii="Times New Roman" w:hAnsi="Times New Roman"/>
                <w:sz w:val="20"/>
                <w:szCs w:val="20"/>
              </w:rPr>
              <w:t>evērojot noteikto praksi citos politikas plānošanas dokumentos,</w:t>
            </w:r>
            <w:r w:rsidR="009602B6" w:rsidRPr="000C1425">
              <w:rPr>
                <w:rFonts w:ascii="Times New Roman" w:hAnsi="Times New Roman"/>
                <w:sz w:val="20"/>
                <w:szCs w:val="20"/>
              </w:rPr>
              <w:t xml:space="preserve"> </w:t>
            </w:r>
            <w:r w:rsidR="00452FFF" w:rsidRPr="000C1425">
              <w:rPr>
                <w:rFonts w:ascii="Times New Roman" w:hAnsi="Times New Roman"/>
                <w:sz w:val="20"/>
                <w:szCs w:val="20"/>
              </w:rPr>
              <w:t xml:space="preserve"> </w:t>
            </w:r>
            <w:r w:rsidR="009602B6" w:rsidRPr="000C1425">
              <w:rPr>
                <w:rFonts w:ascii="Times New Roman" w:hAnsi="Times New Roman"/>
                <w:sz w:val="20"/>
                <w:szCs w:val="20"/>
              </w:rPr>
              <w:t>Valsts civilās aizsardzības plāna pielikumā norādīti provizoriskie finansēšanas resursi, līdzīgā kā “</w:t>
            </w:r>
            <w:r w:rsidR="00452FFF" w:rsidRPr="000C1425">
              <w:rPr>
                <w:rFonts w:ascii="Times New Roman" w:hAnsi="Times New Roman"/>
                <w:sz w:val="20"/>
                <w:szCs w:val="20"/>
              </w:rPr>
              <w:t>Par Latvijas Nacionālo enerģētik</w:t>
            </w:r>
            <w:r w:rsidR="00986A7F" w:rsidRPr="000C1425">
              <w:rPr>
                <w:rFonts w:ascii="Times New Roman" w:hAnsi="Times New Roman"/>
                <w:sz w:val="20"/>
                <w:szCs w:val="20"/>
              </w:rPr>
              <w:t>as un klimata plānu 2021.-2030.</w:t>
            </w:r>
            <w:r w:rsidR="00452FFF" w:rsidRPr="000C1425">
              <w:rPr>
                <w:rFonts w:ascii="Times New Roman" w:hAnsi="Times New Roman"/>
                <w:sz w:val="20"/>
                <w:szCs w:val="20"/>
              </w:rPr>
              <w:t>gadam</w:t>
            </w:r>
            <w:r w:rsidR="00986A7F" w:rsidRPr="000C1425">
              <w:rPr>
                <w:rFonts w:ascii="Times New Roman" w:hAnsi="Times New Roman"/>
                <w:sz w:val="20"/>
                <w:szCs w:val="20"/>
              </w:rPr>
              <w:t>”</w:t>
            </w:r>
            <w:r w:rsidR="00452FFF" w:rsidRPr="000C1425">
              <w:rPr>
                <w:rFonts w:ascii="Times New Roman" w:hAnsi="Times New Roman"/>
                <w:sz w:val="20"/>
                <w:szCs w:val="20"/>
              </w:rPr>
              <w:t xml:space="preserve"> un </w:t>
            </w:r>
            <w:r w:rsidR="00986A7F" w:rsidRPr="000C1425">
              <w:rPr>
                <w:rFonts w:ascii="Times New Roman" w:hAnsi="Times New Roman"/>
                <w:sz w:val="20"/>
                <w:szCs w:val="20"/>
              </w:rPr>
              <w:t>“</w:t>
            </w:r>
            <w:r w:rsidR="00452FFF" w:rsidRPr="000C1425">
              <w:rPr>
                <w:rFonts w:ascii="Times New Roman" w:hAnsi="Times New Roman"/>
                <w:sz w:val="20"/>
                <w:szCs w:val="20"/>
              </w:rPr>
              <w:t>Par Latvijas pielāgošanās klimata pārmaiņām plānu laika posmam līdz 2030. gadam</w:t>
            </w:r>
            <w:r w:rsidR="00986A7F" w:rsidRPr="000C1425">
              <w:rPr>
                <w:rFonts w:ascii="Times New Roman" w:hAnsi="Times New Roman"/>
                <w:sz w:val="20"/>
                <w:szCs w:val="20"/>
              </w:rPr>
              <w:t xml:space="preserve">”. </w:t>
            </w:r>
          </w:p>
        </w:tc>
      </w:tr>
    </w:tbl>
    <w:p w14:paraId="5AFAF95A" w14:textId="2E1C3365" w:rsidR="00D402AA" w:rsidRDefault="00D402AA" w:rsidP="00D402AA">
      <w:pPr>
        <w:spacing w:after="0" w:line="240" w:lineRule="auto"/>
        <w:ind w:firstLine="360"/>
        <w:rPr>
          <w:rFonts w:ascii="Times New Roman" w:hAnsi="Times New Roman"/>
          <w:sz w:val="24"/>
          <w:szCs w:val="24"/>
        </w:rPr>
      </w:pPr>
    </w:p>
    <w:p w14:paraId="3E37E2DE" w14:textId="77777777" w:rsidR="00C4012F" w:rsidRDefault="00C4012F" w:rsidP="00201049">
      <w:pPr>
        <w:spacing w:after="0" w:line="240" w:lineRule="auto"/>
        <w:rPr>
          <w:rFonts w:ascii="Times New Roman" w:hAnsi="Times New Roman"/>
          <w:sz w:val="24"/>
          <w:szCs w:val="24"/>
        </w:rPr>
      </w:pPr>
    </w:p>
    <w:p w14:paraId="6A42E15B" w14:textId="677B2503" w:rsidR="00621C25" w:rsidRPr="000C1425" w:rsidRDefault="00393D25" w:rsidP="00201049">
      <w:pPr>
        <w:spacing w:after="0" w:line="240" w:lineRule="auto"/>
        <w:rPr>
          <w:rFonts w:ascii="Times New Roman" w:hAnsi="Times New Roman"/>
          <w:b/>
          <w:sz w:val="24"/>
          <w:szCs w:val="24"/>
        </w:rPr>
      </w:pPr>
      <w:r w:rsidRPr="000C1425">
        <w:rPr>
          <w:rFonts w:ascii="Times New Roman" w:hAnsi="Times New Roman"/>
          <w:b/>
          <w:sz w:val="24"/>
          <w:szCs w:val="24"/>
        </w:rPr>
        <w:t>METODIKA</w:t>
      </w:r>
    </w:p>
    <w:p w14:paraId="4B1444E1" w14:textId="77777777" w:rsidR="00186BB8" w:rsidRDefault="000C1425" w:rsidP="007E063F">
      <w:pPr>
        <w:spacing w:after="0" w:line="240" w:lineRule="auto"/>
        <w:ind w:firstLine="720"/>
        <w:jc w:val="both"/>
        <w:rPr>
          <w:rFonts w:ascii="Times New Roman" w:hAnsi="Times New Roman" w:cs="Times New Roman"/>
          <w:sz w:val="24"/>
          <w:szCs w:val="24"/>
        </w:rPr>
      </w:pPr>
      <w:r w:rsidRPr="000C1425">
        <w:rPr>
          <w:rFonts w:ascii="Times New Roman" w:hAnsi="Times New Roman"/>
          <w:sz w:val="24"/>
          <w:szCs w:val="24"/>
        </w:rPr>
        <w:t>Latvija ir veikusi konsultācijas ar Eiropas Komisiju, lai saskaņotu 2021.-2027.gada plānošanas perioda Kopējās fondu regulas III. pielikumā noteiktos ieguldījumu priekšnosacījumu (</w:t>
      </w:r>
      <w:proofErr w:type="spellStart"/>
      <w:r w:rsidRPr="000C1425">
        <w:rPr>
          <w:rFonts w:ascii="Times New Roman" w:hAnsi="Times New Roman"/>
          <w:i/>
          <w:sz w:val="24"/>
          <w:szCs w:val="24"/>
        </w:rPr>
        <w:t>enabling</w:t>
      </w:r>
      <w:proofErr w:type="spellEnd"/>
      <w:r w:rsidRPr="000C1425">
        <w:rPr>
          <w:rFonts w:ascii="Times New Roman" w:hAnsi="Times New Roman"/>
          <w:i/>
          <w:sz w:val="24"/>
          <w:szCs w:val="24"/>
        </w:rPr>
        <w:t xml:space="preserve"> </w:t>
      </w:r>
      <w:proofErr w:type="spellStart"/>
      <w:r w:rsidRPr="000C1425">
        <w:rPr>
          <w:rFonts w:ascii="Times New Roman" w:hAnsi="Times New Roman"/>
          <w:i/>
          <w:sz w:val="24"/>
          <w:szCs w:val="24"/>
        </w:rPr>
        <w:t>conditions</w:t>
      </w:r>
      <w:proofErr w:type="spellEnd"/>
      <w:r w:rsidRPr="000C1425">
        <w:rPr>
          <w:rFonts w:ascii="Times New Roman" w:hAnsi="Times New Roman"/>
          <w:sz w:val="24"/>
          <w:szCs w:val="24"/>
        </w:rPr>
        <w:t xml:space="preserve">) izpildes kritērijus. Lai priekšnosacījumu kritēriju izpilde tiktu atzīta par pietiekamu, kuru Latvijā </w:t>
      </w:r>
      <w:r w:rsidR="00DC3421">
        <w:rPr>
          <w:rFonts w:ascii="Times New Roman" w:hAnsi="Times New Roman"/>
          <w:sz w:val="24"/>
          <w:szCs w:val="24"/>
        </w:rPr>
        <w:t xml:space="preserve">regulāri </w:t>
      </w:r>
      <w:r w:rsidRPr="000C1425">
        <w:rPr>
          <w:rFonts w:ascii="Times New Roman" w:hAnsi="Times New Roman"/>
          <w:sz w:val="24"/>
          <w:szCs w:val="24"/>
        </w:rPr>
        <w:t xml:space="preserve">saskaņos ar Eiropas Komisiju, šajā Valsts civilās aizsardzības plāna pielikumā ir izstrādāta metodika vai pieeja šo </w:t>
      </w:r>
      <w:r w:rsidRPr="000C1425">
        <w:rPr>
          <w:rFonts w:ascii="Times New Roman" w:hAnsi="Times New Roman" w:cs="Times New Roman"/>
          <w:sz w:val="24"/>
          <w:szCs w:val="24"/>
        </w:rPr>
        <w:t xml:space="preserve">priekšnosacījumu ilgtermiņa novērtēšanai. </w:t>
      </w:r>
    </w:p>
    <w:p w14:paraId="09CAEF47" w14:textId="1741BF16" w:rsidR="00186BB8" w:rsidRDefault="00DC3421" w:rsidP="007E063F">
      <w:pPr>
        <w:spacing w:after="0" w:line="240" w:lineRule="auto"/>
        <w:ind w:firstLine="720"/>
        <w:jc w:val="both"/>
        <w:rPr>
          <w:rFonts w:ascii="Times New Roman" w:hAnsi="Times New Roman"/>
          <w:sz w:val="24"/>
          <w:szCs w:val="24"/>
        </w:rPr>
      </w:pPr>
      <w:r w:rsidRPr="00186BB8">
        <w:rPr>
          <w:rFonts w:ascii="Times New Roman" w:hAnsi="Times New Roman" w:cs="Times New Roman"/>
          <w:sz w:val="24"/>
          <w:szCs w:val="24"/>
          <w:u w:val="single"/>
        </w:rPr>
        <w:t xml:space="preserve">Šī metodika tiek izmantota kā instruments, lai </w:t>
      </w:r>
      <w:r w:rsidRPr="00186BB8">
        <w:rPr>
          <w:rFonts w:ascii="Times New Roman" w:hAnsi="Times New Roman"/>
          <w:sz w:val="24"/>
          <w:szCs w:val="24"/>
          <w:u w:val="single"/>
        </w:rPr>
        <w:t xml:space="preserve">nodrošinātu </w:t>
      </w:r>
      <w:r w:rsidR="007E063F" w:rsidRPr="00186BB8">
        <w:rPr>
          <w:rFonts w:ascii="Times New Roman" w:hAnsi="Times New Roman"/>
          <w:sz w:val="24"/>
          <w:szCs w:val="24"/>
          <w:u w:val="single"/>
        </w:rPr>
        <w:t>pārskatāmu priekšn</w:t>
      </w:r>
      <w:r w:rsidR="00020080">
        <w:rPr>
          <w:rFonts w:ascii="Times New Roman" w:hAnsi="Times New Roman"/>
          <w:sz w:val="24"/>
          <w:szCs w:val="24"/>
          <w:u w:val="single"/>
        </w:rPr>
        <w:t xml:space="preserve">osacījumu kritēriju novērtējumu – </w:t>
      </w:r>
      <w:r w:rsidR="007E063F" w:rsidRPr="00186BB8">
        <w:rPr>
          <w:rFonts w:ascii="Times New Roman" w:hAnsi="Times New Roman"/>
          <w:sz w:val="24"/>
          <w:szCs w:val="24"/>
          <w:u w:val="single"/>
        </w:rPr>
        <w:t>definējot pasākumu ieviešanas vai īstenošanas prioritātes, ņemot vērā apdraudējumu ekonomisko ietekmi, nosakot pasākumu jaudas/spēju trūkumus</w:t>
      </w:r>
      <w:r w:rsidR="00020080">
        <w:rPr>
          <w:rFonts w:ascii="Times New Roman" w:hAnsi="Times New Roman"/>
          <w:sz w:val="24"/>
          <w:szCs w:val="24"/>
          <w:u w:val="single"/>
        </w:rPr>
        <w:t xml:space="preserve"> vai nepietiekamību</w:t>
      </w:r>
      <w:r w:rsidR="007E063F" w:rsidRPr="00186BB8">
        <w:rPr>
          <w:rFonts w:ascii="Times New Roman" w:hAnsi="Times New Roman"/>
          <w:sz w:val="24"/>
          <w:szCs w:val="24"/>
          <w:u w:val="single"/>
        </w:rPr>
        <w:t>, pasākuma efektivitāti un pasākumu ieviešanas lietderību, tajā skaitā norādot īstenojamo pasākumu provizoriskos finansēšanas resursus un mehānismus.</w:t>
      </w:r>
      <w:r w:rsidR="007E063F">
        <w:rPr>
          <w:rFonts w:ascii="Times New Roman" w:hAnsi="Times New Roman"/>
          <w:sz w:val="24"/>
          <w:szCs w:val="24"/>
        </w:rPr>
        <w:t xml:space="preserve"> </w:t>
      </w:r>
    </w:p>
    <w:p w14:paraId="1FB35B5C" w14:textId="494A2B18" w:rsidR="00621C25" w:rsidRPr="000C1425" w:rsidRDefault="007E063F" w:rsidP="00186BB8">
      <w:pPr>
        <w:spacing w:after="0" w:line="240" w:lineRule="auto"/>
        <w:ind w:firstLine="720"/>
        <w:jc w:val="both"/>
        <w:rPr>
          <w:rFonts w:ascii="Times New Roman" w:hAnsi="Times New Roman"/>
          <w:sz w:val="24"/>
          <w:szCs w:val="24"/>
        </w:rPr>
      </w:pPr>
      <w:r>
        <w:rPr>
          <w:rFonts w:ascii="Times New Roman" w:hAnsi="Times New Roman"/>
          <w:sz w:val="24"/>
          <w:szCs w:val="24"/>
        </w:rPr>
        <w:t xml:space="preserve">Šīs metodes rezultāts kalpos kā pašnovērtējuma rīks priekšnosacījumu kritēriju izpildei. Izmantotā metodes pieeja jāuzskata par “dzīvu dokumentu”, kura laika gaitā </w:t>
      </w:r>
      <w:r w:rsidR="00C6714D">
        <w:rPr>
          <w:rFonts w:ascii="Times New Roman" w:hAnsi="Times New Roman"/>
          <w:sz w:val="24"/>
          <w:szCs w:val="24"/>
        </w:rPr>
        <w:t xml:space="preserve">tā </w:t>
      </w:r>
      <w:r>
        <w:rPr>
          <w:rFonts w:ascii="Times New Roman" w:hAnsi="Times New Roman"/>
          <w:sz w:val="24"/>
          <w:szCs w:val="24"/>
        </w:rPr>
        <w:t>var tikt pārskatīta vai pilnveidota</w:t>
      </w:r>
      <w:r w:rsidR="00DC3421" w:rsidRPr="000C1425">
        <w:rPr>
          <w:rFonts w:ascii="Times New Roman" w:hAnsi="Times New Roman"/>
          <w:sz w:val="24"/>
          <w:szCs w:val="24"/>
        </w:rPr>
        <w:t xml:space="preserve">, jo </w:t>
      </w:r>
      <w:r w:rsidRPr="000C1425">
        <w:rPr>
          <w:rFonts w:ascii="Times New Roman" w:hAnsi="Times New Roman"/>
          <w:sz w:val="24"/>
          <w:szCs w:val="24"/>
        </w:rPr>
        <w:t>Va</w:t>
      </w:r>
      <w:r>
        <w:rPr>
          <w:rFonts w:ascii="Times New Roman" w:hAnsi="Times New Roman"/>
          <w:sz w:val="24"/>
          <w:szCs w:val="24"/>
        </w:rPr>
        <w:t>lsts civilās aizsardzības plānā iekļautie pasākumi, izmantotā katastrofu</w:t>
      </w:r>
      <w:r w:rsidR="00DC3421" w:rsidRPr="000C1425">
        <w:rPr>
          <w:rFonts w:ascii="Times New Roman" w:hAnsi="Times New Roman"/>
          <w:sz w:val="24"/>
          <w:szCs w:val="24"/>
        </w:rPr>
        <w:t xml:space="preserve"> riska novērtēšanas metode, </w:t>
      </w:r>
      <w:r>
        <w:rPr>
          <w:rFonts w:ascii="Times New Roman" w:hAnsi="Times New Roman"/>
          <w:sz w:val="24"/>
          <w:szCs w:val="24"/>
        </w:rPr>
        <w:t xml:space="preserve">novērtēšanai izmantotie </w:t>
      </w:r>
      <w:r w:rsidR="00C6714D">
        <w:rPr>
          <w:rFonts w:ascii="Times New Roman" w:hAnsi="Times New Roman"/>
          <w:sz w:val="24"/>
          <w:szCs w:val="24"/>
        </w:rPr>
        <w:t xml:space="preserve">vēsturiskie </w:t>
      </w:r>
      <w:r>
        <w:rPr>
          <w:rFonts w:ascii="Times New Roman" w:hAnsi="Times New Roman"/>
          <w:sz w:val="24"/>
          <w:szCs w:val="24"/>
        </w:rPr>
        <w:t xml:space="preserve">dati un </w:t>
      </w:r>
      <w:r w:rsidR="00C6714D">
        <w:rPr>
          <w:rFonts w:ascii="Times New Roman" w:hAnsi="Times New Roman"/>
          <w:sz w:val="24"/>
          <w:szCs w:val="24"/>
        </w:rPr>
        <w:t xml:space="preserve">aktuālā </w:t>
      </w:r>
      <w:r>
        <w:rPr>
          <w:rFonts w:ascii="Times New Roman" w:hAnsi="Times New Roman"/>
          <w:sz w:val="24"/>
          <w:szCs w:val="24"/>
        </w:rPr>
        <w:t xml:space="preserve">informācija </w:t>
      </w:r>
      <w:r w:rsidR="00C6714D">
        <w:rPr>
          <w:rFonts w:ascii="Times New Roman" w:hAnsi="Times New Roman"/>
          <w:sz w:val="24"/>
          <w:szCs w:val="24"/>
        </w:rPr>
        <w:t>ir mainīgi lielumi</w:t>
      </w:r>
      <w:r w:rsidR="00DC3421" w:rsidRPr="000C1425">
        <w:rPr>
          <w:rFonts w:ascii="Times New Roman" w:hAnsi="Times New Roman"/>
          <w:sz w:val="24"/>
          <w:szCs w:val="24"/>
        </w:rPr>
        <w:t>.</w:t>
      </w:r>
    </w:p>
    <w:p w14:paraId="010731C0" w14:textId="77777777" w:rsidR="00C4012F" w:rsidRDefault="00C4012F" w:rsidP="00186BB8">
      <w:pPr>
        <w:spacing w:after="0" w:line="240" w:lineRule="auto"/>
        <w:ind w:firstLine="360"/>
        <w:jc w:val="both"/>
        <w:rPr>
          <w:rFonts w:ascii="Times New Roman" w:hAnsi="Times New Roman"/>
          <w:sz w:val="24"/>
          <w:szCs w:val="24"/>
        </w:rPr>
      </w:pPr>
    </w:p>
    <w:p w14:paraId="07E4C783" w14:textId="4611236D" w:rsidR="005A5AE9" w:rsidRDefault="005A5AE9" w:rsidP="00186BB8">
      <w:pPr>
        <w:spacing w:after="0" w:line="240" w:lineRule="auto"/>
        <w:ind w:firstLine="360"/>
        <w:jc w:val="both"/>
        <w:rPr>
          <w:rFonts w:ascii="Times New Roman" w:hAnsi="Times New Roman"/>
          <w:sz w:val="24"/>
          <w:szCs w:val="24"/>
        </w:rPr>
      </w:pPr>
      <w:r>
        <w:rPr>
          <w:rFonts w:ascii="Times New Roman" w:hAnsi="Times New Roman"/>
          <w:sz w:val="24"/>
          <w:szCs w:val="24"/>
        </w:rPr>
        <w:t>Priekšnosacījumos, kuros noteiktie k</w:t>
      </w:r>
      <w:r w:rsidRPr="005A5AE9">
        <w:rPr>
          <w:rFonts w:ascii="Times New Roman" w:hAnsi="Times New Roman"/>
          <w:sz w:val="24"/>
          <w:szCs w:val="24"/>
        </w:rPr>
        <w:t>ritēriju izpilde ir atzīta par nepi</w:t>
      </w:r>
      <w:r>
        <w:rPr>
          <w:rFonts w:ascii="Times New Roman" w:hAnsi="Times New Roman"/>
          <w:sz w:val="24"/>
          <w:szCs w:val="24"/>
        </w:rPr>
        <w:t xml:space="preserve">etiekamu, ir izstrādāti vērtēšanas faktori vai līmeņi, </w:t>
      </w:r>
      <w:r w:rsidR="00186BB8">
        <w:rPr>
          <w:rFonts w:ascii="Times New Roman" w:hAnsi="Times New Roman"/>
          <w:sz w:val="24"/>
          <w:szCs w:val="24"/>
        </w:rPr>
        <w:t>un k</w:t>
      </w:r>
      <w:r w:rsidR="00186BB8" w:rsidRPr="00186BB8">
        <w:rPr>
          <w:rFonts w:ascii="Times New Roman" w:hAnsi="Times New Roman"/>
          <w:sz w:val="24"/>
          <w:szCs w:val="24"/>
        </w:rPr>
        <w:t xml:space="preserve">atram no šiem parametriem </w:t>
      </w:r>
      <w:r w:rsidR="00186BB8">
        <w:rPr>
          <w:rFonts w:ascii="Times New Roman" w:hAnsi="Times New Roman"/>
          <w:sz w:val="24"/>
          <w:szCs w:val="24"/>
        </w:rPr>
        <w:t xml:space="preserve">ir noteikts savs pieeja, </w:t>
      </w:r>
      <w:r>
        <w:rPr>
          <w:rFonts w:ascii="Times New Roman" w:hAnsi="Times New Roman"/>
          <w:sz w:val="24"/>
          <w:szCs w:val="24"/>
        </w:rPr>
        <w:t>pēc kuriem tiek novērtēti katastrofas pārvaldīšanas pasākumi:</w:t>
      </w:r>
    </w:p>
    <w:p w14:paraId="0C0C30BA" w14:textId="77777777" w:rsidR="00C4012F" w:rsidRDefault="00C4012F" w:rsidP="00186BB8">
      <w:pPr>
        <w:spacing w:after="0" w:line="240" w:lineRule="auto"/>
        <w:ind w:firstLine="360"/>
        <w:jc w:val="both"/>
        <w:rPr>
          <w:rFonts w:ascii="Times New Roman" w:hAnsi="Times New Roman"/>
          <w:sz w:val="24"/>
          <w:szCs w:val="24"/>
        </w:rPr>
      </w:pPr>
    </w:p>
    <w:p w14:paraId="7085B18C" w14:textId="6E427E2C" w:rsidR="00186BB8" w:rsidRDefault="00612671" w:rsidP="00A845FE">
      <w:pPr>
        <w:pStyle w:val="ListParagraph"/>
        <w:numPr>
          <w:ilvl w:val="0"/>
          <w:numId w:val="3"/>
        </w:numPr>
        <w:spacing w:after="0" w:line="240" w:lineRule="auto"/>
        <w:jc w:val="both"/>
        <w:rPr>
          <w:rFonts w:ascii="Times New Roman" w:hAnsi="Times New Roman"/>
          <w:sz w:val="24"/>
          <w:szCs w:val="24"/>
        </w:rPr>
      </w:pPr>
      <w:r>
        <w:rPr>
          <w:rFonts w:ascii="Times New Roman" w:hAnsi="Times New Roman"/>
          <w:b/>
          <w:sz w:val="24"/>
          <w:szCs w:val="24"/>
        </w:rPr>
        <w:lastRenderedPageBreak/>
        <w:t>L</w:t>
      </w:r>
      <w:r w:rsidR="005A5AE9" w:rsidRPr="00A845FE">
        <w:rPr>
          <w:rFonts w:ascii="Times New Roman" w:hAnsi="Times New Roman"/>
          <w:b/>
          <w:sz w:val="24"/>
          <w:szCs w:val="24"/>
        </w:rPr>
        <w:t xml:space="preserve">ai definētu </w:t>
      </w:r>
      <w:r w:rsidR="00186BB8" w:rsidRPr="00A845FE">
        <w:rPr>
          <w:rFonts w:ascii="Times New Roman" w:hAnsi="Times New Roman"/>
          <w:b/>
          <w:sz w:val="24"/>
          <w:szCs w:val="24"/>
        </w:rPr>
        <w:t xml:space="preserve">katastrofas pārvaldīšanas </w:t>
      </w:r>
      <w:r w:rsidR="005A5AE9" w:rsidRPr="00A845FE">
        <w:rPr>
          <w:rFonts w:ascii="Times New Roman" w:hAnsi="Times New Roman"/>
          <w:b/>
          <w:sz w:val="24"/>
          <w:szCs w:val="24"/>
        </w:rPr>
        <w:t xml:space="preserve">pasākumu ieviešanas vai īstenošanas </w:t>
      </w:r>
      <w:r w:rsidR="0078343F" w:rsidRPr="00A845FE">
        <w:rPr>
          <w:rFonts w:ascii="Times New Roman" w:hAnsi="Times New Roman"/>
          <w:b/>
          <w:sz w:val="24"/>
          <w:szCs w:val="24"/>
        </w:rPr>
        <w:t>PRIORITĀTI</w:t>
      </w:r>
      <w:r w:rsidR="005A5AE9" w:rsidRPr="00A845FE">
        <w:rPr>
          <w:rFonts w:ascii="Times New Roman" w:hAnsi="Times New Roman"/>
          <w:sz w:val="24"/>
          <w:szCs w:val="24"/>
        </w:rPr>
        <w:t xml:space="preserve">, </w:t>
      </w:r>
      <w:r w:rsidR="00C0205B" w:rsidRPr="00A845FE">
        <w:rPr>
          <w:rFonts w:ascii="Times New Roman" w:hAnsi="Times New Roman"/>
          <w:sz w:val="24"/>
          <w:szCs w:val="24"/>
        </w:rPr>
        <w:t>tika</w:t>
      </w:r>
      <w:r w:rsidR="005A5AE9" w:rsidRPr="00A845FE">
        <w:rPr>
          <w:rFonts w:ascii="Times New Roman" w:hAnsi="Times New Roman"/>
          <w:sz w:val="24"/>
          <w:szCs w:val="24"/>
        </w:rPr>
        <w:t xml:space="preserve"> ņemta vērā konkrētā apdraudējuma rezultāts riska kopsavilkumā (riska matricā), ņemot vērā tā </w:t>
      </w:r>
      <w:r w:rsidR="009A4655" w:rsidRPr="00A845FE">
        <w:rPr>
          <w:rFonts w:ascii="Times New Roman" w:hAnsi="Times New Roman"/>
          <w:sz w:val="24"/>
          <w:szCs w:val="24"/>
        </w:rPr>
        <w:t xml:space="preserve">apdraudējuma notikuma varbūtību un tā attiecību pret </w:t>
      </w:r>
      <w:r w:rsidR="005A5AE9" w:rsidRPr="00A845FE">
        <w:rPr>
          <w:rFonts w:ascii="Times New Roman" w:hAnsi="Times New Roman"/>
          <w:sz w:val="24"/>
          <w:szCs w:val="24"/>
        </w:rPr>
        <w:t>iespējamo ekonomisko ietekmi</w:t>
      </w:r>
      <w:r w:rsidR="00B12EF0">
        <w:rPr>
          <w:rFonts w:ascii="Times New Roman" w:hAnsi="Times New Roman"/>
          <w:sz w:val="24"/>
          <w:szCs w:val="24"/>
        </w:rPr>
        <w:t xml:space="preserve"> </w:t>
      </w:r>
      <w:r w:rsidR="00C4012F">
        <w:rPr>
          <w:rFonts w:ascii="Times New Roman" w:hAnsi="Times New Roman"/>
          <w:sz w:val="24"/>
          <w:szCs w:val="24"/>
        </w:rPr>
        <w:t>–</w:t>
      </w:r>
      <w:r w:rsidR="00B12EF0">
        <w:rPr>
          <w:rFonts w:ascii="Times New Roman" w:hAnsi="Times New Roman"/>
          <w:sz w:val="24"/>
          <w:szCs w:val="24"/>
        </w:rPr>
        <w:t xml:space="preserve"> </w:t>
      </w:r>
      <w:r w:rsidR="00186BB8" w:rsidRPr="00A845FE">
        <w:rPr>
          <w:rFonts w:ascii="Times New Roman" w:hAnsi="Times New Roman"/>
          <w:sz w:val="24"/>
          <w:szCs w:val="24"/>
        </w:rPr>
        <w:t xml:space="preserve">atbilstoši skaitliskajam lielumam, kas ņemts no </w:t>
      </w:r>
      <w:r w:rsidR="005A5AE9" w:rsidRPr="00A845FE">
        <w:rPr>
          <w:rFonts w:ascii="Times New Roman" w:hAnsi="Times New Roman"/>
          <w:sz w:val="24"/>
          <w:szCs w:val="24"/>
        </w:rPr>
        <w:t>katastrofu riska metodik</w:t>
      </w:r>
      <w:r w:rsidR="00B12EF0">
        <w:rPr>
          <w:rFonts w:ascii="Times New Roman" w:hAnsi="Times New Roman"/>
          <w:sz w:val="24"/>
          <w:szCs w:val="24"/>
        </w:rPr>
        <w:t>as</w:t>
      </w:r>
      <w:r w:rsidR="00527772" w:rsidRPr="00A845FE">
        <w:rPr>
          <w:rFonts w:ascii="Times New Roman" w:hAnsi="Times New Roman"/>
          <w:sz w:val="24"/>
          <w:szCs w:val="24"/>
        </w:rPr>
        <w:t xml:space="preserve">. </w:t>
      </w:r>
      <w:r w:rsidR="00B12EF0" w:rsidRPr="00B12EF0">
        <w:rPr>
          <w:rFonts w:ascii="Times New Roman" w:hAnsi="Times New Roman"/>
          <w:sz w:val="24"/>
          <w:szCs w:val="24"/>
        </w:rPr>
        <w:t xml:space="preserve">Pēc novērtēšanas, jo </w:t>
      </w:r>
      <w:r w:rsidR="00B12EF0">
        <w:rPr>
          <w:rFonts w:ascii="Times New Roman" w:hAnsi="Times New Roman"/>
          <w:sz w:val="24"/>
          <w:szCs w:val="24"/>
        </w:rPr>
        <w:t>lielāka punktu vērtība (</w:t>
      </w:r>
      <w:r w:rsidR="00B12EF0" w:rsidRPr="000C1425">
        <w:rPr>
          <w:rFonts w:ascii="Times New Roman" w:hAnsi="Times New Roman"/>
          <w:sz w:val="24"/>
          <w:szCs w:val="24"/>
        </w:rPr>
        <w:t xml:space="preserve">vai </w:t>
      </w:r>
      <w:r w:rsidR="00B12EF0">
        <w:rPr>
          <w:rFonts w:ascii="Times New Roman" w:hAnsi="Times New Roman"/>
          <w:sz w:val="24"/>
          <w:szCs w:val="24"/>
        </w:rPr>
        <w:t>kumulatīvā/</w:t>
      </w:r>
      <w:r w:rsidR="00B12EF0" w:rsidRPr="000C1425">
        <w:rPr>
          <w:rFonts w:ascii="Times New Roman" w:hAnsi="Times New Roman"/>
          <w:sz w:val="24"/>
          <w:szCs w:val="24"/>
        </w:rPr>
        <w:t xml:space="preserve">uzkrātā punktu vērtību, ja </w:t>
      </w:r>
      <w:r w:rsidR="00B12EF0">
        <w:rPr>
          <w:rFonts w:ascii="Times New Roman" w:hAnsi="Times New Roman"/>
          <w:sz w:val="24"/>
          <w:szCs w:val="24"/>
        </w:rPr>
        <w:t>pasākums iekļauts vairākos apdraudējumos), jo augstāka prioritāte pasākumam</w:t>
      </w:r>
      <w:r w:rsidR="00B12EF0" w:rsidRPr="00A845FE">
        <w:rPr>
          <w:rFonts w:ascii="Times New Roman" w:hAnsi="Times New Roman"/>
          <w:sz w:val="24"/>
          <w:szCs w:val="24"/>
        </w:rPr>
        <w:t xml:space="preserve"> </w:t>
      </w:r>
      <w:r w:rsidR="00527772" w:rsidRPr="00A845FE">
        <w:rPr>
          <w:rFonts w:ascii="Times New Roman" w:hAnsi="Times New Roman"/>
          <w:sz w:val="24"/>
          <w:szCs w:val="24"/>
        </w:rPr>
        <w:t>(skatīt 2.tabulā)</w:t>
      </w:r>
      <w:r w:rsidR="00186BB8" w:rsidRPr="00A845FE">
        <w:rPr>
          <w:rFonts w:ascii="Times New Roman" w:hAnsi="Times New Roman"/>
          <w:sz w:val="24"/>
          <w:szCs w:val="24"/>
        </w:rPr>
        <w:t>;</w:t>
      </w:r>
    </w:p>
    <w:p w14:paraId="6B978477" w14:textId="77777777" w:rsidR="00A845FE" w:rsidRDefault="00A845FE" w:rsidP="00A845FE">
      <w:pPr>
        <w:spacing w:after="0" w:line="240" w:lineRule="auto"/>
        <w:ind w:left="360"/>
        <w:jc w:val="both"/>
        <w:rPr>
          <w:rFonts w:ascii="Times New Roman" w:hAnsi="Times New Roman"/>
          <w:sz w:val="24"/>
          <w:szCs w:val="24"/>
        </w:rPr>
      </w:pPr>
    </w:p>
    <w:p w14:paraId="1D2EF730" w14:textId="77777777" w:rsidR="005375AA" w:rsidRDefault="005375AA" w:rsidP="00A845FE">
      <w:pPr>
        <w:spacing w:after="0" w:line="240" w:lineRule="auto"/>
        <w:ind w:left="360"/>
        <w:jc w:val="both"/>
        <w:rPr>
          <w:rFonts w:ascii="Times New Roman" w:hAnsi="Times New Roman"/>
          <w:sz w:val="24"/>
          <w:szCs w:val="24"/>
        </w:rPr>
      </w:pPr>
    </w:p>
    <w:p w14:paraId="42D77B71" w14:textId="2CC38449" w:rsidR="00A845FE" w:rsidRPr="005557FA" w:rsidRDefault="00A845FE" w:rsidP="00A845FE">
      <w:pPr>
        <w:spacing w:after="0" w:line="240" w:lineRule="auto"/>
        <w:rPr>
          <w:rFonts w:ascii="Times New Roman" w:hAnsi="Times New Roman"/>
          <w:i/>
        </w:rPr>
      </w:pPr>
      <w:r w:rsidRPr="005557FA">
        <w:rPr>
          <w:rFonts w:ascii="Times New Roman" w:hAnsi="Times New Roman"/>
          <w:i/>
        </w:rPr>
        <w:t>2.tabula</w:t>
      </w:r>
      <w:r w:rsidR="00265E0C" w:rsidRPr="005557FA">
        <w:rPr>
          <w:rFonts w:ascii="Times New Roman" w:hAnsi="Times New Roman"/>
          <w:i/>
        </w:rPr>
        <w:t>. Prioritāro katastrofas pārvaldīšanas pasākumu un to ekonomiskās ietekmes novērtēšanas faktori</w:t>
      </w:r>
    </w:p>
    <w:tbl>
      <w:tblPr>
        <w:tblStyle w:val="TableGrid"/>
        <w:tblW w:w="0" w:type="auto"/>
        <w:jc w:val="center"/>
        <w:tblLook w:val="04A0" w:firstRow="1" w:lastRow="0" w:firstColumn="1" w:lastColumn="0" w:noHBand="0" w:noVBand="1"/>
      </w:tblPr>
      <w:tblGrid>
        <w:gridCol w:w="4684"/>
        <w:gridCol w:w="3533"/>
        <w:gridCol w:w="1276"/>
      </w:tblGrid>
      <w:tr w:rsidR="0053147A" w:rsidRPr="005557FA" w14:paraId="1AE60C29" w14:textId="77777777" w:rsidTr="007D73DB">
        <w:trPr>
          <w:jc w:val="center"/>
        </w:trPr>
        <w:tc>
          <w:tcPr>
            <w:tcW w:w="4684" w:type="dxa"/>
            <w:shd w:val="clear" w:color="auto" w:fill="D9D9D9" w:themeFill="background1" w:themeFillShade="D9"/>
          </w:tcPr>
          <w:p w14:paraId="5FA77557" w14:textId="372B4025" w:rsidR="00A845FE" w:rsidRPr="005557FA" w:rsidRDefault="00A845FE" w:rsidP="007D73DB">
            <w:pPr>
              <w:spacing w:line="360" w:lineRule="auto"/>
              <w:jc w:val="center"/>
              <w:rPr>
                <w:rFonts w:ascii="Times New Roman" w:hAnsi="Times New Roman"/>
                <w:b/>
              </w:rPr>
            </w:pPr>
            <w:r w:rsidRPr="005557FA">
              <w:rPr>
                <w:rFonts w:ascii="Times New Roman" w:hAnsi="Times New Roman"/>
                <w:b/>
              </w:rPr>
              <w:t>Apdraudējuma iespējamība</w:t>
            </w:r>
          </w:p>
        </w:tc>
        <w:tc>
          <w:tcPr>
            <w:tcW w:w="3533" w:type="dxa"/>
            <w:shd w:val="clear" w:color="auto" w:fill="D9D9D9" w:themeFill="background1" w:themeFillShade="D9"/>
          </w:tcPr>
          <w:p w14:paraId="364D7BE6" w14:textId="77777777" w:rsidR="00A845FE" w:rsidRPr="005557FA" w:rsidRDefault="00A845FE" w:rsidP="007D73DB">
            <w:pPr>
              <w:spacing w:line="360" w:lineRule="auto"/>
              <w:jc w:val="center"/>
              <w:rPr>
                <w:rFonts w:ascii="Times New Roman" w:hAnsi="Times New Roman"/>
                <w:b/>
              </w:rPr>
            </w:pPr>
            <w:r w:rsidRPr="005557FA">
              <w:rPr>
                <w:rFonts w:ascii="Times New Roman" w:hAnsi="Times New Roman"/>
                <w:b/>
              </w:rPr>
              <w:t>Potenciālā ekonomiskā ietekme</w:t>
            </w:r>
          </w:p>
        </w:tc>
        <w:tc>
          <w:tcPr>
            <w:tcW w:w="1276" w:type="dxa"/>
            <w:shd w:val="clear" w:color="auto" w:fill="D9D9D9" w:themeFill="background1" w:themeFillShade="D9"/>
          </w:tcPr>
          <w:p w14:paraId="5596F29B" w14:textId="77777777" w:rsidR="00A845FE" w:rsidRPr="005557FA" w:rsidRDefault="00A845FE" w:rsidP="007D73DB">
            <w:pPr>
              <w:spacing w:line="360" w:lineRule="auto"/>
              <w:jc w:val="center"/>
              <w:rPr>
                <w:rFonts w:ascii="Times New Roman" w:hAnsi="Times New Roman"/>
                <w:b/>
              </w:rPr>
            </w:pPr>
            <w:r w:rsidRPr="005557FA">
              <w:rPr>
                <w:rFonts w:ascii="Times New Roman" w:hAnsi="Times New Roman"/>
                <w:b/>
              </w:rPr>
              <w:t>Punktu vērtība</w:t>
            </w:r>
          </w:p>
        </w:tc>
      </w:tr>
      <w:tr w:rsidR="00A845FE" w:rsidRPr="005557FA" w14:paraId="5E9767B9" w14:textId="77777777" w:rsidTr="007D73DB">
        <w:trPr>
          <w:jc w:val="center"/>
        </w:trPr>
        <w:tc>
          <w:tcPr>
            <w:tcW w:w="4684" w:type="dxa"/>
            <w:shd w:val="clear" w:color="auto" w:fill="C00000"/>
          </w:tcPr>
          <w:p w14:paraId="066D514C"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Apdraudējums novērtēts kā ļoti augsts risks</w:t>
            </w:r>
          </w:p>
        </w:tc>
        <w:tc>
          <w:tcPr>
            <w:tcW w:w="3533" w:type="dxa"/>
          </w:tcPr>
          <w:p w14:paraId="2AD48044"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vairāk par 2 miljardiem eiro</w:t>
            </w:r>
          </w:p>
        </w:tc>
        <w:tc>
          <w:tcPr>
            <w:tcW w:w="1276" w:type="dxa"/>
          </w:tcPr>
          <w:p w14:paraId="35497843"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5</w:t>
            </w:r>
          </w:p>
        </w:tc>
      </w:tr>
      <w:tr w:rsidR="00A845FE" w:rsidRPr="005557FA" w14:paraId="28318685" w14:textId="77777777" w:rsidTr="007D73DB">
        <w:trPr>
          <w:jc w:val="center"/>
        </w:trPr>
        <w:tc>
          <w:tcPr>
            <w:tcW w:w="4684" w:type="dxa"/>
            <w:shd w:val="clear" w:color="auto" w:fill="FF0000"/>
          </w:tcPr>
          <w:p w14:paraId="717305B0"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Apdraudējums novērtēts kā augsts risks</w:t>
            </w:r>
          </w:p>
        </w:tc>
        <w:tc>
          <w:tcPr>
            <w:tcW w:w="3533" w:type="dxa"/>
          </w:tcPr>
          <w:p w14:paraId="64AE16D7"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200 milj. eiro līdz 2 miljardiem eiro</w:t>
            </w:r>
          </w:p>
        </w:tc>
        <w:tc>
          <w:tcPr>
            <w:tcW w:w="1276" w:type="dxa"/>
          </w:tcPr>
          <w:p w14:paraId="05AF1126"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4</w:t>
            </w:r>
          </w:p>
        </w:tc>
      </w:tr>
      <w:tr w:rsidR="00A845FE" w:rsidRPr="005557FA" w14:paraId="7F039E8B" w14:textId="77777777" w:rsidTr="007D73DB">
        <w:trPr>
          <w:jc w:val="center"/>
        </w:trPr>
        <w:tc>
          <w:tcPr>
            <w:tcW w:w="4684" w:type="dxa"/>
            <w:shd w:val="clear" w:color="auto" w:fill="ED7D31" w:themeFill="accent2"/>
          </w:tcPr>
          <w:p w14:paraId="0F025A23"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Apdraudējums novērtēts kā vidējs risks</w:t>
            </w:r>
          </w:p>
        </w:tc>
        <w:tc>
          <w:tcPr>
            <w:tcW w:w="3533" w:type="dxa"/>
          </w:tcPr>
          <w:p w14:paraId="68489E92"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20 milj. eiro līdz 200 milj. eiro</w:t>
            </w:r>
          </w:p>
        </w:tc>
        <w:tc>
          <w:tcPr>
            <w:tcW w:w="1276" w:type="dxa"/>
          </w:tcPr>
          <w:p w14:paraId="44F8272C"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3</w:t>
            </w:r>
          </w:p>
        </w:tc>
      </w:tr>
      <w:tr w:rsidR="00A845FE" w:rsidRPr="005557FA" w14:paraId="18F9FF57" w14:textId="77777777" w:rsidTr="007D73DB">
        <w:trPr>
          <w:jc w:val="center"/>
        </w:trPr>
        <w:tc>
          <w:tcPr>
            <w:tcW w:w="4684" w:type="dxa"/>
            <w:shd w:val="clear" w:color="auto" w:fill="FFC000" w:themeFill="accent4"/>
          </w:tcPr>
          <w:p w14:paraId="48E63959"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Apdraudējums novērtēts kā nozīmīgs risks</w:t>
            </w:r>
          </w:p>
        </w:tc>
        <w:tc>
          <w:tcPr>
            <w:tcW w:w="3533" w:type="dxa"/>
          </w:tcPr>
          <w:p w14:paraId="4332F91A"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€6 milj. eiro līdz €20 milj. eiro</w:t>
            </w:r>
          </w:p>
        </w:tc>
        <w:tc>
          <w:tcPr>
            <w:tcW w:w="1276" w:type="dxa"/>
          </w:tcPr>
          <w:p w14:paraId="158B3842"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2</w:t>
            </w:r>
          </w:p>
        </w:tc>
      </w:tr>
      <w:tr w:rsidR="00A845FE" w:rsidRPr="005557FA" w14:paraId="196AD2A1" w14:textId="77777777" w:rsidTr="007D73DB">
        <w:trPr>
          <w:jc w:val="center"/>
        </w:trPr>
        <w:tc>
          <w:tcPr>
            <w:tcW w:w="4684" w:type="dxa"/>
            <w:shd w:val="clear" w:color="auto" w:fill="00B050"/>
          </w:tcPr>
          <w:p w14:paraId="49C56B65"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Apdraudējums novērtēts kā maznozīmīgs risks</w:t>
            </w:r>
          </w:p>
        </w:tc>
        <w:tc>
          <w:tcPr>
            <w:tcW w:w="3533" w:type="dxa"/>
          </w:tcPr>
          <w:p w14:paraId="35B5E3C6"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€2 milj. eiro līdz €6 milj. eiro</w:t>
            </w:r>
          </w:p>
        </w:tc>
        <w:tc>
          <w:tcPr>
            <w:tcW w:w="1276" w:type="dxa"/>
          </w:tcPr>
          <w:p w14:paraId="1DEFF3DB" w14:textId="77777777" w:rsidR="00A845FE" w:rsidRPr="005557FA" w:rsidRDefault="00A845FE" w:rsidP="007D73DB">
            <w:pPr>
              <w:spacing w:line="360" w:lineRule="auto"/>
              <w:jc w:val="center"/>
              <w:rPr>
                <w:rFonts w:ascii="Times New Roman" w:hAnsi="Times New Roman"/>
              </w:rPr>
            </w:pPr>
            <w:r w:rsidRPr="005557FA">
              <w:rPr>
                <w:rFonts w:ascii="Times New Roman" w:hAnsi="Times New Roman"/>
              </w:rPr>
              <w:t>1</w:t>
            </w:r>
          </w:p>
        </w:tc>
      </w:tr>
    </w:tbl>
    <w:p w14:paraId="321F3B90" w14:textId="77777777" w:rsidR="00A845FE" w:rsidRPr="000C1425" w:rsidRDefault="00A845FE" w:rsidP="00A845FE">
      <w:pPr>
        <w:spacing w:after="0" w:line="240" w:lineRule="auto"/>
        <w:rPr>
          <w:rFonts w:ascii="Times New Roman" w:hAnsi="Times New Roman"/>
          <w:sz w:val="24"/>
          <w:szCs w:val="24"/>
        </w:rPr>
      </w:pPr>
    </w:p>
    <w:p w14:paraId="270BA3E5" w14:textId="77777777" w:rsidR="00A845FE" w:rsidRPr="00A845FE" w:rsidRDefault="00A845FE" w:rsidP="00A845FE">
      <w:pPr>
        <w:spacing w:after="0" w:line="240" w:lineRule="auto"/>
        <w:ind w:left="360"/>
        <w:jc w:val="both"/>
        <w:rPr>
          <w:rFonts w:ascii="Times New Roman" w:hAnsi="Times New Roman"/>
          <w:sz w:val="24"/>
          <w:szCs w:val="24"/>
        </w:rPr>
      </w:pPr>
    </w:p>
    <w:p w14:paraId="5E68A28A" w14:textId="009EC71C" w:rsidR="00186BB8" w:rsidRPr="00612671" w:rsidRDefault="00612671" w:rsidP="00020080">
      <w:pPr>
        <w:pStyle w:val="ListParagraph"/>
        <w:numPr>
          <w:ilvl w:val="0"/>
          <w:numId w:val="3"/>
        </w:numPr>
        <w:spacing w:after="0" w:line="240" w:lineRule="auto"/>
        <w:jc w:val="both"/>
        <w:rPr>
          <w:rFonts w:ascii="Times New Roman" w:hAnsi="Times New Roman"/>
          <w:sz w:val="24"/>
          <w:szCs w:val="24"/>
        </w:rPr>
      </w:pPr>
      <w:r>
        <w:rPr>
          <w:rFonts w:ascii="Times New Roman" w:hAnsi="Times New Roman"/>
          <w:b/>
          <w:sz w:val="24"/>
          <w:szCs w:val="24"/>
        </w:rPr>
        <w:t>L</w:t>
      </w:r>
      <w:r w:rsidR="00186BB8" w:rsidRPr="00612671">
        <w:rPr>
          <w:rFonts w:ascii="Times New Roman" w:hAnsi="Times New Roman"/>
          <w:b/>
          <w:sz w:val="24"/>
          <w:szCs w:val="24"/>
        </w:rPr>
        <w:t xml:space="preserve">ai noteiktu katastrofas pārvaldīšanas pasākumu </w:t>
      </w:r>
      <w:r w:rsidR="0078343F" w:rsidRPr="00612671">
        <w:rPr>
          <w:rFonts w:ascii="Times New Roman" w:hAnsi="Times New Roman"/>
          <w:b/>
          <w:sz w:val="24"/>
          <w:szCs w:val="24"/>
        </w:rPr>
        <w:t>JAUDAS/SPĒJU TRŪKUMUS</w:t>
      </w:r>
      <w:r w:rsidR="00020080">
        <w:rPr>
          <w:rFonts w:ascii="Times New Roman" w:hAnsi="Times New Roman"/>
          <w:b/>
          <w:sz w:val="24"/>
          <w:szCs w:val="24"/>
        </w:rPr>
        <w:t xml:space="preserve"> </w:t>
      </w:r>
      <w:r w:rsidR="00020080" w:rsidRPr="00020080">
        <w:rPr>
          <w:rFonts w:ascii="Times New Roman" w:hAnsi="Times New Roman"/>
          <w:b/>
          <w:sz w:val="24"/>
          <w:szCs w:val="24"/>
        </w:rPr>
        <w:t>VAI NEPIETIEKAMĪB</w:t>
      </w:r>
      <w:r w:rsidR="00020080">
        <w:rPr>
          <w:rFonts w:ascii="Times New Roman" w:hAnsi="Times New Roman"/>
          <w:b/>
          <w:sz w:val="24"/>
          <w:szCs w:val="24"/>
        </w:rPr>
        <w:t>U</w:t>
      </w:r>
      <w:r w:rsidR="00186BB8" w:rsidRPr="00612671">
        <w:rPr>
          <w:rFonts w:ascii="Times New Roman" w:hAnsi="Times New Roman"/>
          <w:sz w:val="24"/>
          <w:szCs w:val="24"/>
        </w:rPr>
        <w:t xml:space="preserve">, </w:t>
      </w:r>
      <w:r w:rsidR="00C4012F" w:rsidRPr="00612671">
        <w:rPr>
          <w:rFonts w:ascii="Times New Roman" w:hAnsi="Times New Roman"/>
          <w:sz w:val="24"/>
          <w:szCs w:val="24"/>
        </w:rPr>
        <w:t xml:space="preserve">tiek uzskatīts, ka visi identificētie preventīvie un gatavības pasākumi (katram apdraudējumam) tiek uzskatīti kā jaudas/spēju trūkumi, jo to īstenošana potenciāli var mazināt apdraudējuma iespējamību un tā radītās sekas. </w:t>
      </w:r>
      <w:r w:rsidR="00B12EF0" w:rsidRPr="00612671">
        <w:rPr>
          <w:rFonts w:ascii="Times New Roman" w:hAnsi="Times New Roman"/>
          <w:sz w:val="24"/>
          <w:szCs w:val="24"/>
        </w:rPr>
        <w:t>Pēc novērtēšanas, j</w:t>
      </w:r>
      <w:r w:rsidR="00527772" w:rsidRPr="00612671">
        <w:rPr>
          <w:rFonts w:ascii="Times New Roman" w:hAnsi="Times New Roman"/>
          <w:sz w:val="24"/>
          <w:szCs w:val="24"/>
        </w:rPr>
        <w:t>o lielāka punktu vērtība</w:t>
      </w:r>
      <w:r w:rsidR="00B12EF0" w:rsidRPr="00612671">
        <w:rPr>
          <w:rFonts w:ascii="Times New Roman" w:hAnsi="Times New Roman"/>
          <w:sz w:val="24"/>
          <w:szCs w:val="24"/>
        </w:rPr>
        <w:t xml:space="preserve"> (vai kumulatīvā/uzkrātā punktu vērtību, ja pasākums iekļauts vairākos apdraudējumos)</w:t>
      </w:r>
      <w:r w:rsidR="00527772" w:rsidRPr="00612671">
        <w:rPr>
          <w:rFonts w:ascii="Times New Roman" w:hAnsi="Times New Roman"/>
          <w:sz w:val="24"/>
          <w:szCs w:val="24"/>
        </w:rPr>
        <w:t>, jo</w:t>
      </w:r>
      <w:r w:rsidR="00C4012F" w:rsidRPr="00612671">
        <w:rPr>
          <w:rFonts w:ascii="Times New Roman" w:hAnsi="Times New Roman"/>
          <w:sz w:val="24"/>
          <w:szCs w:val="24"/>
        </w:rPr>
        <w:t xml:space="preserve"> </w:t>
      </w:r>
      <w:r w:rsidRPr="00612671">
        <w:rPr>
          <w:rFonts w:ascii="Times New Roman" w:hAnsi="Times New Roman"/>
          <w:sz w:val="24"/>
          <w:szCs w:val="24"/>
        </w:rPr>
        <w:t xml:space="preserve">tā īstenošanai nepieciešami ilgtspējīgāki un specifiskāki tehniskie/strukturālie risinājumi, </w:t>
      </w:r>
      <w:r w:rsidR="006B1F28">
        <w:rPr>
          <w:rFonts w:ascii="Times New Roman" w:hAnsi="Times New Roman"/>
          <w:sz w:val="24"/>
          <w:szCs w:val="24"/>
        </w:rPr>
        <w:t xml:space="preserve">tehnikas iegāde vai atjaunināšana, </w:t>
      </w:r>
      <w:r w:rsidRPr="00612671">
        <w:rPr>
          <w:rFonts w:ascii="Times New Roman" w:hAnsi="Times New Roman"/>
          <w:sz w:val="24"/>
          <w:szCs w:val="24"/>
        </w:rPr>
        <w:t>daudznozaru ekspertīze, lielāki finanšu ieguldījumi u.c. faktori</w:t>
      </w:r>
      <w:r w:rsidR="00A5287F" w:rsidRPr="00612671">
        <w:rPr>
          <w:rFonts w:ascii="Times New Roman" w:hAnsi="Times New Roman"/>
          <w:sz w:val="24"/>
          <w:szCs w:val="24"/>
        </w:rPr>
        <w:t xml:space="preserve"> </w:t>
      </w:r>
      <w:r w:rsidR="006A3B45" w:rsidRPr="00612671">
        <w:rPr>
          <w:rFonts w:ascii="Times New Roman" w:hAnsi="Times New Roman"/>
          <w:sz w:val="24"/>
          <w:szCs w:val="24"/>
        </w:rPr>
        <w:t>(skatīt 3.tabulā);</w:t>
      </w:r>
    </w:p>
    <w:p w14:paraId="5C2DB62F" w14:textId="77777777" w:rsidR="00C4012F" w:rsidRDefault="00C4012F" w:rsidP="00C4012F">
      <w:pPr>
        <w:spacing w:after="0" w:line="240" w:lineRule="auto"/>
        <w:ind w:left="360"/>
        <w:jc w:val="both"/>
        <w:rPr>
          <w:rFonts w:ascii="Times New Roman" w:hAnsi="Times New Roman"/>
          <w:color w:val="FF0000"/>
          <w:sz w:val="24"/>
          <w:szCs w:val="24"/>
        </w:rPr>
      </w:pPr>
    </w:p>
    <w:p w14:paraId="2DCDB2DF" w14:textId="77777777" w:rsidR="005375AA" w:rsidRDefault="005375AA" w:rsidP="00C4012F">
      <w:pPr>
        <w:spacing w:after="0" w:line="240" w:lineRule="auto"/>
        <w:ind w:left="360"/>
        <w:jc w:val="both"/>
        <w:rPr>
          <w:rFonts w:ascii="Times New Roman" w:hAnsi="Times New Roman"/>
          <w:color w:val="FF0000"/>
          <w:sz w:val="24"/>
          <w:szCs w:val="24"/>
        </w:rPr>
      </w:pPr>
    </w:p>
    <w:p w14:paraId="645E3090" w14:textId="063C2EDD" w:rsidR="0053147A" w:rsidRPr="005557FA" w:rsidRDefault="0053147A" w:rsidP="0053147A">
      <w:pPr>
        <w:spacing w:after="0" w:line="240" w:lineRule="auto"/>
        <w:rPr>
          <w:rFonts w:ascii="Times New Roman" w:hAnsi="Times New Roman"/>
          <w:i/>
        </w:rPr>
      </w:pPr>
      <w:r w:rsidRPr="005557FA">
        <w:rPr>
          <w:rFonts w:ascii="Times New Roman" w:hAnsi="Times New Roman"/>
          <w:i/>
        </w:rPr>
        <w:t>3.tabula</w:t>
      </w:r>
      <w:r w:rsidR="00265E0C" w:rsidRPr="005557FA">
        <w:rPr>
          <w:rFonts w:ascii="Times New Roman" w:hAnsi="Times New Roman"/>
          <w:i/>
        </w:rPr>
        <w:t xml:space="preserve">. Katastrofas pārvaldīšanas pasākumu jaudas/spēju trūkumu </w:t>
      </w:r>
      <w:r w:rsidR="00020080">
        <w:rPr>
          <w:rFonts w:ascii="Times New Roman" w:hAnsi="Times New Roman"/>
          <w:i/>
        </w:rPr>
        <w:t xml:space="preserve">vai nepietiekamības </w:t>
      </w:r>
      <w:r w:rsidR="00265E0C" w:rsidRPr="005557FA">
        <w:rPr>
          <w:rFonts w:ascii="Times New Roman" w:hAnsi="Times New Roman"/>
          <w:i/>
        </w:rPr>
        <w:t>novērtēšanas faktori</w:t>
      </w:r>
    </w:p>
    <w:tbl>
      <w:tblPr>
        <w:tblStyle w:val="TableGrid"/>
        <w:tblW w:w="0" w:type="auto"/>
        <w:jc w:val="center"/>
        <w:tblLayout w:type="fixed"/>
        <w:tblLook w:val="04A0" w:firstRow="1" w:lastRow="0" w:firstColumn="1" w:lastColumn="0" w:noHBand="0" w:noVBand="1"/>
      </w:tblPr>
      <w:tblGrid>
        <w:gridCol w:w="7797"/>
        <w:gridCol w:w="1270"/>
      </w:tblGrid>
      <w:tr w:rsidR="0053147A" w:rsidRPr="005557FA" w14:paraId="3B70A34B" w14:textId="77777777" w:rsidTr="00326706">
        <w:trPr>
          <w:jc w:val="center"/>
        </w:trPr>
        <w:tc>
          <w:tcPr>
            <w:tcW w:w="7797" w:type="dxa"/>
            <w:shd w:val="clear" w:color="auto" w:fill="D9D9D9" w:themeFill="background1" w:themeFillShade="D9"/>
          </w:tcPr>
          <w:p w14:paraId="2879E4F6" w14:textId="77777777" w:rsidR="0053147A" w:rsidRPr="005557FA" w:rsidRDefault="0053147A" w:rsidP="00326706">
            <w:pPr>
              <w:pStyle w:val="ListParagraph"/>
              <w:spacing w:line="360" w:lineRule="auto"/>
              <w:ind w:left="0"/>
              <w:jc w:val="center"/>
              <w:rPr>
                <w:rFonts w:ascii="Times New Roman" w:hAnsi="Times New Roman"/>
                <w:b/>
              </w:rPr>
            </w:pPr>
            <w:r w:rsidRPr="005557FA">
              <w:rPr>
                <w:rFonts w:ascii="Times New Roman" w:hAnsi="Times New Roman"/>
                <w:b/>
              </w:rPr>
              <w:t>Pasākuma raksturojums</w:t>
            </w:r>
          </w:p>
        </w:tc>
        <w:tc>
          <w:tcPr>
            <w:tcW w:w="1270" w:type="dxa"/>
            <w:shd w:val="clear" w:color="auto" w:fill="D9D9D9" w:themeFill="background1" w:themeFillShade="D9"/>
          </w:tcPr>
          <w:p w14:paraId="675177DF" w14:textId="77777777" w:rsidR="0053147A" w:rsidRPr="005557FA" w:rsidRDefault="0053147A" w:rsidP="00326706">
            <w:pPr>
              <w:pStyle w:val="ListParagraph"/>
              <w:spacing w:line="360" w:lineRule="auto"/>
              <w:ind w:left="0"/>
              <w:jc w:val="center"/>
              <w:rPr>
                <w:rFonts w:ascii="Times New Roman" w:hAnsi="Times New Roman"/>
                <w:b/>
              </w:rPr>
            </w:pPr>
            <w:r w:rsidRPr="005557FA">
              <w:rPr>
                <w:rFonts w:ascii="Times New Roman" w:hAnsi="Times New Roman"/>
                <w:b/>
              </w:rPr>
              <w:t>Punktu vērtība</w:t>
            </w:r>
          </w:p>
        </w:tc>
      </w:tr>
      <w:tr w:rsidR="0053147A" w:rsidRPr="005557FA" w14:paraId="13F03AEB" w14:textId="77777777" w:rsidTr="00326706">
        <w:trPr>
          <w:jc w:val="center"/>
        </w:trPr>
        <w:tc>
          <w:tcPr>
            <w:tcW w:w="7797" w:type="dxa"/>
            <w:shd w:val="clear" w:color="auto" w:fill="FBE4D5" w:themeFill="accent2" w:themeFillTint="33"/>
          </w:tcPr>
          <w:p w14:paraId="6B3542B2" w14:textId="22EFEA0E" w:rsidR="0053147A" w:rsidRPr="005557FA" w:rsidRDefault="0053147A" w:rsidP="00843B74">
            <w:pPr>
              <w:pStyle w:val="ListParagraph"/>
              <w:spacing w:line="360" w:lineRule="auto"/>
              <w:ind w:left="0"/>
              <w:jc w:val="both"/>
              <w:rPr>
                <w:rFonts w:ascii="Times New Roman" w:hAnsi="Times New Roman"/>
              </w:rPr>
            </w:pPr>
            <w:r w:rsidRPr="005557FA">
              <w:rPr>
                <w:rFonts w:ascii="Times New Roman" w:hAnsi="Times New Roman"/>
              </w:rPr>
              <w:t xml:space="preserve">Īstenošanai nepieciešams </w:t>
            </w:r>
            <w:r w:rsidRPr="005557FA">
              <w:rPr>
                <w:rFonts w:ascii="Times New Roman" w:hAnsi="Times New Roman"/>
                <w:b/>
              </w:rPr>
              <w:t>daudzkārtējs finanšu ieguldījums</w:t>
            </w:r>
            <w:r w:rsidRPr="005557FA">
              <w:rPr>
                <w:rFonts w:ascii="Times New Roman" w:hAnsi="Times New Roman"/>
              </w:rPr>
              <w:t xml:space="preserve">, lai īstenotu nepieciešamo </w:t>
            </w:r>
            <w:r w:rsidRPr="005557FA">
              <w:rPr>
                <w:rFonts w:ascii="Times New Roman" w:hAnsi="Times New Roman"/>
                <w:b/>
              </w:rPr>
              <w:t xml:space="preserve">strukturālu (būvniecība u.c.) vai </w:t>
            </w:r>
            <w:r w:rsidR="006B1F28">
              <w:rPr>
                <w:rFonts w:ascii="Times New Roman" w:hAnsi="Times New Roman"/>
                <w:b/>
              </w:rPr>
              <w:t xml:space="preserve">tehnisku un </w:t>
            </w:r>
            <w:r w:rsidRPr="005557FA">
              <w:rPr>
                <w:rFonts w:ascii="Times New Roman" w:hAnsi="Times New Roman"/>
                <w:b/>
              </w:rPr>
              <w:t>tehnoloģisku</w:t>
            </w:r>
            <w:r w:rsidRPr="005557FA">
              <w:rPr>
                <w:rFonts w:ascii="Times New Roman" w:hAnsi="Times New Roman"/>
              </w:rPr>
              <w:t xml:space="preserve"> pasākuma ieviešanu</w:t>
            </w:r>
          </w:p>
        </w:tc>
        <w:tc>
          <w:tcPr>
            <w:tcW w:w="1270" w:type="dxa"/>
          </w:tcPr>
          <w:p w14:paraId="754C8752" w14:textId="77777777" w:rsidR="0053147A" w:rsidRPr="005557FA" w:rsidRDefault="0053147A" w:rsidP="00843B74">
            <w:pPr>
              <w:pStyle w:val="ListParagraph"/>
              <w:ind w:left="0"/>
              <w:jc w:val="center"/>
              <w:rPr>
                <w:rFonts w:ascii="Times New Roman" w:hAnsi="Times New Roman"/>
              </w:rPr>
            </w:pPr>
            <w:r w:rsidRPr="005557FA">
              <w:rPr>
                <w:rFonts w:ascii="Times New Roman" w:hAnsi="Times New Roman"/>
              </w:rPr>
              <w:t>5</w:t>
            </w:r>
          </w:p>
        </w:tc>
      </w:tr>
      <w:tr w:rsidR="0053147A" w:rsidRPr="005557FA" w14:paraId="6428B7E4" w14:textId="77777777" w:rsidTr="00326706">
        <w:trPr>
          <w:jc w:val="center"/>
        </w:trPr>
        <w:tc>
          <w:tcPr>
            <w:tcW w:w="7797" w:type="dxa"/>
            <w:shd w:val="clear" w:color="auto" w:fill="FBE4D5" w:themeFill="accent2" w:themeFillTint="33"/>
          </w:tcPr>
          <w:p w14:paraId="02111308" w14:textId="77777777" w:rsidR="0053147A" w:rsidRPr="005557FA" w:rsidRDefault="0053147A" w:rsidP="00843B74">
            <w:pPr>
              <w:pStyle w:val="ListParagraph"/>
              <w:spacing w:line="360" w:lineRule="auto"/>
              <w:ind w:left="0"/>
              <w:jc w:val="both"/>
              <w:rPr>
                <w:rFonts w:ascii="Times New Roman" w:hAnsi="Times New Roman"/>
              </w:rPr>
            </w:pPr>
            <w:r w:rsidRPr="005557FA">
              <w:rPr>
                <w:rFonts w:ascii="Times New Roman" w:hAnsi="Times New Roman"/>
              </w:rPr>
              <w:t xml:space="preserve">Īstenošanai nepieciešams </w:t>
            </w:r>
            <w:r w:rsidRPr="005557FA">
              <w:rPr>
                <w:rFonts w:ascii="Times New Roman" w:hAnsi="Times New Roman"/>
                <w:b/>
              </w:rPr>
              <w:t>daudzkārtējs finanšu ieguldījums</w:t>
            </w:r>
            <w:r w:rsidRPr="005557FA">
              <w:rPr>
                <w:rFonts w:ascii="Times New Roman" w:hAnsi="Times New Roman"/>
              </w:rPr>
              <w:t xml:space="preserve">, lai īstenotu nepieciešamo </w:t>
            </w:r>
            <w:r w:rsidRPr="005557FA">
              <w:rPr>
                <w:rFonts w:ascii="Times New Roman" w:hAnsi="Times New Roman"/>
                <w:b/>
              </w:rPr>
              <w:t>organizatorisku</w:t>
            </w:r>
            <w:r w:rsidRPr="005557FA">
              <w:rPr>
                <w:rFonts w:ascii="Times New Roman" w:hAnsi="Times New Roman"/>
              </w:rPr>
              <w:t xml:space="preserve"> pasākuma ieviešanu</w:t>
            </w:r>
          </w:p>
        </w:tc>
        <w:tc>
          <w:tcPr>
            <w:tcW w:w="1270" w:type="dxa"/>
          </w:tcPr>
          <w:p w14:paraId="6413BC39" w14:textId="77777777" w:rsidR="0053147A" w:rsidRPr="005557FA" w:rsidRDefault="0053147A" w:rsidP="00843B74">
            <w:pPr>
              <w:pStyle w:val="ListParagraph"/>
              <w:ind w:left="0"/>
              <w:jc w:val="center"/>
              <w:rPr>
                <w:rFonts w:ascii="Times New Roman" w:hAnsi="Times New Roman"/>
              </w:rPr>
            </w:pPr>
            <w:r w:rsidRPr="005557FA">
              <w:rPr>
                <w:rFonts w:ascii="Times New Roman" w:hAnsi="Times New Roman"/>
              </w:rPr>
              <w:t>4</w:t>
            </w:r>
          </w:p>
        </w:tc>
      </w:tr>
      <w:tr w:rsidR="0053147A" w:rsidRPr="005557FA" w14:paraId="29F1BEA4" w14:textId="77777777" w:rsidTr="00326706">
        <w:trPr>
          <w:jc w:val="center"/>
        </w:trPr>
        <w:tc>
          <w:tcPr>
            <w:tcW w:w="7797" w:type="dxa"/>
            <w:shd w:val="clear" w:color="auto" w:fill="FBE4D5" w:themeFill="accent2" w:themeFillTint="33"/>
          </w:tcPr>
          <w:p w14:paraId="092386DD" w14:textId="4066587C" w:rsidR="0053147A" w:rsidRPr="005557FA" w:rsidRDefault="0053147A" w:rsidP="006B1F28">
            <w:pPr>
              <w:pStyle w:val="ListParagraph"/>
              <w:spacing w:line="360" w:lineRule="auto"/>
              <w:ind w:left="0"/>
              <w:jc w:val="both"/>
              <w:rPr>
                <w:rFonts w:ascii="Times New Roman" w:hAnsi="Times New Roman"/>
              </w:rPr>
            </w:pPr>
            <w:r w:rsidRPr="005557FA">
              <w:rPr>
                <w:rFonts w:ascii="Times New Roman" w:hAnsi="Times New Roman"/>
              </w:rPr>
              <w:t xml:space="preserve">Īstenošanai nepieciešams </w:t>
            </w:r>
            <w:r w:rsidRPr="005557FA">
              <w:rPr>
                <w:rFonts w:ascii="Times New Roman" w:hAnsi="Times New Roman"/>
                <w:b/>
              </w:rPr>
              <w:t>vienreizējais finanšu ieguldījums</w:t>
            </w:r>
            <w:r w:rsidRPr="005557FA">
              <w:rPr>
                <w:rFonts w:ascii="Times New Roman" w:hAnsi="Times New Roman"/>
              </w:rPr>
              <w:t xml:space="preserve">, lai īstenotu </w:t>
            </w:r>
            <w:r w:rsidRPr="005557FA">
              <w:rPr>
                <w:rFonts w:ascii="Times New Roman" w:hAnsi="Times New Roman"/>
                <w:b/>
              </w:rPr>
              <w:t xml:space="preserve">strukturālu (būvniecība u.c.) vai </w:t>
            </w:r>
            <w:r w:rsidR="006B1F28">
              <w:rPr>
                <w:rFonts w:ascii="Times New Roman" w:hAnsi="Times New Roman"/>
                <w:b/>
              </w:rPr>
              <w:t xml:space="preserve">tehnisku un </w:t>
            </w:r>
            <w:r w:rsidRPr="005557FA">
              <w:rPr>
                <w:rFonts w:ascii="Times New Roman" w:hAnsi="Times New Roman"/>
                <w:b/>
              </w:rPr>
              <w:t>tehnoloģisku</w:t>
            </w:r>
            <w:r w:rsidRPr="005557FA">
              <w:rPr>
                <w:rFonts w:ascii="Times New Roman" w:hAnsi="Times New Roman"/>
              </w:rPr>
              <w:t xml:space="preserve"> pasākuma ieviešanu</w:t>
            </w:r>
          </w:p>
        </w:tc>
        <w:tc>
          <w:tcPr>
            <w:tcW w:w="1270" w:type="dxa"/>
          </w:tcPr>
          <w:p w14:paraId="32F98861" w14:textId="77777777" w:rsidR="0053147A" w:rsidRPr="005557FA" w:rsidRDefault="0053147A" w:rsidP="00843B74">
            <w:pPr>
              <w:pStyle w:val="ListParagraph"/>
              <w:ind w:left="0"/>
              <w:jc w:val="center"/>
              <w:rPr>
                <w:rFonts w:ascii="Times New Roman" w:hAnsi="Times New Roman"/>
              </w:rPr>
            </w:pPr>
            <w:r w:rsidRPr="005557FA">
              <w:rPr>
                <w:rFonts w:ascii="Times New Roman" w:hAnsi="Times New Roman"/>
              </w:rPr>
              <w:t>3</w:t>
            </w:r>
          </w:p>
        </w:tc>
      </w:tr>
      <w:tr w:rsidR="0053147A" w:rsidRPr="005557FA" w14:paraId="3C8DD155" w14:textId="77777777" w:rsidTr="00326706">
        <w:trPr>
          <w:jc w:val="center"/>
        </w:trPr>
        <w:tc>
          <w:tcPr>
            <w:tcW w:w="7797" w:type="dxa"/>
            <w:shd w:val="clear" w:color="auto" w:fill="FBE4D5" w:themeFill="accent2" w:themeFillTint="33"/>
          </w:tcPr>
          <w:p w14:paraId="3A2B6568" w14:textId="02D58B26" w:rsidR="0053147A" w:rsidRPr="005557FA" w:rsidRDefault="0053147A" w:rsidP="00843B74">
            <w:pPr>
              <w:pStyle w:val="ListParagraph"/>
              <w:spacing w:line="360" w:lineRule="auto"/>
              <w:ind w:left="0"/>
              <w:jc w:val="both"/>
              <w:rPr>
                <w:rFonts w:ascii="Times New Roman" w:hAnsi="Times New Roman"/>
              </w:rPr>
            </w:pPr>
            <w:r w:rsidRPr="005557FA">
              <w:rPr>
                <w:rFonts w:ascii="Times New Roman" w:hAnsi="Times New Roman"/>
              </w:rPr>
              <w:t xml:space="preserve">Īstenošanai nepieciešams </w:t>
            </w:r>
            <w:r w:rsidRPr="005557FA">
              <w:rPr>
                <w:rFonts w:ascii="Times New Roman" w:hAnsi="Times New Roman"/>
                <w:b/>
              </w:rPr>
              <w:t>vienreizējs finanšu ieguldījums</w:t>
            </w:r>
            <w:r w:rsidRPr="005557FA">
              <w:rPr>
                <w:rFonts w:ascii="Times New Roman" w:hAnsi="Times New Roman"/>
              </w:rPr>
              <w:t xml:space="preserve">, lai īstenotu nepieciešamo </w:t>
            </w:r>
            <w:r w:rsidRPr="007E1AC6">
              <w:rPr>
                <w:rFonts w:ascii="Times New Roman" w:hAnsi="Times New Roman"/>
                <w:b/>
              </w:rPr>
              <w:t xml:space="preserve">organizatorisku </w:t>
            </w:r>
            <w:r w:rsidR="007E1AC6" w:rsidRPr="007E1AC6">
              <w:rPr>
                <w:rFonts w:ascii="Times New Roman" w:hAnsi="Times New Roman"/>
                <w:b/>
              </w:rPr>
              <w:t>(</w:t>
            </w:r>
            <w:r w:rsidR="007E1AC6">
              <w:rPr>
                <w:rFonts w:ascii="Times New Roman" w:hAnsi="Times New Roman"/>
                <w:b/>
              </w:rPr>
              <w:t xml:space="preserve">apmācība, </w:t>
            </w:r>
            <w:r w:rsidR="007E1AC6" w:rsidRPr="007E1AC6">
              <w:rPr>
                <w:rFonts w:ascii="Times New Roman" w:hAnsi="Times New Roman"/>
                <w:b/>
              </w:rPr>
              <w:t>tiesību aktu izstrāde u.c.)</w:t>
            </w:r>
            <w:r w:rsidR="007E1AC6">
              <w:rPr>
                <w:rFonts w:ascii="Times New Roman" w:hAnsi="Times New Roman"/>
              </w:rPr>
              <w:t xml:space="preserve"> </w:t>
            </w:r>
            <w:r w:rsidRPr="005557FA">
              <w:rPr>
                <w:rFonts w:ascii="Times New Roman" w:hAnsi="Times New Roman"/>
              </w:rPr>
              <w:t>pasākuma ieviešanu</w:t>
            </w:r>
          </w:p>
        </w:tc>
        <w:tc>
          <w:tcPr>
            <w:tcW w:w="1270" w:type="dxa"/>
          </w:tcPr>
          <w:p w14:paraId="2DDE19BA" w14:textId="77777777" w:rsidR="0053147A" w:rsidRPr="005557FA" w:rsidRDefault="0053147A" w:rsidP="00843B74">
            <w:pPr>
              <w:pStyle w:val="ListParagraph"/>
              <w:ind w:left="0"/>
              <w:jc w:val="center"/>
              <w:rPr>
                <w:rFonts w:ascii="Times New Roman" w:hAnsi="Times New Roman"/>
              </w:rPr>
            </w:pPr>
            <w:r w:rsidRPr="005557FA">
              <w:rPr>
                <w:rFonts w:ascii="Times New Roman" w:hAnsi="Times New Roman"/>
              </w:rPr>
              <w:t>2</w:t>
            </w:r>
          </w:p>
        </w:tc>
      </w:tr>
      <w:tr w:rsidR="0053147A" w:rsidRPr="005557FA" w14:paraId="5B5F838F" w14:textId="77777777" w:rsidTr="00326706">
        <w:trPr>
          <w:jc w:val="center"/>
        </w:trPr>
        <w:tc>
          <w:tcPr>
            <w:tcW w:w="7797" w:type="dxa"/>
            <w:shd w:val="clear" w:color="auto" w:fill="FBE4D5" w:themeFill="accent2" w:themeFillTint="33"/>
          </w:tcPr>
          <w:p w14:paraId="27A47EC6" w14:textId="65527795" w:rsidR="0053147A" w:rsidRPr="005557FA" w:rsidRDefault="0053147A" w:rsidP="00843B74">
            <w:pPr>
              <w:pStyle w:val="ListParagraph"/>
              <w:spacing w:line="360" w:lineRule="auto"/>
              <w:ind w:left="0"/>
              <w:jc w:val="both"/>
              <w:rPr>
                <w:rFonts w:ascii="Times New Roman" w:hAnsi="Times New Roman"/>
              </w:rPr>
            </w:pPr>
            <w:r w:rsidRPr="005557FA">
              <w:rPr>
                <w:rFonts w:ascii="Times New Roman" w:hAnsi="Times New Roman"/>
              </w:rPr>
              <w:t xml:space="preserve">Pasākuma ieviešanai vai īstenošanai </w:t>
            </w:r>
            <w:r w:rsidRPr="005557FA">
              <w:rPr>
                <w:rFonts w:ascii="Times New Roman" w:hAnsi="Times New Roman"/>
                <w:b/>
              </w:rPr>
              <w:t>nav nepieciešams</w:t>
            </w:r>
            <w:r w:rsidR="00C73F46">
              <w:rPr>
                <w:rFonts w:ascii="Times New Roman" w:hAnsi="Times New Roman"/>
                <w:b/>
              </w:rPr>
              <w:t xml:space="preserve"> jauns</w:t>
            </w:r>
            <w:r w:rsidRPr="005557FA">
              <w:rPr>
                <w:rFonts w:ascii="Times New Roman" w:hAnsi="Times New Roman"/>
              </w:rPr>
              <w:t xml:space="preserve"> </w:t>
            </w:r>
            <w:r w:rsidRPr="005557FA">
              <w:rPr>
                <w:rFonts w:ascii="Times New Roman" w:hAnsi="Times New Roman"/>
                <w:b/>
              </w:rPr>
              <w:t>finanšu ieguldījums</w:t>
            </w:r>
          </w:p>
        </w:tc>
        <w:tc>
          <w:tcPr>
            <w:tcW w:w="1270" w:type="dxa"/>
          </w:tcPr>
          <w:p w14:paraId="6CA0440C" w14:textId="77777777" w:rsidR="0053147A" w:rsidRPr="005557FA" w:rsidRDefault="0053147A" w:rsidP="00843B74">
            <w:pPr>
              <w:pStyle w:val="ListParagraph"/>
              <w:ind w:left="0"/>
              <w:jc w:val="center"/>
              <w:rPr>
                <w:rFonts w:ascii="Times New Roman" w:hAnsi="Times New Roman"/>
              </w:rPr>
            </w:pPr>
            <w:r w:rsidRPr="005557FA">
              <w:rPr>
                <w:rFonts w:ascii="Times New Roman" w:hAnsi="Times New Roman"/>
              </w:rPr>
              <w:t>1</w:t>
            </w:r>
          </w:p>
        </w:tc>
      </w:tr>
    </w:tbl>
    <w:p w14:paraId="0A6EF5CD" w14:textId="77777777" w:rsidR="0053147A" w:rsidRDefault="0053147A" w:rsidP="0053147A">
      <w:pPr>
        <w:spacing w:after="0" w:line="240" w:lineRule="auto"/>
        <w:ind w:left="360"/>
        <w:jc w:val="both"/>
        <w:rPr>
          <w:rFonts w:ascii="Times New Roman" w:hAnsi="Times New Roman"/>
          <w:color w:val="FF0000"/>
          <w:sz w:val="24"/>
          <w:szCs w:val="24"/>
        </w:rPr>
      </w:pPr>
    </w:p>
    <w:p w14:paraId="65B6FAF6" w14:textId="77777777" w:rsidR="00265E0C" w:rsidRDefault="00265E0C" w:rsidP="0053147A">
      <w:pPr>
        <w:spacing w:after="0" w:line="240" w:lineRule="auto"/>
        <w:ind w:left="360"/>
        <w:jc w:val="both"/>
        <w:rPr>
          <w:rFonts w:ascii="Times New Roman" w:hAnsi="Times New Roman"/>
          <w:sz w:val="24"/>
          <w:szCs w:val="24"/>
        </w:rPr>
      </w:pPr>
    </w:p>
    <w:p w14:paraId="4753E4F6" w14:textId="77777777" w:rsidR="005375AA" w:rsidRDefault="005375AA" w:rsidP="0053147A">
      <w:pPr>
        <w:spacing w:after="0" w:line="240" w:lineRule="auto"/>
        <w:ind w:left="360"/>
        <w:jc w:val="both"/>
        <w:rPr>
          <w:rFonts w:ascii="Times New Roman" w:hAnsi="Times New Roman"/>
          <w:sz w:val="24"/>
          <w:szCs w:val="24"/>
        </w:rPr>
      </w:pPr>
    </w:p>
    <w:p w14:paraId="788383EF" w14:textId="77777777" w:rsidR="005375AA" w:rsidRDefault="005375AA" w:rsidP="0053147A">
      <w:pPr>
        <w:spacing w:after="0" w:line="240" w:lineRule="auto"/>
        <w:ind w:left="360"/>
        <w:jc w:val="both"/>
        <w:rPr>
          <w:rFonts w:ascii="Times New Roman" w:hAnsi="Times New Roman"/>
          <w:sz w:val="24"/>
          <w:szCs w:val="24"/>
        </w:rPr>
      </w:pPr>
    </w:p>
    <w:p w14:paraId="68696E78" w14:textId="77777777" w:rsidR="005375AA" w:rsidRDefault="005375AA" w:rsidP="0053147A">
      <w:pPr>
        <w:spacing w:after="0" w:line="240" w:lineRule="auto"/>
        <w:ind w:left="360"/>
        <w:jc w:val="both"/>
        <w:rPr>
          <w:rFonts w:ascii="Times New Roman" w:hAnsi="Times New Roman"/>
          <w:sz w:val="24"/>
          <w:szCs w:val="24"/>
        </w:rPr>
      </w:pPr>
    </w:p>
    <w:p w14:paraId="2FBFDB2B" w14:textId="77777777" w:rsidR="005375AA" w:rsidRDefault="005375AA" w:rsidP="0053147A">
      <w:pPr>
        <w:spacing w:after="0" w:line="240" w:lineRule="auto"/>
        <w:ind w:left="360"/>
        <w:jc w:val="both"/>
        <w:rPr>
          <w:rFonts w:ascii="Times New Roman" w:hAnsi="Times New Roman"/>
          <w:sz w:val="24"/>
          <w:szCs w:val="24"/>
        </w:rPr>
      </w:pPr>
    </w:p>
    <w:p w14:paraId="6E47D7D6" w14:textId="77777777" w:rsidR="005375AA" w:rsidRPr="0078343F" w:rsidRDefault="005375AA" w:rsidP="0053147A">
      <w:pPr>
        <w:spacing w:after="0" w:line="240" w:lineRule="auto"/>
        <w:ind w:left="360"/>
        <w:jc w:val="both"/>
        <w:rPr>
          <w:rFonts w:ascii="Times New Roman" w:hAnsi="Times New Roman"/>
          <w:sz w:val="24"/>
          <w:szCs w:val="24"/>
        </w:rPr>
      </w:pPr>
    </w:p>
    <w:p w14:paraId="4193BC22" w14:textId="30F83D3E" w:rsidR="00186BB8" w:rsidRPr="0078343F" w:rsidRDefault="00843B74" w:rsidP="0078343F">
      <w:pPr>
        <w:pStyle w:val="ListParagraph"/>
        <w:numPr>
          <w:ilvl w:val="0"/>
          <w:numId w:val="3"/>
        </w:numPr>
        <w:spacing w:after="0" w:line="240" w:lineRule="auto"/>
        <w:jc w:val="both"/>
        <w:rPr>
          <w:rFonts w:ascii="Times New Roman" w:hAnsi="Times New Roman"/>
          <w:sz w:val="24"/>
          <w:szCs w:val="24"/>
        </w:rPr>
      </w:pPr>
      <w:r w:rsidRPr="0078343F">
        <w:rPr>
          <w:rFonts w:ascii="Times New Roman" w:hAnsi="Times New Roman"/>
          <w:b/>
          <w:sz w:val="24"/>
          <w:szCs w:val="24"/>
        </w:rPr>
        <w:t>L</w:t>
      </w:r>
      <w:r w:rsidR="00186BB8" w:rsidRPr="0078343F">
        <w:rPr>
          <w:rFonts w:ascii="Times New Roman" w:hAnsi="Times New Roman"/>
          <w:b/>
          <w:sz w:val="24"/>
          <w:szCs w:val="24"/>
        </w:rPr>
        <w:t>ai noteiktu katastrofas pārv</w:t>
      </w:r>
      <w:r w:rsidRPr="0078343F">
        <w:rPr>
          <w:rFonts w:ascii="Times New Roman" w:hAnsi="Times New Roman"/>
          <w:b/>
          <w:sz w:val="24"/>
          <w:szCs w:val="24"/>
        </w:rPr>
        <w:t xml:space="preserve">aldīšanas pasākumu </w:t>
      </w:r>
      <w:r w:rsidR="0078343F" w:rsidRPr="0078343F">
        <w:rPr>
          <w:rFonts w:ascii="Times New Roman" w:hAnsi="Times New Roman"/>
          <w:b/>
          <w:sz w:val="24"/>
          <w:szCs w:val="24"/>
        </w:rPr>
        <w:t>EFEKTIVITĀTI</w:t>
      </w:r>
      <w:r w:rsidRPr="0078343F">
        <w:rPr>
          <w:rFonts w:ascii="Times New Roman" w:hAnsi="Times New Roman"/>
          <w:sz w:val="24"/>
          <w:szCs w:val="24"/>
        </w:rPr>
        <w:t>, tiek izmantota izmaksu un ieguvumu attiecība vai proporcija</w:t>
      </w:r>
      <w:r w:rsidR="0078343F" w:rsidRPr="0078343F">
        <w:rPr>
          <w:rFonts w:ascii="Times New Roman" w:hAnsi="Times New Roman"/>
          <w:sz w:val="24"/>
          <w:szCs w:val="24"/>
        </w:rPr>
        <w:t xml:space="preserve">. No apdraudējuma vidējās ekonomiskās ietekmes, </w:t>
      </w:r>
      <w:r w:rsidRPr="0078343F">
        <w:rPr>
          <w:rFonts w:ascii="Times New Roman" w:hAnsi="Times New Roman"/>
          <w:sz w:val="24"/>
          <w:szCs w:val="24"/>
        </w:rPr>
        <w:t xml:space="preserve">saskaņā ar </w:t>
      </w:r>
      <w:r w:rsidR="0078343F" w:rsidRPr="0078343F">
        <w:rPr>
          <w:rFonts w:ascii="Times New Roman" w:hAnsi="Times New Roman"/>
          <w:sz w:val="24"/>
          <w:szCs w:val="24"/>
        </w:rPr>
        <w:t xml:space="preserve">katastrofu riska novērtēšanas metodiku un riska kopsavilkuma (riska matricā) rezultātu, tiek matemātiski atņemta katastrofas pārvaldīšanas pasākuma īstenošanas izmaksu indikatīvā vērtība </w:t>
      </w:r>
      <w:r w:rsidRPr="0078343F">
        <w:rPr>
          <w:rFonts w:ascii="Times New Roman" w:hAnsi="Times New Roman"/>
          <w:sz w:val="24"/>
          <w:szCs w:val="24"/>
        </w:rPr>
        <w:t>(ja ieguldījumu summa ir zināma).</w:t>
      </w:r>
      <w:r w:rsidR="0078343F" w:rsidRPr="0078343F">
        <w:rPr>
          <w:rFonts w:ascii="Times New Roman" w:hAnsi="Times New Roman"/>
          <w:sz w:val="24"/>
          <w:szCs w:val="24"/>
        </w:rPr>
        <w:t xml:space="preserve"> </w:t>
      </w:r>
      <w:r w:rsidR="00A5287F" w:rsidRPr="0078343F">
        <w:rPr>
          <w:rFonts w:ascii="Times New Roman" w:hAnsi="Times New Roman"/>
          <w:sz w:val="24"/>
          <w:szCs w:val="24"/>
        </w:rPr>
        <w:t>Pēc novērtēšanas, jo lielāka punktu vērtība (vai kumulatīvā/</w:t>
      </w:r>
      <w:r w:rsidR="0078343F" w:rsidRPr="0078343F">
        <w:rPr>
          <w:rFonts w:ascii="Times New Roman" w:hAnsi="Times New Roman"/>
          <w:sz w:val="24"/>
          <w:szCs w:val="24"/>
        </w:rPr>
        <w:t>uzkrātā punktu vērtība</w:t>
      </w:r>
      <w:r w:rsidR="00A5287F" w:rsidRPr="0078343F">
        <w:rPr>
          <w:rFonts w:ascii="Times New Roman" w:hAnsi="Times New Roman"/>
          <w:sz w:val="24"/>
          <w:szCs w:val="24"/>
        </w:rPr>
        <w:t xml:space="preserve">, </w:t>
      </w:r>
      <w:r w:rsidR="0078343F" w:rsidRPr="0078343F">
        <w:rPr>
          <w:rFonts w:ascii="Times New Roman" w:hAnsi="Times New Roman"/>
          <w:sz w:val="24"/>
          <w:szCs w:val="24"/>
        </w:rPr>
        <w:t>j</w:t>
      </w:r>
      <w:r w:rsidR="00A5287F" w:rsidRPr="0078343F">
        <w:rPr>
          <w:rFonts w:ascii="Times New Roman" w:hAnsi="Times New Roman"/>
          <w:sz w:val="24"/>
          <w:szCs w:val="24"/>
        </w:rPr>
        <w:t xml:space="preserve">a pasākums iekļauts vairākos apdraudējumos), jo </w:t>
      </w:r>
      <w:r w:rsidR="0078343F" w:rsidRPr="0078343F">
        <w:rPr>
          <w:rFonts w:ascii="Times New Roman" w:hAnsi="Times New Roman"/>
          <w:sz w:val="24"/>
          <w:szCs w:val="24"/>
        </w:rPr>
        <w:t xml:space="preserve">lielāka pasākuma ieviešanas efektivitāte </w:t>
      </w:r>
      <w:r w:rsidR="006A3B45" w:rsidRPr="0078343F">
        <w:rPr>
          <w:rFonts w:ascii="Times New Roman" w:hAnsi="Times New Roman"/>
          <w:sz w:val="24"/>
          <w:szCs w:val="24"/>
        </w:rPr>
        <w:t>(skatīt 4.tabulā);</w:t>
      </w:r>
    </w:p>
    <w:p w14:paraId="53B257B9" w14:textId="77777777" w:rsidR="0053147A" w:rsidRDefault="0053147A" w:rsidP="0053147A">
      <w:pPr>
        <w:spacing w:after="0" w:line="240" w:lineRule="auto"/>
        <w:ind w:left="360"/>
        <w:jc w:val="both"/>
        <w:rPr>
          <w:rFonts w:ascii="Times New Roman" w:hAnsi="Times New Roman"/>
          <w:color w:val="FF0000"/>
          <w:sz w:val="24"/>
          <w:szCs w:val="24"/>
        </w:rPr>
      </w:pPr>
    </w:p>
    <w:p w14:paraId="55301711" w14:textId="77777777" w:rsidR="005375AA" w:rsidRDefault="005375AA" w:rsidP="0053147A">
      <w:pPr>
        <w:spacing w:after="0" w:line="240" w:lineRule="auto"/>
        <w:ind w:left="360"/>
        <w:jc w:val="both"/>
        <w:rPr>
          <w:rFonts w:ascii="Times New Roman" w:hAnsi="Times New Roman"/>
          <w:color w:val="FF0000"/>
          <w:sz w:val="24"/>
          <w:szCs w:val="24"/>
        </w:rPr>
      </w:pPr>
    </w:p>
    <w:p w14:paraId="1BAEF68F" w14:textId="666FFEB8" w:rsidR="007C7419" w:rsidRPr="007D73DB" w:rsidRDefault="007C7419" w:rsidP="007C7419">
      <w:pPr>
        <w:spacing w:after="0" w:line="240" w:lineRule="auto"/>
        <w:rPr>
          <w:rFonts w:ascii="Times New Roman" w:hAnsi="Times New Roman"/>
          <w:i/>
        </w:rPr>
      </w:pPr>
      <w:r w:rsidRPr="007D73DB">
        <w:rPr>
          <w:rFonts w:ascii="Times New Roman" w:hAnsi="Times New Roman"/>
          <w:i/>
        </w:rPr>
        <w:t xml:space="preserve">4.tabula. Katastrofas pārvaldīšanas pasākumu </w:t>
      </w:r>
      <w:r w:rsidR="00A331ED" w:rsidRPr="007D73DB">
        <w:rPr>
          <w:rFonts w:ascii="Times New Roman" w:hAnsi="Times New Roman"/>
          <w:i/>
        </w:rPr>
        <w:t>efektivitātes</w:t>
      </w:r>
      <w:r w:rsidRPr="007D73DB">
        <w:rPr>
          <w:rFonts w:ascii="Times New Roman" w:hAnsi="Times New Roman"/>
          <w:i/>
        </w:rPr>
        <w:t xml:space="preserve"> novērtēšanas faktori</w:t>
      </w:r>
    </w:p>
    <w:tbl>
      <w:tblPr>
        <w:tblStyle w:val="TableGrid"/>
        <w:tblW w:w="0" w:type="auto"/>
        <w:jc w:val="center"/>
        <w:tblLook w:val="04A0" w:firstRow="1" w:lastRow="0" w:firstColumn="1" w:lastColumn="0" w:noHBand="0" w:noVBand="1"/>
      </w:tblPr>
      <w:tblGrid>
        <w:gridCol w:w="2405"/>
        <w:gridCol w:w="6379"/>
        <w:gridCol w:w="992"/>
      </w:tblGrid>
      <w:tr w:rsidR="007C7419" w:rsidRPr="007D73DB" w14:paraId="3F3964FE" w14:textId="77777777" w:rsidTr="007D73DB">
        <w:trPr>
          <w:jc w:val="center"/>
        </w:trPr>
        <w:tc>
          <w:tcPr>
            <w:tcW w:w="2405" w:type="dxa"/>
            <w:shd w:val="clear" w:color="auto" w:fill="D9D9D9" w:themeFill="background1" w:themeFillShade="D9"/>
          </w:tcPr>
          <w:p w14:paraId="223592AF" w14:textId="77777777" w:rsidR="007C7419" w:rsidRPr="007D73DB" w:rsidRDefault="007C7419" w:rsidP="002911E4">
            <w:pPr>
              <w:pStyle w:val="ListParagraph"/>
              <w:spacing w:line="360" w:lineRule="auto"/>
              <w:ind w:left="0"/>
              <w:jc w:val="center"/>
              <w:rPr>
                <w:rFonts w:ascii="Times New Roman" w:hAnsi="Times New Roman"/>
                <w:b/>
              </w:rPr>
            </w:pPr>
            <w:r w:rsidRPr="007D73DB">
              <w:rPr>
                <w:rFonts w:ascii="Times New Roman" w:hAnsi="Times New Roman"/>
                <w:b/>
              </w:rPr>
              <w:t>Pasākuma raksturojums</w:t>
            </w:r>
          </w:p>
        </w:tc>
        <w:tc>
          <w:tcPr>
            <w:tcW w:w="6379" w:type="dxa"/>
            <w:shd w:val="clear" w:color="auto" w:fill="D9D9D9" w:themeFill="background1" w:themeFillShade="D9"/>
          </w:tcPr>
          <w:p w14:paraId="7C490908" w14:textId="77777777" w:rsidR="007C7419" w:rsidRPr="007D73DB" w:rsidRDefault="007C7419" w:rsidP="002911E4">
            <w:pPr>
              <w:pStyle w:val="ListParagraph"/>
              <w:spacing w:line="360" w:lineRule="auto"/>
              <w:ind w:left="0"/>
              <w:jc w:val="center"/>
              <w:rPr>
                <w:rFonts w:ascii="Times New Roman" w:hAnsi="Times New Roman"/>
                <w:b/>
              </w:rPr>
            </w:pPr>
            <w:r w:rsidRPr="007D73DB">
              <w:rPr>
                <w:rFonts w:ascii="Times New Roman" w:hAnsi="Times New Roman"/>
                <w:b/>
              </w:rPr>
              <w:t>Novērtējuma raksturojums</w:t>
            </w:r>
          </w:p>
        </w:tc>
        <w:tc>
          <w:tcPr>
            <w:tcW w:w="992" w:type="dxa"/>
            <w:shd w:val="clear" w:color="auto" w:fill="D9D9D9" w:themeFill="background1" w:themeFillShade="D9"/>
          </w:tcPr>
          <w:p w14:paraId="18EC605C" w14:textId="77777777" w:rsidR="007C7419" w:rsidRPr="007D73DB" w:rsidRDefault="007C7419" w:rsidP="002911E4">
            <w:pPr>
              <w:pStyle w:val="ListParagraph"/>
              <w:spacing w:line="360" w:lineRule="auto"/>
              <w:ind w:left="0"/>
              <w:jc w:val="center"/>
              <w:rPr>
                <w:rFonts w:ascii="Times New Roman" w:hAnsi="Times New Roman"/>
                <w:b/>
              </w:rPr>
            </w:pPr>
            <w:r w:rsidRPr="007D73DB">
              <w:rPr>
                <w:rFonts w:ascii="Times New Roman" w:hAnsi="Times New Roman"/>
                <w:b/>
              </w:rPr>
              <w:t>Punktu vērtība</w:t>
            </w:r>
          </w:p>
        </w:tc>
      </w:tr>
      <w:tr w:rsidR="007C7419" w:rsidRPr="00265E0C" w14:paraId="30ECB9F8" w14:textId="77777777" w:rsidTr="007D73DB">
        <w:trPr>
          <w:jc w:val="center"/>
        </w:trPr>
        <w:tc>
          <w:tcPr>
            <w:tcW w:w="2405" w:type="dxa"/>
            <w:vMerge w:val="restart"/>
            <w:shd w:val="clear" w:color="auto" w:fill="FBE4D5" w:themeFill="accent2" w:themeFillTint="33"/>
          </w:tcPr>
          <w:p w14:paraId="17E42743" w14:textId="77777777" w:rsidR="007C7419" w:rsidRDefault="007C7419" w:rsidP="002911E4">
            <w:pPr>
              <w:pStyle w:val="ListParagraph"/>
              <w:spacing w:line="360" w:lineRule="auto"/>
              <w:ind w:left="0"/>
              <w:jc w:val="both"/>
              <w:rPr>
                <w:rFonts w:ascii="Times New Roman" w:hAnsi="Times New Roman"/>
                <w:sz w:val="20"/>
                <w:szCs w:val="20"/>
              </w:rPr>
            </w:pPr>
          </w:p>
          <w:p w14:paraId="26C2F7A7" w14:textId="77777777" w:rsidR="007C7419" w:rsidRDefault="007C7419" w:rsidP="002911E4">
            <w:pPr>
              <w:pStyle w:val="ListParagraph"/>
              <w:spacing w:line="360" w:lineRule="auto"/>
              <w:ind w:left="0"/>
              <w:jc w:val="both"/>
              <w:rPr>
                <w:rFonts w:ascii="Times New Roman" w:hAnsi="Times New Roman"/>
                <w:sz w:val="20"/>
                <w:szCs w:val="20"/>
              </w:rPr>
            </w:pPr>
          </w:p>
          <w:p w14:paraId="20A391FE" w14:textId="77777777" w:rsidR="007C7419" w:rsidRDefault="007C7419" w:rsidP="002911E4">
            <w:pPr>
              <w:pStyle w:val="ListParagraph"/>
              <w:spacing w:line="360" w:lineRule="auto"/>
              <w:ind w:left="0"/>
              <w:jc w:val="both"/>
              <w:rPr>
                <w:rFonts w:ascii="Times New Roman" w:hAnsi="Times New Roman"/>
                <w:sz w:val="20"/>
                <w:szCs w:val="20"/>
              </w:rPr>
            </w:pPr>
          </w:p>
          <w:p w14:paraId="3E248C53" w14:textId="77777777" w:rsidR="007C7419" w:rsidRPr="007D73DB" w:rsidRDefault="007C7419" w:rsidP="002911E4">
            <w:pPr>
              <w:pStyle w:val="ListParagraph"/>
              <w:spacing w:line="360" w:lineRule="auto"/>
              <w:ind w:left="0"/>
              <w:jc w:val="both"/>
              <w:rPr>
                <w:rFonts w:ascii="Times New Roman" w:hAnsi="Times New Roman"/>
              </w:rPr>
            </w:pPr>
            <w:r w:rsidRPr="007D73DB">
              <w:rPr>
                <w:rFonts w:ascii="Times New Roman" w:hAnsi="Times New Roman"/>
              </w:rPr>
              <w:t>Apdraudējuma vidējā ekonomiskā ietekme* attiecībā pret pasākuma īstenošanas izmaksu indikatīvo vērtību**</w:t>
            </w:r>
          </w:p>
        </w:tc>
        <w:tc>
          <w:tcPr>
            <w:tcW w:w="6379" w:type="dxa"/>
          </w:tcPr>
          <w:p w14:paraId="1B2817D5" w14:textId="77777777" w:rsidR="007C7419" w:rsidRPr="007D73DB" w:rsidRDefault="007C7419" w:rsidP="00020080">
            <w:pPr>
              <w:pStyle w:val="ListParagraph"/>
              <w:ind w:left="0"/>
              <w:jc w:val="both"/>
              <w:rPr>
                <w:rFonts w:ascii="Times New Roman" w:hAnsi="Times New Roman"/>
              </w:rPr>
            </w:pPr>
            <w:r w:rsidRPr="007D73DB">
              <w:rPr>
                <w:rFonts w:ascii="Times New Roman" w:hAnsi="Times New Roman"/>
              </w:rPr>
              <w:t xml:space="preserve">Pasākuma ieviešanas vai īstenošanas indikatīvās </w:t>
            </w:r>
            <w:r w:rsidRPr="007D73DB">
              <w:rPr>
                <w:rFonts w:ascii="Times New Roman" w:hAnsi="Times New Roman"/>
                <w:b/>
              </w:rPr>
              <w:t>izmaksas ir nezināmas</w:t>
            </w:r>
          </w:p>
        </w:tc>
        <w:tc>
          <w:tcPr>
            <w:tcW w:w="992" w:type="dxa"/>
          </w:tcPr>
          <w:p w14:paraId="6C270B63" w14:textId="77777777" w:rsidR="007C7419" w:rsidRPr="007D73DB" w:rsidRDefault="007C7419" w:rsidP="002911E4">
            <w:pPr>
              <w:pStyle w:val="ListParagraph"/>
              <w:spacing w:line="360" w:lineRule="auto"/>
              <w:ind w:left="0"/>
              <w:jc w:val="center"/>
              <w:rPr>
                <w:rFonts w:ascii="Times New Roman" w:hAnsi="Times New Roman"/>
              </w:rPr>
            </w:pPr>
            <w:r w:rsidRPr="007D73DB">
              <w:rPr>
                <w:rFonts w:ascii="Times New Roman" w:hAnsi="Times New Roman"/>
              </w:rPr>
              <w:t>1</w:t>
            </w:r>
          </w:p>
        </w:tc>
      </w:tr>
      <w:tr w:rsidR="007C7419" w:rsidRPr="00265E0C" w14:paraId="5D115160" w14:textId="77777777" w:rsidTr="007D73DB">
        <w:trPr>
          <w:jc w:val="center"/>
        </w:trPr>
        <w:tc>
          <w:tcPr>
            <w:tcW w:w="2405" w:type="dxa"/>
            <w:vMerge/>
            <w:shd w:val="clear" w:color="auto" w:fill="FBE4D5" w:themeFill="accent2" w:themeFillTint="33"/>
          </w:tcPr>
          <w:p w14:paraId="04A7333E" w14:textId="77777777" w:rsidR="007C7419" w:rsidRPr="00265E0C" w:rsidRDefault="007C7419" w:rsidP="002911E4">
            <w:pPr>
              <w:pStyle w:val="ListParagraph"/>
              <w:spacing w:line="360" w:lineRule="auto"/>
              <w:ind w:left="0"/>
              <w:jc w:val="both"/>
              <w:rPr>
                <w:rFonts w:ascii="Times New Roman" w:hAnsi="Times New Roman"/>
                <w:sz w:val="20"/>
                <w:szCs w:val="20"/>
              </w:rPr>
            </w:pPr>
          </w:p>
        </w:tc>
        <w:tc>
          <w:tcPr>
            <w:tcW w:w="6379" w:type="dxa"/>
          </w:tcPr>
          <w:p w14:paraId="1D658454" w14:textId="77777777" w:rsidR="007C7419" w:rsidRPr="007D73DB" w:rsidRDefault="007C7419" w:rsidP="00020080">
            <w:pPr>
              <w:pStyle w:val="ListParagraph"/>
              <w:ind w:left="0"/>
              <w:jc w:val="both"/>
              <w:rPr>
                <w:rFonts w:ascii="Times New Roman" w:hAnsi="Times New Roman"/>
                <w:b/>
              </w:rPr>
            </w:pPr>
            <w:r w:rsidRPr="007D73DB">
              <w:rPr>
                <w:rFonts w:ascii="Times New Roman" w:hAnsi="Times New Roman"/>
              </w:rPr>
              <w:t xml:space="preserve">No vidējās ekonomiskās ietekmes vērtības </w:t>
            </w:r>
            <w:r w:rsidRPr="007D73DB">
              <w:rPr>
                <w:rFonts w:ascii="Times New Roman" w:hAnsi="Times New Roman"/>
                <w:b/>
              </w:rPr>
              <w:t>jāatņem</w:t>
            </w:r>
            <w:r w:rsidRPr="007D73DB">
              <w:rPr>
                <w:rFonts w:ascii="Times New Roman" w:hAnsi="Times New Roman"/>
              </w:rPr>
              <w:t xml:space="preserve"> pasākuma īstenošanas indikatīvā izmaksu vērtība = </w:t>
            </w:r>
            <w:r w:rsidRPr="007D73DB">
              <w:rPr>
                <w:rFonts w:ascii="Times New Roman" w:hAnsi="Times New Roman"/>
                <w:b/>
              </w:rPr>
              <w:t>rezultāts ir negatīvs</w:t>
            </w:r>
          </w:p>
          <w:p w14:paraId="5A9243D6" w14:textId="77777777" w:rsidR="007C7419" w:rsidRDefault="007C7419" w:rsidP="002911E4">
            <w:pPr>
              <w:pStyle w:val="ListParagraph"/>
              <w:ind w:left="0"/>
              <w:jc w:val="both"/>
              <w:rPr>
                <w:rFonts w:ascii="Times New Roman" w:hAnsi="Times New Roman"/>
                <w:sz w:val="20"/>
                <w:szCs w:val="20"/>
              </w:rPr>
            </w:pPr>
          </w:p>
          <w:p w14:paraId="384140DC" w14:textId="77777777" w:rsidR="007C7419" w:rsidRPr="00387E5A" w:rsidRDefault="007C7419" w:rsidP="002911E4">
            <w:pPr>
              <w:pStyle w:val="ListParagraph"/>
              <w:ind w:left="0"/>
              <w:jc w:val="both"/>
              <w:rPr>
                <w:rFonts w:ascii="Times New Roman" w:hAnsi="Times New Roman"/>
                <w:i/>
                <w:sz w:val="16"/>
                <w:szCs w:val="16"/>
              </w:rPr>
            </w:pPr>
            <w:r w:rsidRPr="00020080">
              <w:rPr>
                <w:rFonts w:ascii="Times New Roman" w:hAnsi="Times New Roman"/>
                <w:i/>
                <w:color w:val="5B9BD5" w:themeColor="accent1"/>
                <w:sz w:val="16"/>
                <w:szCs w:val="16"/>
              </w:rPr>
              <w:t>Piemērs: ja atbilstoši katastrofu riska novērtēšanas metodikai vidējā ekonomiskā ietekme (vērtība) ir 110 mij. eiro, bet pasākuma indikatīvās izmaksas ir 15 milj. eiro, tad novērtējuma rezultāts: 110-150 = -40 milj. eiro</w:t>
            </w:r>
          </w:p>
        </w:tc>
        <w:tc>
          <w:tcPr>
            <w:tcW w:w="992" w:type="dxa"/>
          </w:tcPr>
          <w:p w14:paraId="3A6202C7" w14:textId="77777777" w:rsidR="007C7419" w:rsidRPr="007D73DB" w:rsidRDefault="007C7419" w:rsidP="002911E4">
            <w:pPr>
              <w:pStyle w:val="ListParagraph"/>
              <w:spacing w:line="360" w:lineRule="auto"/>
              <w:ind w:left="0"/>
              <w:jc w:val="center"/>
              <w:rPr>
                <w:rFonts w:ascii="Times New Roman" w:hAnsi="Times New Roman"/>
              </w:rPr>
            </w:pPr>
            <w:r w:rsidRPr="007D73DB">
              <w:rPr>
                <w:rFonts w:ascii="Times New Roman" w:hAnsi="Times New Roman"/>
              </w:rPr>
              <w:t>2</w:t>
            </w:r>
          </w:p>
        </w:tc>
      </w:tr>
      <w:tr w:rsidR="007C7419" w:rsidRPr="00265E0C" w14:paraId="5FBD7699" w14:textId="77777777" w:rsidTr="007D73DB">
        <w:trPr>
          <w:jc w:val="center"/>
        </w:trPr>
        <w:tc>
          <w:tcPr>
            <w:tcW w:w="2405" w:type="dxa"/>
            <w:vMerge/>
            <w:shd w:val="clear" w:color="auto" w:fill="FBE4D5" w:themeFill="accent2" w:themeFillTint="33"/>
          </w:tcPr>
          <w:p w14:paraId="7C6BBBD8" w14:textId="77777777" w:rsidR="007C7419" w:rsidRPr="00265E0C" w:rsidRDefault="007C7419" w:rsidP="002911E4">
            <w:pPr>
              <w:pStyle w:val="ListParagraph"/>
              <w:spacing w:line="360" w:lineRule="auto"/>
              <w:ind w:left="0"/>
              <w:jc w:val="both"/>
              <w:rPr>
                <w:rFonts w:ascii="Times New Roman" w:hAnsi="Times New Roman"/>
                <w:sz w:val="20"/>
                <w:szCs w:val="20"/>
              </w:rPr>
            </w:pPr>
          </w:p>
        </w:tc>
        <w:tc>
          <w:tcPr>
            <w:tcW w:w="6379" w:type="dxa"/>
          </w:tcPr>
          <w:p w14:paraId="4C1243DB" w14:textId="77777777" w:rsidR="007C7419" w:rsidRPr="007D73DB" w:rsidRDefault="007C7419" w:rsidP="00020080">
            <w:pPr>
              <w:pStyle w:val="ListParagraph"/>
              <w:ind w:left="0"/>
              <w:jc w:val="both"/>
              <w:rPr>
                <w:rFonts w:ascii="Times New Roman" w:hAnsi="Times New Roman"/>
                <w:b/>
              </w:rPr>
            </w:pPr>
            <w:r w:rsidRPr="007D73DB">
              <w:rPr>
                <w:rFonts w:ascii="Times New Roman" w:hAnsi="Times New Roman"/>
              </w:rPr>
              <w:t xml:space="preserve">No vidējās ekonomiskās ietekmes vērtības </w:t>
            </w:r>
            <w:r w:rsidRPr="007D73DB">
              <w:rPr>
                <w:rFonts w:ascii="Times New Roman" w:hAnsi="Times New Roman"/>
                <w:b/>
              </w:rPr>
              <w:t>jāatņem</w:t>
            </w:r>
            <w:r w:rsidRPr="007D73DB">
              <w:rPr>
                <w:rFonts w:ascii="Times New Roman" w:hAnsi="Times New Roman"/>
              </w:rPr>
              <w:t xml:space="preserve"> pasākuma īstenošanas indikatīvā izmaksu vērtība = </w:t>
            </w:r>
            <w:r w:rsidRPr="007D73DB">
              <w:rPr>
                <w:rFonts w:ascii="Times New Roman" w:hAnsi="Times New Roman"/>
                <w:b/>
              </w:rPr>
              <w:t>rezultāts ir nulle (neitrāls)</w:t>
            </w:r>
          </w:p>
          <w:p w14:paraId="73C20218" w14:textId="77777777" w:rsidR="007C7419" w:rsidRDefault="007C7419" w:rsidP="00020080">
            <w:pPr>
              <w:pStyle w:val="ListParagraph"/>
              <w:ind w:left="0"/>
              <w:jc w:val="both"/>
              <w:rPr>
                <w:rFonts w:ascii="Times New Roman" w:hAnsi="Times New Roman"/>
                <w:sz w:val="20"/>
                <w:szCs w:val="20"/>
              </w:rPr>
            </w:pPr>
          </w:p>
          <w:p w14:paraId="74D7553E" w14:textId="77777777" w:rsidR="007C7419" w:rsidRPr="00265E0C" w:rsidRDefault="007C7419" w:rsidP="002911E4">
            <w:pPr>
              <w:pStyle w:val="ListParagraph"/>
              <w:ind w:left="0"/>
              <w:jc w:val="both"/>
              <w:rPr>
                <w:rFonts w:ascii="Times New Roman" w:hAnsi="Times New Roman"/>
                <w:sz w:val="20"/>
                <w:szCs w:val="20"/>
              </w:rPr>
            </w:pPr>
            <w:r w:rsidRPr="00020080">
              <w:rPr>
                <w:rFonts w:ascii="Times New Roman" w:hAnsi="Times New Roman"/>
                <w:i/>
                <w:color w:val="5B9BD5" w:themeColor="accent1"/>
                <w:sz w:val="16"/>
                <w:szCs w:val="16"/>
              </w:rPr>
              <w:t>Piemērs: ja atbilstoši katastrofu riska novērtēšanas metodikai vidējā ekonomiskā ietekme (vērtība) ir 110 mij. eiro, bet pasākuma indikatīvās izmaksas ir 110 milj. eiro, tad novērtējuma rezultāts: 110-110 = 0 eiro</w:t>
            </w:r>
          </w:p>
        </w:tc>
        <w:tc>
          <w:tcPr>
            <w:tcW w:w="992" w:type="dxa"/>
          </w:tcPr>
          <w:p w14:paraId="03EE158D" w14:textId="77777777" w:rsidR="007C7419" w:rsidRPr="007D73DB" w:rsidRDefault="007C7419" w:rsidP="002911E4">
            <w:pPr>
              <w:pStyle w:val="ListParagraph"/>
              <w:spacing w:line="360" w:lineRule="auto"/>
              <w:ind w:left="0"/>
              <w:jc w:val="center"/>
              <w:rPr>
                <w:rFonts w:ascii="Times New Roman" w:hAnsi="Times New Roman"/>
              </w:rPr>
            </w:pPr>
            <w:r w:rsidRPr="007D73DB">
              <w:rPr>
                <w:rFonts w:ascii="Times New Roman" w:hAnsi="Times New Roman"/>
              </w:rPr>
              <w:t>3</w:t>
            </w:r>
          </w:p>
        </w:tc>
      </w:tr>
      <w:tr w:rsidR="007C7419" w:rsidRPr="00265E0C" w14:paraId="425DF503" w14:textId="77777777" w:rsidTr="007D73DB">
        <w:trPr>
          <w:jc w:val="center"/>
        </w:trPr>
        <w:tc>
          <w:tcPr>
            <w:tcW w:w="2405" w:type="dxa"/>
            <w:vMerge/>
            <w:shd w:val="clear" w:color="auto" w:fill="FBE4D5" w:themeFill="accent2" w:themeFillTint="33"/>
          </w:tcPr>
          <w:p w14:paraId="027BA427" w14:textId="77777777" w:rsidR="007C7419" w:rsidRPr="00265E0C" w:rsidRDefault="007C7419" w:rsidP="002911E4">
            <w:pPr>
              <w:pStyle w:val="ListParagraph"/>
              <w:spacing w:line="360" w:lineRule="auto"/>
              <w:ind w:left="0"/>
              <w:jc w:val="both"/>
              <w:rPr>
                <w:rFonts w:ascii="Times New Roman" w:hAnsi="Times New Roman"/>
                <w:sz w:val="20"/>
                <w:szCs w:val="20"/>
              </w:rPr>
            </w:pPr>
          </w:p>
        </w:tc>
        <w:tc>
          <w:tcPr>
            <w:tcW w:w="6379" w:type="dxa"/>
          </w:tcPr>
          <w:p w14:paraId="5C55141A" w14:textId="77777777" w:rsidR="007C7419" w:rsidRPr="007D73DB" w:rsidRDefault="007C7419" w:rsidP="00020080">
            <w:pPr>
              <w:pStyle w:val="ListParagraph"/>
              <w:ind w:left="0"/>
              <w:jc w:val="both"/>
              <w:rPr>
                <w:rFonts w:ascii="Times New Roman" w:hAnsi="Times New Roman"/>
                <w:b/>
              </w:rPr>
            </w:pPr>
            <w:r w:rsidRPr="007D73DB">
              <w:rPr>
                <w:rFonts w:ascii="Times New Roman" w:hAnsi="Times New Roman"/>
              </w:rPr>
              <w:t xml:space="preserve">No vidējās ekonomiskās ietekmes vērtības </w:t>
            </w:r>
            <w:r w:rsidRPr="007D73DB">
              <w:rPr>
                <w:rFonts w:ascii="Times New Roman" w:hAnsi="Times New Roman"/>
                <w:b/>
              </w:rPr>
              <w:t>jāatņem</w:t>
            </w:r>
            <w:r w:rsidRPr="007D73DB">
              <w:rPr>
                <w:rFonts w:ascii="Times New Roman" w:hAnsi="Times New Roman"/>
              </w:rPr>
              <w:t xml:space="preserve"> pasākuma īstenošanas indikatīvā izmaksu vērtība = </w:t>
            </w:r>
            <w:r w:rsidRPr="007D73DB">
              <w:rPr>
                <w:rFonts w:ascii="Times New Roman" w:hAnsi="Times New Roman"/>
                <w:b/>
              </w:rPr>
              <w:t>rezultāts ir pozitīvs</w:t>
            </w:r>
          </w:p>
          <w:p w14:paraId="46F12288" w14:textId="77777777" w:rsidR="007C7419" w:rsidRDefault="007C7419" w:rsidP="002911E4">
            <w:pPr>
              <w:pStyle w:val="ListParagraph"/>
              <w:ind w:left="0"/>
              <w:jc w:val="both"/>
              <w:rPr>
                <w:rFonts w:ascii="Times New Roman" w:hAnsi="Times New Roman"/>
                <w:sz w:val="20"/>
                <w:szCs w:val="20"/>
              </w:rPr>
            </w:pPr>
          </w:p>
          <w:p w14:paraId="2BC69A44" w14:textId="77777777" w:rsidR="007C7419" w:rsidRPr="00265E0C" w:rsidRDefault="007C7419" w:rsidP="002911E4">
            <w:pPr>
              <w:pStyle w:val="ListParagraph"/>
              <w:ind w:left="0"/>
              <w:jc w:val="both"/>
              <w:rPr>
                <w:rFonts w:ascii="Times New Roman" w:hAnsi="Times New Roman"/>
                <w:sz w:val="20"/>
                <w:szCs w:val="20"/>
              </w:rPr>
            </w:pPr>
            <w:r w:rsidRPr="00020080">
              <w:rPr>
                <w:rFonts w:ascii="Times New Roman" w:hAnsi="Times New Roman"/>
                <w:i/>
                <w:color w:val="5B9BD5" w:themeColor="accent1"/>
                <w:sz w:val="16"/>
                <w:szCs w:val="16"/>
              </w:rPr>
              <w:t>Piemērs: ja atbilstoši katastrofu riska novērtēšanas metodikai vidējā ekonomiskā ietekme (vērtība) ir 110 mij. eiro, bet pasākuma indikatīvās izmaksas ir 15 milj. eiro, tad novērtējuma rezultāts: 110-15 = 95 eiro</w:t>
            </w:r>
          </w:p>
        </w:tc>
        <w:tc>
          <w:tcPr>
            <w:tcW w:w="992" w:type="dxa"/>
          </w:tcPr>
          <w:p w14:paraId="7D18FAE4" w14:textId="77777777" w:rsidR="007C7419" w:rsidRPr="007D73DB" w:rsidRDefault="007C7419" w:rsidP="002911E4">
            <w:pPr>
              <w:pStyle w:val="ListParagraph"/>
              <w:spacing w:line="360" w:lineRule="auto"/>
              <w:ind w:left="0"/>
              <w:jc w:val="center"/>
              <w:rPr>
                <w:rFonts w:ascii="Times New Roman" w:hAnsi="Times New Roman"/>
              </w:rPr>
            </w:pPr>
            <w:r w:rsidRPr="007D73DB">
              <w:rPr>
                <w:rFonts w:ascii="Times New Roman" w:hAnsi="Times New Roman"/>
              </w:rPr>
              <w:t>4</w:t>
            </w:r>
          </w:p>
        </w:tc>
      </w:tr>
    </w:tbl>
    <w:p w14:paraId="276C87C8" w14:textId="77777777" w:rsidR="005375AA" w:rsidRDefault="005375AA" w:rsidP="007C7419">
      <w:pPr>
        <w:spacing w:after="0" w:line="240" w:lineRule="auto"/>
        <w:rPr>
          <w:rFonts w:ascii="Times New Roman" w:hAnsi="Times New Roman"/>
          <w:sz w:val="16"/>
          <w:szCs w:val="16"/>
        </w:rPr>
      </w:pPr>
    </w:p>
    <w:p w14:paraId="2EF8DDDB" w14:textId="77777777" w:rsidR="007C7419" w:rsidRPr="00387E5A" w:rsidRDefault="007C7419" w:rsidP="007C7419">
      <w:pPr>
        <w:spacing w:after="0" w:line="240" w:lineRule="auto"/>
        <w:rPr>
          <w:rFonts w:ascii="Times New Roman" w:hAnsi="Times New Roman"/>
          <w:sz w:val="16"/>
          <w:szCs w:val="16"/>
        </w:rPr>
      </w:pPr>
      <w:r w:rsidRPr="00387E5A">
        <w:rPr>
          <w:rFonts w:ascii="Times New Roman" w:hAnsi="Times New Roman"/>
          <w:sz w:val="16"/>
          <w:szCs w:val="16"/>
        </w:rPr>
        <w:t xml:space="preserve">* Apdraudējuma </w:t>
      </w:r>
      <w:r>
        <w:rPr>
          <w:rFonts w:ascii="Times New Roman" w:hAnsi="Times New Roman"/>
          <w:sz w:val="16"/>
          <w:szCs w:val="16"/>
        </w:rPr>
        <w:t xml:space="preserve">vidējā </w:t>
      </w:r>
      <w:r w:rsidRPr="00387E5A">
        <w:rPr>
          <w:rFonts w:ascii="Times New Roman" w:hAnsi="Times New Roman"/>
          <w:sz w:val="16"/>
          <w:szCs w:val="16"/>
        </w:rPr>
        <w:t xml:space="preserve">ekonomiskā ietekme – tā ir vērtība, kas ņemta no riska kopsavilkuma (riska matricas) attiecībā pret skaitlisko lielumu (eiro), kas noteikta katastrofu riska novērtēšanas metodikā. Piemēram, ja riska kopsavilkumā (riska matricā) apdraudējums ir novērtēts kā risks ar “Vidējām sekām”, tad atbilstoši katastrofu riska metodikai, šis apdraudējums var radīt ekonomiskos zaudējumus 20 milj. eiro līdz 200 milj. eiro apmērā. Bet vidējā ekonomiskā ietekme (vērtība) ir 110 mij. eiro. </w:t>
      </w:r>
    </w:p>
    <w:p w14:paraId="09A1BF27" w14:textId="77777777" w:rsidR="005375AA" w:rsidRDefault="005375AA" w:rsidP="007C7419">
      <w:pPr>
        <w:spacing w:after="0" w:line="240" w:lineRule="auto"/>
        <w:rPr>
          <w:rFonts w:ascii="Times New Roman" w:hAnsi="Times New Roman"/>
          <w:sz w:val="16"/>
          <w:szCs w:val="16"/>
        </w:rPr>
      </w:pPr>
    </w:p>
    <w:p w14:paraId="1C63E710" w14:textId="77777777" w:rsidR="007C7419" w:rsidRPr="00387E5A" w:rsidRDefault="007C7419" w:rsidP="007C7419">
      <w:pPr>
        <w:spacing w:after="0" w:line="240" w:lineRule="auto"/>
        <w:rPr>
          <w:rFonts w:ascii="Times New Roman" w:hAnsi="Times New Roman"/>
          <w:sz w:val="16"/>
          <w:szCs w:val="16"/>
        </w:rPr>
      </w:pPr>
      <w:r w:rsidRPr="00387E5A">
        <w:rPr>
          <w:rFonts w:ascii="Times New Roman" w:hAnsi="Times New Roman"/>
          <w:sz w:val="16"/>
          <w:szCs w:val="16"/>
        </w:rPr>
        <w:t xml:space="preserve">** Pasākuma īstenošanas izmaksu indikatīvā vērtība – tā ir pasākuma ieviešanas apzināta vērtība, kura nepieciešama pasākuma ieviešanai (pētījums, informatīvais ziņojums, citu valstu pieredzes piemērs, cenu aptauja vai iepirkuma procedūru u.c.). </w:t>
      </w:r>
    </w:p>
    <w:p w14:paraId="7662DC77" w14:textId="77777777" w:rsidR="0053147A" w:rsidRDefault="0053147A" w:rsidP="0053147A">
      <w:pPr>
        <w:spacing w:after="0" w:line="240" w:lineRule="auto"/>
        <w:ind w:left="360"/>
        <w:jc w:val="both"/>
        <w:rPr>
          <w:rFonts w:ascii="Times New Roman" w:hAnsi="Times New Roman"/>
          <w:sz w:val="24"/>
          <w:szCs w:val="24"/>
        </w:rPr>
      </w:pPr>
    </w:p>
    <w:p w14:paraId="30F1B76D" w14:textId="77777777" w:rsidR="005375AA" w:rsidRDefault="005375AA" w:rsidP="0053147A">
      <w:pPr>
        <w:spacing w:after="0" w:line="240" w:lineRule="auto"/>
        <w:ind w:left="360"/>
        <w:jc w:val="both"/>
        <w:rPr>
          <w:rFonts w:ascii="Times New Roman" w:hAnsi="Times New Roman"/>
          <w:sz w:val="24"/>
          <w:szCs w:val="24"/>
        </w:rPr>
      </w:pPr>
    </w:p>
    <w:p w14:paraId="40BE0B08" w14:textId="77777777" w:rsidR="00020080" w:rsidRDefault="00020080" w:rsidP="0053147A">
      <w:pPr>
        <w:spacing w:after="0" w:line="240" w:lineRule="auto"/>
        <w:ind w:left="360"/>
        <w:jc w:val="both"/>
        <w:rPr>
          <w:rFonts w:ascii="Times New Roman" w:hAnsi="Times New Roman"/>
          <w:sz w:val="24"/>
          <w:szCs w:val="24"/>
        </w:rPr>
      </w:pPr>
    </w:p>
    <w:p w14:paraId="55BA1AE1" w14:textId="77777777" w:rsidR="00020080" w:rsidRPr="00843B74" w:rsidRDefault="00020080" w:rsidP="0053147A">
      <w:pPr>
        <w:spacing w:after="0" w:line="240" w:lineRule="auto"/>
        <w:ind w:left="360"/>
        <w:jc w:val="both"/>
        <w:rPr>
          <w:rFonts w:ascii="Times New Roman" w:hAnsi="Times New Roman"/>
          <w:sz w:val="24"/>
          <w:szCs w:val="24"/>
        </w:rPr>
      </w:pPr>
    </w:p>
    <w:p w14:paraId="5305C589" w14:textId="10F1B9AF" w:rsidR="00186BB8" w:rsidRDefault="0078343F" w:rsidP="00306357">
      <w:pPr>
        <w:pStyle w:val="ListParagraph"/>
        <w:numPr>
          <w:ilvl w:val="0"/>
          <w:numId w:val="3"/>
        </w:numPr>
        <w:spacing w:after="0" w:line="240" w:lineRule="auto"/>
        <w:jc w:val="both"/>
        <w:rPr>
          <w:rFonts w:ascii="Times New Roman" w:hAnsi="Times New Roman"/>
          <w:sz w:val="24"/>
          <w:szCs w:val="24"/>
        </w:rPr>
      </w:pPr>
      <w:r w:rsidRPr="0078343F">
        <w:rPr>
          <w:rFonts w:ascii="Times New Roman" w:hAnsi="Times New Roman"/>
          <w:b/>
          <w:sz w:val="24"/>
          <w:szCs w:val="24"/>
        </w:rPr>
        <w:t>L</w:t>
      </w:r>
      <w:r w:rsidR="00186BB8" w:rsidRPr="0078343F">
        <w:rPr>
          <w:rFonts w:ascii="Times New Roman" w:hAnsi="Times New Roman"/>
          <w:b/>
          <w:sz w:val="24"/>
          <w:szCs w:val="24"/>
        </w:rPr>
        <w:t xml:space="preserve">ai noteiktu katastrofas pārvaldīšanas pasākumu ieviešanas </w:t>
      </w:r>
      <w:r w:rsidRPr="0078343F">
        <w:rPr>
          <w:rFonts w:ascii="Times New Roman" w:hAnsi="Times New Roman"/>
          <w:b/>
          <w:sz w:val="24"/>
          <w:szCs w:val="24"/>
        </w:rPr>
        <w:t>LIETDERĪBU</w:t>
      </w:r>
      <w:r>
        <w:rPr>
          <w:rFonts w:ascii="Times New Roman" w:hAnsi="Times New Roman"/>
          <w:sz w:val="24"/>
          <w:szCs w:val="24"/>
        </w:rPr>
        <w:t>, nepieciešamas identificēt pasākumus</w:t>
      </w:r>
      <w:r w:rsidR="00306357">
        <w:rPr>
          <w:rFonts w:ascii="Times New Roman" w:hAnsi="Times New Roman"/>
          <w:sz w:val="24"/>
          <w:szCs w:val="24"/>
        </w:rPr>
        <w:t xml:space="preserve">, kuru īstenošana sasniedz </w:t>
      </w:r>
      <w:r>
        <w:rPr>
          <w:rFonts w:ascii="Times New Roman" w:hAnsi="Times New Roman"/>
          <w:sz w:val="24"/>
          <w:szCs w:val="24"/>
        </w:rPr>
        <w:t>vislielāko pievienoto vērtību un ietekmi,</w:t>
      </w:r>
      <w:r w:rsidR="00306357">
        <w:rPr>
          <w:rFonts w:ascii="Times New Roman" w:hAnsi="Times New Roman"/>
          <w:sz w:val="24"/>
          <w:szCs w:val="24"/>
        </w:rPr>
        <w:t xml:space="preserve"> </w:t>
      </w:r>
      <w:r>
        <w:rPr>
          <w:rFonts w:ascii="Times New Roman" w:hAnsi="Times New Roman"/>
          <w:sz w:val="24"/>
          <w:szCs w:val="24"/>
        </w:rPr>
        <w:t xml:space="preserve">vienas nozares vai </w:t>
      </w:r>
      <w:proofErr w:type="spellStart"/>
      <w:r>
        <w:rPr>
          <w:rFonts w:ascii="Times New Roman" w:hAnsi="Times New Roman"/>
          <w:sz w:val="24"/>
          <w:szCs w:val="24"/>
        </w:rPr>
        <w:t>pārnozaru</w:t>
      </w:r>
      <w:proofErr w:type="spellEnd"/>
      <w:r w:rsidR="00306357">
        <w:rPr>
          <w:rFonts w:ascii="Times New Roman" w:hAnsi="Times New Roman"/>
          <w:sz w:val="24"/>
          <w:szCs w:val="24"/>
        </w:rPr>
        <w:t xml:space="preserve"> jomā. </w:t>
      </w:r>
      <w:r w:rsidR="00A5287F" w:rsidRPr="0078343F">
        <w:rPr>
          <w:rFonts w:ascii="Times New Roman" w:hAnsi="Times New Roman"/>
          <w:sz w:val="24"/>
          <w:szCs w:val="24"/>
        </w:rPr>
        <w:t xml:space="preserve">Pēc novērtēšanas, jo lielāka punktu vērtība (vai kumulatīvā/uzkrātā punktu vērtību, ja pasākums iekļauts vairākos apdraudējumos), jo </w:t>
      </w:r>
      <w:r w:rsidR="00306357">
        <w:rPr>
          <w:rFonts w:ascii="Times New Roman" w:hAnsi="Times New Roman"/>
          <w:sz w:val="24"/>
          <w:szCs w:val="24"/>
        </w:rPr>
        <w:t xml:space="preserve">jēgpilnāks un uz rezultātu orientēts pasākums nacionālo un starptautisko mērķu sasniegšanai </w:t>
      </w:r>
      <w:r w:rsidR="006A3B45" w:rsidRPr="0078343F">
        <w:rPr>
          <w:rFonts w:ascii="Times New Roman" w:hAnsi="Times New Roman"/>
          <w:sz w:val="24"/>
          <w:szCs w:val="24"/>
        </w:rPr>
        <w:t>(skatīt 5.tabulā);</w:t>
      </w:r>
    </w:p>
    <w:p w14:paraId="6AA48B82" w14:textId="77777777" w:rsidR="00265E0C" w:rsidRDefault="00265E0C" w:rsidP="00265E0C">
      <w:pPr>
        <w:spacing w:after="0" w:line="240" w:lineRule="auto"/>
        <w:ind w:left="360"/>
        <w:jc w:val="both"/>
        <w:rPr>
          <w:rFonts w:ascii="Times New Roman" w:hAnsi="Times New Roman"/>
          <w:color w:val="FF0000"/>
          <w:sz w:val="24"/>
          <w:szCs w:val="24"/>
        </w:rPr>
      </w:pPr>
    </w:p>
    <w:p w14:paraId="31EC1B03" w14:textId="77777777" w:rsidR="005375AA" w:rsidRDefault="005375AA" w:rsidP="00265E0C">
      <w:pPr>
        <w:spacing w:after="0" w:line="240" w:lineRule="auto"/>
        <w:ind w:left="360"/>
        <w:jc w:val="both"/>
        <w:rPr>
          <w:rFonts w:ascii="Times New Roman" w:hAnsi="Times New Roman"/>
          <w:color w:val="FF0000"/>
          <w:sz w:val="24"/>
          <w:szCs w:val="24"/>
        </w:rPr>
      </w:pPr>
    </w:p>
    <w:p w14:paraId="49D506B9" w14:textId="77777777" w:rsidR="005375AA" w:rsidRDefault="005375AA" w:rsidP="00265E0C">
      <w:pPr>
        <w:spacing w:after="0" w:line="240" w:lineRule="auto"/>
        <w:ind w:left="360"/>
        <w:jc w:val="both"/>
        <w:rPr>
          <w:rFonts w:ascii="Times New Roman" w:hAnsi="Times New Roman"/>
          <w:color w:val="FF0000"/>
          <w:sz w:val="24"/>
          <w:szCs w:val="24"/>
        </w:rPr>
      </w:pPr>
    </w:p>
    <w:p w14:paraId="0C6FCFBC" w14:textId="77777777" w:rsidR="005375AA" w:rsidRDefault="005375AA" w:rsidP="00265E0C">
      <w:pPr>
        <w:spacing w:after="0" w:line="240" w:lineRule="auto"/>
        <w:ind w:left="360"/>
        <w:jc w:val="both"/>
        <w:rPr>
          <w:rFonts w:ascii="Times New Roman" w:hAnsi="Times New Roman"/>
          <w:color w:val="FF0000"/>
          <w:sz w:val="24"/>
          <w:szCs w:val="24"/>
        </w:rPr>
      </w:pPr>
    </w:p>
    <w:p w14:paraId="388121AF" w14:textId="77777777" w:rsidR="005375AA" w:rsidRDefault="005375AA" w:rsidP="00265E0C">
      <w:pPr>
        <w:spacing w:after="0" w:line="240" w:lineRule="auto"/>
        <w:ind w:left="360"/>
        <w:jc w:val="both"/>
        <w:rPr>
          <w:rFonts w:ascii="Times New Roman" w:hAnsi="Times New Roman"/>
          <w:color w:val="FF0000"/>
          <w:sz w:val="24"/>
          <w:szCs w:val="24"/>
        </w:rPr>
      </w:pPr>
    </w:p>
    <w:p w14:paraId="4CF60DDD" w14:textId="77777777" w:rsidR="005375AA" w:rsidRDefault="005375AA" w:rsidP="00265E0C">
      <w:pPr>
        <w:spacing w:after="0" w:line="240" w:lineRule="auto"/>
        <w:ind w:left="360"/>
        <w:jc w:val="both"/>
        <w:rPr>
          <w:rFonts w:ascii="Times New Roman" w:hAnsi="Times New Roman"/>
          <w:color w:val="FF0000"/>
          <w:sz w:val="24"/>
          <w:szCs w:val="24"/>
        </w:rPr>
      </w:pPr>
    </w:p>
    <w:p w14:paraId="441698AE" w14:textId="77777777" w:rsidR="005375AA" w:rsidRDefault="005375AA" w:rsidP="00265E0C">
      <w:pPr>
        <w:spacing w:after="0" w:line="240" w:lineRule="auto"/>
        <w:ind w:left="360"/>
        <w:jc w:val="both"/>
        <w:rPr>
          <w:rFonts w:ascii="Times New Roman" w:hAnsi="Times New Roman"/>
          <w:color w:val="FF0000"/>
          <w:sz w:val="24"/>
          <w:szCs w:val="24"/>
        </w:rPr>
      </w:pPr>
    </w:p>
    <w:p w14:paraId="79F8C2EF" w14:textId="6AE7FCBC" w:rsidR="00843B74" w:rsidRPr="007D73DB" w:rsidRDefault="00843B74" w:rsidP="00843B74">
      <w:pPr>
        <w:spacing w:after="0" w:line="240" w:lineRule="auto"/>
        <w:rPr>
          <w:rFonts w:ascii="Times New Roman" w:hAnsi="Times New Roman"/>
          <w:i/>
        </w:rPr>
      </w:pPr>
      <w:r w:rsidRPr="007D73DB">
        <w:rPr>
          <w:rFonts w:ascii="Times New Roman" w:hAnsi="Times New Roman"/>
          <w:i/>
        </w:rPr>
        <w:t>5.tabula. Katastrofas pārvaldīšanas pasākumu lietderības novērtēšanas faktori</w:t>
      </w:r>
    </w:p>
    <w:tbl>
      <w:tblPr>
        <w:tblStyle w:val="TableGrid"/>
        <w:tblW w:w="0" w:type="auto"/>
        <w:jc w:val="center"/>
        <w:tblLook w:val="04A0" w:firstRow="1" w:lastRow="0" w:firstColumn="1" w:lastColumn="0" w:noHBand="0" w:noVBand="1"/>
      </w:tblPr>
      <w:tblGrid>
        <w:gridCol w:w="7933"/>
        <w:gridCol w:w="998"/>
      </w:tblGrid>
      <w:tr w:rsidR="007C7419" w:rsidRPr="007D73DB" w14:paraId="6A38EE42" w14:textId="77777777" w:rsidTr="007D73DB">
        <w:trPr>
          <w:jc w:val="center"/>
        </w:trPr>
        <w:tc>
          <w:tcPr>
            <w:tcW w:w="7933" w:type="dxa"/>
            <w:shd w:val="clear" w:color="auto" w:fill="D9D9D9" w:themeFill="background1" w:themeFillShade="D9"/>
          </w:tcPr>
          <w:p w14:paraId="47E44732" w14:textId="25F805A7" w:rsidR="007C7419" w:rsidRPr="007D73DB" w:rsidRDefault="00A331ED" w:rsidP="007D73DB">
            <w:pPr>
              <w:pStyle w:val="ListParagraph"/>
              <w:spacing w:line="360" w:lineRule="auto"/>
              <w:ind w:left="0"/>
              <w:jc w:val="center"/>
              <w:rPr>
                <w:rFonts w:ascii="Times New Roman" w:hAnsi="Times New Roman"/>
                <w:b/>
              </w:rPr>
            </w:pPr>
            <w:r w:rsidRPr="007D73DB">
              <w:rPr>
                <w:rFonts w:ascii="Times New Roman" w:hAnsi="Times New Roman"/>
                <w:b/>
              </w:rPr>
              <w:t>Pasākuma raksturojums</w:t>
            </w:r>
          </w:p>
        </w:tc>
        <w:tc>
          <w:tcPr>
            <w:tcW w:w="998" w:type="dxa"/>
            <w:shd w:val="clear" w:color="auto" w:fill="D9D9D9" w:themeFill="background1" w:themeFillShade="D9"/>
          </w:tcPr>
          <w:p w14:paraId="1B8C2375" w14:textId="2BB7E413" w:rsidR="007C7419" w:rsidRPr="007D73DB" w:rsidRDefault="00A331ED" w:rsidP="007D73DB">
            <w:pPr>
              <w:pStyle w:val="ListParagraph"/>
              <w:spacing w:line="360" w:lineRule="auto"/>
              <w:ind w:left="0"/>
              <w:jc w:val="center"/>
              <w:rPr>
                <w:rFonts w:ascii="Times New Roman" w:hAnsi="Times New Roman"/>
                <w:b/>
              </w:rPr>
            </w:pPr>
            <w:r w:rsidRPr="007D73DB">
              <w:rPr>
                <w:rFonts w:ascii="Times New Roman" w:hAnsi="Times New Roman"/>
                <w:b/>
              </w:rPr>
              <w:t>Punktu vērtība</w:t>
            </w:r>
          </w:p>
        </w:tc>
      </w:tr>
      <w:tr w:rsidR="007C7419" w:rsidRPr="007D73DB" w14:paraId="203755BB" w14:textId="77777777" w:rsidTr="007D73DB">
        <w:trPr>
          <w:jc w:val="center"/>
        </w:trPr>
        <w:tc>
          <w:tcPr>
            <w:tcW w:w="7933" w:type="dxa"/>
            <w:shd w:val="clear" w:color="auto" w:fill="FBE4D5" w:themeFill="accent2" w:themeFillTint="33"/>
          </w:tcPr>
          <w:p w14:paraId="25194101" w14:textId="5B844F0C" w:rsidR="007C7419" w:rsidRPr="007D73DB" w:rsidRDefault="00A331ED" w:rsidP="007D73DB">
            <w:pPr>
              <w:pStyle w:val="ListParagraph"/>
              <w:spacing w:line="360" w:lineRule="auto"/>
              <w:ind w:left="0"/>
              <w:jc w:val="both"/>
              <w:rPr>
                <w:rFonts w:ascii="Times New Roman" w:hAnsi="Times New Roman"/>
              </w:rPr>
            </w:pPr>
            <w:r w:rsidRPr="007D73DB">
              <w:rPr>
                <w:rFonts w:ascii="Times New Roman" w:hAnsi="Times New Roman"/>
              </w:rPr>
              <w:t xml:space="preserve">Pasākuma ieviešanas nepieciešamība </w:t>
            </w:r>
            <w:r w:rsidRPr="007D73DB">
              <w:rPr>
                <w:rFonts w:ascii="Times New Roman" w:hAnsi="Times New Roman"/>
                <w:b/>
              </w:rPr>
              <w:t>nav noteikta</w:t>
            </w:r>
            <w:r w:rsidRPr="007D73DB">
              <w:rPr>
                <w:rFonts w:ascii="Times New Roman" w:hAnsi="Times New Roman"/>
              </w:rPr>
              <w:t xml:space="preserve"> citos nacionālajos ilgtspējīgās attīstības stratēģijās, nacionālajos attīstības plānos, pamatnostādnēs, plānošanas dokumentos, konceptuālajos ziņojumos, informatīvajos zi</w:t>
            </w:r>
            <w:r w:rsidR="00843B74" w:rsidRPr="007D73DB">
              <w:rPr>
                <w:rFonts w:ascii="Times New Roman" w:hAnsi="Times New Roman"/>
              </w:rPr>
              <w:t>ņojumos</w:t>
            </w:r>
          </w:p>
        </w:tc>
        <w:tc>
          <w:tcPr>
            <w:tcW w:w="998" w:type="dxa"/>
          </w:tcPr>
          <w:p w14:paraId="54DF93D6" w14:textId="77777777" w:rsidR="007C7419" w:rsidRPr="007D73DB" w:rsidRDefault="007C7419" w:rsidP="007D73DB">
            <w:pPr>
              <w:pStyle w:val="ListParagraph"/>
              <w:spacing w:line="360" w:lineRule="auto"/>
              <w:ind w:left="0"/>
              <w:jc w:val="center"/>
              <w:rPr>
                <w:rFonts w:ascii="Times New Roman" w:hAnsi="Times New Roman"/>
              </w:rPr>
            </w:pPr>
            <w:r w:rsidRPr="007D73DB">
              <w:rPr>
                <w:rFonts w:ascii="Times New Roman" w:hAnsi="Times New Roman"/>
              </w:rPr>
              <w:t>1</w:t>
            </w:r>
          </w:p>
        </w:tc>
      </w:tr>
      <w:tr w:rsidR="007C7419" w:rsidRPr="007D73DB" w14:paraId="471A6907" w14:textId="77777777" w:rsidTr="007D73DB">
        <w:trPr>
          <w:jc w:val="center"/>
        </w:trPr>
        <w:tc>
          <w:tcPr>
            <w:tcW w:w="7933" w:type="dxa"/>
            <w:shd w:val="clear" w:color="auto" w:fill="FBE4D5" w:themeFill="accent2" w:themeFillTint="33"/>
          </w:tcPr>
          <w:p w14:paraId="05E0AA5F" w14:textId="17533D77" w:rsidR="007C7419" w:rsidRPr="007D73DB" w:rsidRDefault="00A331ED" w:rsidP="007D73DB">
            <w:pPr>
              <w:pStyle w:val="ListParagraph"/>
              <w:spacing w:line="360" w:lineRule="auto"/>
              <w:ind w:left="0"/>
              <w:jc w:val="both"/>
              <w:rPr>
                <w:rFonts w:ascii="Times New Roman" w:hAnsi="Times New Roman"/>
              </w:rPr>
            </w:pPr>
            <w:r w:rsidRPr="007D73DB">
              <w:rPr>
                <w:rFonts w:ascii="Times New Roman" w:hAnsi="Times New Roman"/>
              </w:rPr>
              <w:t xml:space="preserve">Pasākuma ieviešanas nepieciešamība </w:t>
            </w:r>
            <w:r w:rsidRPr="007D73DB">
              <w:rPr>
                <w:rFonts w:ascii="Times New Roman" w:hAnsi="Times New Roman"/>
                <w:b/>
              </w:rPr>
              <w:t>ir noteikta normatīvajos aktos</w:t>
            </w:r>
            <w:r w:rsidR="007D73DB">
              <w:rPr>
                <w:rFonts w:ascii="Times New Roman" w:hAnsi="Times New Roman"/>
              </w:rPr>
              <w:t xml:space="preserve"> (likumi, Ministru kabineta noteikumi</w:t>
            </w:r>
            <w:r w:rsidRPr="007D73DB">
              <w:rPr>
                <w:rFonts w:ascii="Times New Roman" w:hAnsi="Times New Roman"/>
              </w:rPr>
              <w:t>)</w:t>
            </w:r>
          </w:p>
        </w:tc>
        <w:tc>
          <w:tcPr>
            <w:tcW w:w="998" w:type="dxa"/>
          </w:tcPr>
          <w:p w14:paraId="16F4C446" w14:textId="77777777" w:rsidR="007C7419" w:rsidRPr="007D73DB" w:rsidRDefault="007C7419" w:rsidP="007D73DB">
            <w:pPr>
              <w:pStyle w:val="ListParagraph"/>
              <w:spacing w:line="360" w:lineRule="auto"/>
              <w:ind w:left="0"/>
              <w:jc w:val="center"/>
              <w:rPr>
                <w:rFonts w:ascii="Times New Roman" w:hAnsi="Times New Roman"/>
              </w:rPr>
            </w:pPr>
            <w:r w:rsidRPr="007D73DB">
              <w:rPr>
                <w:rFonts w:ascii="Times New Roman" w:hAnsi="Times New Roman"/>
              </w:rPr>
              <w:t>2</w:t>
            </w:r>
          </w:p>
        </w:tc>
      </w:tr>
      <w:tr w:rsidR="007C7419" w:rsidRPr="007D73DB" w14:paraId="1923AF49" w14:textId="77777777" w:rsidTr="007D73DB">
        <w:trPr>
          <w:jc w:val="center"/>
        </w:trPr>
        <w:tc>
          <w:tcPr>
            <w:tcW w:w="7933" w:type="dxa"/>
            <w:shd w:val="clear" w:color="auto" w:fill="FBE4D5" w:themeFill="accent2" w:themeFillTint="33"/>
          </w:tcPr>
          <w:p w14:paraId="5B3C02D7" w14:textId="16178D03" w:rsidR="007C7419" w:rsidRPr="007D73DB" w:rsidRDefault="00843B74" w:rsidP="007D73DB">
            <w:pPr>
              <w:pStyle w:val="ListParagraph"/>
              <w:spacing w:line="360" w:lineRule="auto"/>
              <w:ind w:left="0"/>
              <w:jc w:val="both"/>
              <w:rPr>
                <w:rFonts w:ascii="Times New Roman" w:hAnsi="Times New Roman"/>
              </w:rPr>
            </w:pPr>
            <w:r w:rsidRPr="007D73DB">
              <w:rPr>
                <w:rFonts w:ascii="Times New Roman" w:hAnsi="Times New Roman"/>
              </w:rPr>
              <w:t xml:space="preserve">Pasākuma ieviešanas nepieciešamība </w:t>
            </w:r>
            <w:r w:rsidRPr="007D73DB">
              <w:rPr>
                <w:rFonts w:ascii="Times New Roman" w:hAnsi="Times New Roman"/>
                <w:b/>
              </w:rPr>
              <w:t>ir noteikta</w:t>
            </w:r>
            <w:r w:rsidRPr="007D73DB">
              <w:rPr>
                <w:rFonts w:ascii="Times New Roman" w:hAnsi="Times New Roman"/>
              </w:rPr>
              <w:t xml:space="preserve"> citos nacionālajos ilgtspējīgās attīstības stratēģijās, nacionālajos attīstības plānos, pamatnostādnēs, plānošanas dokumentos, konceptuālajos ziņojumos, informatīvajos ziņojumos</w:t>
            </w:r>
          </w:p>
        </w:tc>
        <w:tc>
          <w:tcPr>
            <w:tcW w:w="998" w:type="dxa"/>
          </w:tcPr>
          <w:p w14:paraId="2845CF05" w14:textId="77777777" w:rsidR="007C7419" w:rsidRPr="007D73DB" w:rsidRDefault="007C7419" w:rsidP="007D73DB">
            <w:pPr>
              <w:pStyle w:val="ListParagraph"/>
              <w:spacing w:line="360" w:lineRule="auto"/>
              <w:ind w:left="0"/>
              <w:jc w:val="center"/>
              <w:rPr>
                <w:rFonts w:ascii="Times New Roman" w:hAnsi="Times New Roman"/>
              </w:rPr>
            </w:pPr>
            <w:r w:rsidRPr="007D73DB">
              <w:rPr>
                <w:rFonts w:ascii="Times New Roman" w:hAnsi="Times New Roman"/>
              </w:rPr>
              <w:t>3</w:t>
            </w:r>
          </w:p>
        </w:tc>
      </w:tr>
      <w:tr w:rsidR="007C7419" w:rsidRPr="007D73DB" w14:paraId="4D60AB65" w14:textId="77777777" w:rsidTr="007D73DB">
        <w:trPr>
          <w:jc w:val="center"/>
        </w:trPr>
        <w:tc>
          <w:tcPr>
            <w:tcW w:w="7933" w:type="dxa"/>
            <w:shd w:val="clear" w:color="auto" w:fill="FBE4D5" w:themeFill="accent2" w:themeFillTint="33"/>
          </w:tcPr>
          <w:p w14:paraId="09084D67" w14:textId="716A342B" w:rsidR="007C7419" w:rsidRPr="007D73DB" w:rsidRDefault="00843B74" w:rsidP="007D73DB">
            <w:pPr>
              <w:pStyle w:val="ListParagraph"/>
              <w:spacing w:line="360" w:lineRule="auto"/>
              <w:ind w:left="0"/>
              <w:jc w:val="both"/>
              <w:rPr>
                <w:rFonts w:ascii="Times New Roman" w:hAnsi="Times New Roman"/>
              </w:rPr>
            </w:pPr>
            <w:r w:rsidRPr="007D73DB">
              <w:rPr>
                <w:rFonts w:ascii="Times New Roman" w:hAnsi="Times New Roman"/>
              </w:rPr>
              <w:t xml:space="preserve">Pasākuma ieviešanas nepieciešamība </w:t>
            </w:r>
            <w:r w:rsidRPr="007D73DB">
              <w:rPr>
                <w:rFonts w:ascii="Times New Roman" w:hAnsi="Times New Roman"/>
                <w:b/>
              </w:rPr>
              <w:t>ir noteikta</w:t>
            </w:r>
            <w:r w:rsidRPr="007D73DB">
              <w:rPr>
                <w:rFonts w:ascii="Times New Roman" w:hAnsi="Times New Roman"/>
              </w:rPr>
              <w:t xml:space="preserve"> ES tiesību aktos, starptautiskajās konvencijās un citu starptautisko organizāciju nolīgumos, kurām pievienojusies Latvija</w:t>
            </w:r>
          </w:p>
        </w:tc>
        <w:tc>
          <w:tcPr>
            <w:tcW w:w="998" w:type="dxa"/>
          </w:tcPr>
          <w:p w14:paraId="1E8E1FA4" w14:textId="77777777" w:rsidR="007C7419" w:rsidRPr="007D73DB" w:rsidRDefault="007C7419" w:rsidP="007D73DB">
            <w:pPr>
              <w:pStyle w:val="ListParagraph"/>
              <w:spacing w:line="360" w:lineRule="auto"/>
              <w:ind w:left="0"/>
              <w:jc w:val="center"/>
              <w:rPr>
                <w:rFonts w:ascii="Times New Roman" w:hAnsi="Times New Roman"/>
              </w:rPr>
            </w:pPr>
            <w:r w:rsidRPr="007D73DB">
              <w:rPr>
                <w:rFonts w:ascii="Times New Roman" w:hAnsi="Times New Roman"/>
              </w:rPr>
              <w:t>4</w:t>
            </w:r>
          </w:p>
        </w:tc>
      </w:tr>
    </w:tbl>
    <w:p w14:paraId="0EC4E0D9" w14:textId="77777777" w:rsidR="00265E0C" w:rsidRDefault="00265E0C" w:rsidP="00265E0C">
      <w:pPr>
        <w:spacing w:after="0" w:line="240" w:lineRule="auto"/>
        <w:ind w:left="360"/>
        <w:jc w:val="both"/>
        <w:rPr>
          <w:rFonts w:ascii="Times New Roman" w:hAnsi="Times New Roman"/>
          <w:color w:val="FF0000"/>
          <w:sz w:val="24"/>
          <w:szCs w:val="24"/>
        </w:rPr>
      </w:pPr>
    </w:p>
    <w:p w14:paraId="31F2A054" w14:textId="77777777" w:rsidR="00265E0C" w:rsidRPr="00265E0C" w:rsidRDefault="00265E0C" w:rsidP="00265E0C">
      <w:pPr>
        <w:spacing w:after="0" w:line="240" w:lineRule="auto"/>
        <w:ind w:left="360"/>
        <w:jc w:val="both"/>
        <w:rPr>
          <w:rFonts w:ascii="Times New Roman" w:hAnsi="Times New Roman"/>
          <w:color w:val="FF0000"/>
          <w:sz w:val="24"/>
          <w:szCs w:val="24"/>
        </w:rPr>
      </w:pPr>
    </w:p>
    <w:p w14:paraId="43FD7289" w14:textId="479F9E2E" w:rsidR="00265E0C" w:rsidRPr="009A79D1" w:rsidRDefault="00CD1142" w:rsidP="00326706">
      <w:pPr>
        <w:pStyle w:val="ListParagraph"/>
        <w:numPr>
          <w:ilvl w:val="0"/>
          <w:numId w:val="3"/>
        </w:numPr>
        <w:spacing w:after="0" w:line="240" w:lineRule="auto"/>
        <w:jc w:val="both"/>
        <w:rPr>
          <w:rFonts w:ascii="Times New Roman" w:hAnsi="Times New Roman"/>
          <w:sz w:val="24"/>
          <w:szCs w:val="24"/>
        </w:rPr>
      </w:pPr>
      <w:r w:rsidRPr="007D73DB">
        <w:rPr>
          <w:rFonts w:ascii="Times New Roman" w:hAnsi="Times New Roman"/>
          <w:b/>
          <w:sz w:val="24"/>
          <w:szCs w:val="24"/>
        </w:rPr>
        <w:t xml:space="preserve">Novērtējot katastrofu pārvaldīšanas pasākumus, tiem tiek norādīti plānotie vai provizoriskie </w:t>
      </w:r>
      <w:r w:rsidR="00186BB8" w:rsidRPr="007D73DB">
        <w:rPr>
          <w:rFonts w:ascii="Times New Roman" w:hAnsi="Times New Roman"/>
          <w:b/>
          <w:sz w:val="24"/>
          <w:szCs w:val="24"/>
        </w:rPr>
        <w:t>finansēšanas resurs</w:t>
      </w:r>
      <w:r w:rsidRPr="007D73DB">
        <w:rPr>
          <w:rFonts w:ascii="Times New Roman" w:hAnsi="Times New Roman"/>
          <w:b/>
          <w:sz w:val="24"/>
          <w:szCs w:val="24"/>
        </w:rPr>
        <w:t>i un mehānismi</w:t>
      </w:r>
      <w:r w:rsidRPr="009A79D1">
        <w:rPr>
          <w:rFonts w:ascii="Times New Roman" w:hAnsi="Times New Roman"/>
          <w:sz w:val="24"/>
          <w:szCs w:val="24"/>
        </w:rPr>
        <w:t xml:space="preserve"> – valsts vai pašvaldību budžeta finansējums, ES un citu avotu finanšu līdzekļ</w:t>
      </w:r>
      <w:r w:rsidR="009A79D1" w:rsidRPr="009A79D1">
        <w:rPr>
          <w:rFonts w:ascii="Times New Roman" w:hAnsi="Times New Roman"/>
          <w:sz w:val="24"/>
          <w:szCs w:val="24"/>
        </w:rPr>
        <w:t>i, u.c</w:t>
      </w:r>
      <w:r w:rsidRPr="009A79D1">
        <w:rPr>
          <w:rFonts w:ascii="Times New Roman" w:hAnsi="Times New Roman"/>
          <w:sz w:val="24"/>
          <w:szCs w:val="24"/>
        </w:rPr>
        <w:t xml:space="preserve">. </w:t>
      </w:r>
      <w:r w:rsidR="009A79D1">
        <w:rPr>
          <w:rFonts w:ascii="Times New Roman" w:hAnsi="Times New Roman"/>
          <w:sz w:val="24"/>
          <w:szCs w:val="24"/>
        </w:rPr>
        <w:t>K</w:t>
      </w:r>
      <w:r w:rsidR="009A79D1" w:rsidRPr="009A79D1">
        <w:rPr>
          <w:rFonts w:ascii="Times New Roman" w:hAnsi="Times New Roman"/>
          <w:sz w:val="24"/>
          <w:szCs w:val="24"/>
        </w:rPr>
        <w:t>atastrofu pārvaldīšanas pasākumu</w:t>
      </w:r>
      <w:r w:rsidR="009A79D1">
        <w:rPr>
          <w:rFonts w:ascii="Times New Roman" w:hAnsi="Times New Roman"/>
          <w:sz w:val="24"/>
          <w:szCs w:val="24"/>
        </w:rPr>
        <w:t xml:space="preserve"> novērtējumā neiekļauj r</w:t>
      </w:r>
      <w:r w:rsidRPr="009A79D1">
        <w:rPr>
          <w:rFonts w:ascii="Times New Roman" w:hAnsi="Times New Roman"/>
          <w:sz w:val="24"/>
          <w:szCs w:val="24"/>
        </w:rPr>
        <w:t>eaģēšan</w:t>
      </w:r>
      <w:r w:rsidR="009A79D1">
        <w:rPr>
          <w:rFonts w:ascii="Times New Roman" w:hAnsi="Times New Roman"/>
          <w:sz w:val="24"/>
          <w:szCs w:val="24"/>
        </w:rPr>
        <w:t>as un seku likvidēšanas pasākumus</w:t>
      </w:r>
      <w:r w:rsidRPr="009A79D1">
        <w:rPr>
          <w:rFonts w:ascii="Times New Roman" w:hAnsi="Times New Roman"/>
          <w:sz w:val="24"/>
          <w:szCs w:val="24"/>
        </w:rPr>
        <w:t xml:space="preserve">, jo Valsts civilās aizsardzības plānā paredzētie katastrofas pārvaldīšanas pasākumi attiecas uz valsts un reģionāla mēroga katastrofām vai </w:t>
      </w:r>
      <w:r w:rsidR="009A79D1">
        <w:rPr>
          <w:rFonts w:ascii="Times New Roman" w:hAnsi="Times New Roman"/>
          <w:sz w:val="24"/>
          <w:szCs w:val="24"/>
        </w:rPr>
        <w:t>to</w:t>
      </w:r>
      <w:r w:rsidRPr="009A79D1">
        <w:rPr>
          <w:rFonts w:ascii="Times New Roman" w:hAnsi="Times New Roman"/>
          <w:sz w:val="24"/>
          <w:szCs w:val="24"/>
        </w:rPr>
        <w:t xml:space="preserve"> draud</w:t>
      </w:r>
      <w:r w:rsidR="009A79D1">
        <w:rPr>
          <w:rFonts w:ascii="Times New Roman" w:hAnsi="Times New Roman"/>
          <w:sz w:val="24"/>
          <w:szCs w:val="24"/>
        </w:rPr>
        <w:t>iem</w:t>
      </w:r>
      <w:r w:rsidRPr="009A79D1">
        <w:rPr>
          <w:rFonts w:ascii="Times New Roman" w:hAnsi="Times New Roman"/>
          <w:sz w:val="24"/>
          <w:szCs w:val="24"/>
        </w:rPr>
        <w:t xml:space="preserve">. </w:t>
      </w:r>
      <w:r w:rsidR="009A79D1">
        <w:rPr>
          <w:rFonts w:ascii="Times New Roman" w:hAnsi="Times New Roman"/>
          <w:sz w:val="24"/>
          <w:szCs w:val="24"/>
        </w:rPr>
        <w:t>A</w:t>
      </w:r>
      <w:r w:rsidRPr="009A79D1">
        <w:rPr>
          <w:rFonts w:ascii="Times New Roman" w:hAnsi="Times New Roman"/>
          <w:sz w:val="24"/>
          <w:szCs w:val="24"/>
        </w:rPr>
        <w:t>pdraudējum</w:t>
      </w:r>
      <w:r w:rsidR="009A79D1">
        <w:rPr>
          <w:rFonts w:ascii="Times New Roman" w:hAnsi="Times New Roman"/>
          <w:sz w:val="24"/>
          <w:szCs w:val="24"/>
        </w:rPr>
        <w:t xml:space="preserve">u novēršanā </w:t>
      </w:r>
      <w:r w:rsidRPr="009A79D1">
        <w:rPr>
          <w:rFonts w:ascii="Times New Roman" w:hAnsi="Times New Roman"/>
          <w:sz w:val="24"/>
          <w:szCs w:val="24"/>
        </w:rPr>
        <w:t>iesaistītās institūcijas reaģēšanas un seku likvidēšanas pasākumus veic savu piešķirto valsts budžeta līdzekļu ietvaros, kā arī normatīvajos aktos noteiktajā kārtī</w:t>
      </w:r>
      <w:r w:rsidR="009A79D1">
        <w:rPr>
          <w:rFonts w:ascii="Times New Roman" w:hAnsi="Times New Roman"/>
          <w:sz w:val="24"/>
          <w:szCs w:val="24"/>
        </w:rPr>
        <w:t>bā, nozares ministrija finanšu līdzekļus var pieprasīt no</w:t>
      </w:r>
      <w:r w:rsidRPr="009A79D1">
        <w:rPr>
          <w:rFonts w:ascii="Times New Roman" w:hAnsi="Times New Roman"/>
          <w:sz w:val="24"/>
          <w:szCs w:val="24"/>
        </w:rPr>
        <w:t xml:space="preserve"> </w:t>
      </w:r>
      <w:r w:rsidR="009A79D1">
        <w:rPr>
          <w:rFonts w:ascii="Times New Roman" w:hAnsi="Times New Roman"/>
          <w:sz w:val="24"/>
          <w:szCs w:val="24"/>
        </w:rPr>
        <w:t xml:space="preserve">budžeta </w:t>
      </w:r>
      <w:r w:rsidRPr="009A79D1">
        <w:rPr>
          <w:rFonts w:ascii="Times New Roman" w:hAnsi="Times New Roman"/>
          <w:sz w:val="24"/>
          <w:szCs w:val="24"/>
        </w:rPr>
        <w:t>programmas “Līdzekļi neparedzēt</w:t>
      </w:r>
      <w:r w:rsidR="009A79D1">
        <w:rPr>
          <w:rFonts w:ascii="Times New Roman" w:hAnsi="Times New Roman"/>
          <w:sz w:val="24"/>
          <w:szCs w:val="24"/>
        </w:rPr>
        <w:t xml:space="preserve">iem gadījumiem”, kurus piešķir </w:t>
      </w:r>
      <w:r w:rsidRPr="009A79D1">
        <w:rPr>
          <w:rFonts w:ascii="Times New Roman" w:hAnsi="Times New Roman"/>
          <w:sz w:val="24"/>
          <w:szCs w:val="24"/>
        </w:rPr>
        <w:t>valsts pamatbudžeta apropriācijā neparedzētiem izdevumiem katastrofu un dabas stihiju seku novēršanai un to radīto zaudējumu kompensēšanai un citiem neparedzētiem gadījumiem.</w:t>
      </w:r>
    </w:p>
    <w:p w14:paraId="6D1FB833" w14:textId="77777777" w:rsidR="00265E0C" w:rsidRPr="00CD1142" w:rsidRDefault="00265E0C" w:rsidP="00186BB8">
      <w:pPr>
        <w:spacing w:after="0" w:line="240" w:lineRule="auto"/>
        <w:jc w:val="both"/>
        <w:rPr>
          <w:rFonts w:ascii="Times New Roman" w:hAnsi="Times New Roman"/>
          <w:sz w:val="24"/>
          <w:szCs w:val="24"/>
        </w:rPr>
      </w:pPr>
    </w:p>
    <w:p w14:paraId="5B2D4997" w14:textId="223464F9" w:rsidR="00A845FE" w:rsidRDefault="00E96F56" w:rsidP="009A2639">
      <w:pPr>
        <w:spacing w:after="0" w:line="240" w:lineRule="auto"/>
        <w:ind w:firstLine="360"/>
        <w:jc w:val="both"/>
        <w:rPr>
          <w:rFonts w:ascii="Times New Roman" w:hAnsi="Times New Roman"/>
          <w:sz w:val="24"/>
          <w:szCs w:val="24"/>
        </w:rPr>
      </w:pPr>
      <w:r>
        <w:rPr>
          <w:rFonts w:ascii="Times New Roman" w:hAnsi="Times New Roman"/>
          <w:sz w:val="24"/>
          <w:szCs w:val="24"/>
        </w:rPr>
        <w:t>Metodoloģija paredz</w:t>
      </w:r>
      <w:r w:rsidR="00420D59">
        <w:rPr>
          <w:rFonts w:ascii="Times New Roman" w:hAnsi="Times New Roman"/>
          <w:sz w:val="24"/>
          <w:szCs w:val="24"/>
        </w:rPr>
        <w:t xml:space="preserve"> nosacījumus</w:t>
      </w:r>
      <w:r>
        <w:rPr>
          <w:rFonts w:ascii="Times New Roman" w:hAnsi="Times New Roman"/>
          <w:sz w:val="24"/>
          <w:szCs w:val="24"/>
        </w:rPr>
        <w:t xml:space="preserve">, ka, ja katastrofas pārvaldīšanas </w:t>
      </w:r>
      <w:r w:rsidRPr="006B1F28">
        <w:rPr>
          <w:rFonts w:ascii="Times New Roman" w:hAnsi="Times New Roman"/>
          <w:sz w:val="24"/>
          <w:szCs w:val="24"/>
          <w:u w:val="single"/>
        </w:rPr>
        <w:t>pasākums ir identificēts vairākos apdraudējumos</w:t>
      </w:r>
      <w:r>
        <w:rPr>
          <w:rFonts w:ascii="Times New Roman" w:hAnsi="Times New Roman"/>
          <w:sz w:val="24"/>
          <w:szCs w:val="24"/>
        </w:rPr>
        <w:t xml:space="preserve">, tad pasākumam </w:t>
      </w:r>
      <w:r w:rsidR="00A5287F" w:rsidRPr="006B1F28">
        <w:rPr>
          <w:rFonts w:ascii="Times New Roman" w:hAnsi="Times New Roman"/>
          <w:sz w:val="24"/>
          <w:szCs w:val="24"/>
          <w:u w:val="single"/>
        </w:rPr>
        <w:t>rēķina kumulatīvo/uzkrāto punktu vērtību</w:t>
      </w:r>
      <w:r w:rsidR="00A5287F" w:rsidRPr="000C1425">
        <w:rPr>
          <w:rFonts w:ascii="Times New Roman" w:hAnsi="Times New Roman"/>
          <w:sz w:val="24"/>
          <w:szCs w:val="24"/>
        </w:rPr>
        <w:t xml:space="preserve">, </w:t>
      </w:r>
      <w:r w:rsidR="00A5287F">
        <w:rPr>
          <w:rFonts w:ascii="Times New Roman" w:hAnsi="Times New Roman"/>
          <w:sz w:val="24"/>
          <w:szCs w:val="24"/>
        </w:rPr>
        <w:t xml:space="preserve">un katastrofas pārvaldīšanas </w:t>
      </w:r>
      <w:r w:rsidR="00A5287F" w:rsidRPr="006B1F28">
        <w:rPr>
          <w:rFonts w:ascii="Times New Roman" w:hAnsi="Times New Roman"/>
          <w:sz w:val="24"/>
          <w:szCs w:val="24"/>
          <w:u w:val="single"/>
        </w:rPr>
        <w:t xml:space="preserve">pasākums iegūst </w:t>
      </w:r>
      <w:r w:rsidRPr="006B1F28">
        <w:rPr>
          <w:rFonts w:ascii="Times New Roman" w:hAnsi="Times New Roman"/>
          <w:sz w:val="24"/>
          <w:szCs w:val="24"/>
          <w:u w:val="single"/>
        </w:rPr>
        <w:t>augstāk</w:t>
      </w:r>
      <w:r w:rsidR="00A5287F" w:rsidRPr="006B1F28">
        <w:rPr>
          <w:rFonts w:ascii="Times New Roman" w:hAnsi="Times New Roman"/>
          <w:sz w:val="24"/>
          <w:szCs w:val="24"/>
          <w:u w:val="single"/>
        </w:rPr>
        <w:t>u</w:t>
      </w:r>
      <w:r w:rsidRPr="006B1F28">
        <w:rPr>
          <w:rFonts w:ascii="Times New Roman" w:hAnsi="Times New Roman"/>
          <w:sz w:val="24"/>
          <w:szCs w:val="24"/>
          <w:u w:val="single"/>
        </w:rPr>
        <w:t xml:space="preserve"> vērīb</w:t>
      </w:r>
      <w:r w:rsidR="00A5287F" w:rsidRPr="006B1F28">
        <w:rPr>
          <w:rFonts w:ascii="Times New Roman" w:hAnsi="Times New Roman"/>
          <w:sz w:val="24"/>
          <w:szCs w:val="24"/>
          <w:u w:val="single"/>
        </w:rPr>
        <w:t>u</w:t>
      </w:r>
      <w:r w:rsidRPr="006B1F28">
        <w:rPr>
          <w:rFonts w:ascii="Times New Roman" w:hAnsi="Times New Roman"/>
          <w:sz w:val="24"/>
          <w:szCs w:val="24"/>
          <w:u w:val="single"/>
        </w:rPr>
        <w:t>, t.i. augstāk</w:t>
      </w:r>
      <w:r w:rsidR="00A5287F" w:rsidRPr="006B1F28">
        <w:rPr>
          <w:rFonts w:ascii="Times New Roman" w:hAnsi="Times New Roman"/>
          <w:sz w:val="24"/>
          <w:szCs w:val="24"/>
          <w:u w:val="single"/>
        </w:rPr>
        <w:t>u</w:t>
      </w:r>
      <w:r w:rsidRPr="006B1F28">
        <w:rPr>
          <w:rFonts w:ascii="Times New Roman" w:hAnsi="Times New Roman"/>
          <w:sz w:val="24"/>
          <w:szCs w:val="24"/>
          <w:u w:val="single"/>
        </w:rPr>
        <w:t xml:space="preserve"> prioritāt</w:t>
      </w:r>
      <w:r w:rsidR="00A5287F" w:rsidRPr="006B1F28">
        <w:rPr>
          <w:rFonts w:ascii="Times New Roman" w:hAnsi="Times New Roman"/>
          <w:sz w:val="24"/>
          <w:szCs w:val="24"/>
          <w:u w:val="single"/>
        </w:rPr>
        <w:t>i vai</w:t>
      </w:r>
      <w:r w:rsidRPr="006B1F28">
        <w:rPr>
          <w:rFonts w:ascii="Times New Roman" w:hAnsi="Times New Roman"/>
          <w:sz w:val="24"/>
          <w:szCs w:val="24"/>
          <w:u w:val="single"/>
        </w:rPr>
        <w:t xml:space="preserve"> nozīm</w:t>
      </w:r>
      <w:r w:rsidR="00A5287F" w:rsidRPr="006B1F28">
        <w:rPr>
          <w:rFonts w:ascii="Times New Roman" w:hAnsi="Times New Roman"/>
          <w:sz w:val="24"/>
          <w:szCs w:val="24"/>
          <w:u w:val="single"/>
        </w:rPr>
        <w:t>i</w:t>
      </w:r>
      <w:r>
        <w:rPr>
          <w:rFonts w:ascii="Times New Roman" w:hAnsi="Times New Roman"/>
          <w:sz w:val="24"/>
          <w:szCs w:val="24"/>
        </w:rPr>
        <w:t xml:space="preserve">. </w:t>
      </w:r>
    </w:p>
    <w:p w14:paraId="466CF4CC" w14:textId="6F2758C3" w:rsidR="005A5AE9" w:rsidRDefault="006B1F28" w:rsidP="009A2639">
      <w:pPr>
        <w:spacing w:after="0" w:line="240" w:lineRule="auto"/>
        <w:ind w:firstLine="360"/>
        <w:jc w:val="both"/>
        <w:rPr>
          <w:rFonts w:ascii="Times New Roman" w:hAnsi="Times New Roman"/>
          <w:sz w:val="24"/>
          <w:szCs w:val="24"/>
        </w:rPr>
      </w:pPr>
      <w:r>
        <w:rPr>
          <w:rFonts w:ascii="Times New Roman" w:hAnsi="Times New Roman"/>
          <w:sz w:val="24"/>
          <w:szCs w:val="24"/>
        </w:rPr>
        <w:t>Metodoloģija paredz nosacījumus</w:t>
      </w:r>
      <w:r w:rsidR="00527772">
        <w:rPr>
          <w:rFonts w:ascii="Times New Roman" w:hAnsi="Times New Roman"/>
          <w:sz w:val="24"/>
          <w:szCs w:val="24"/>
        </w:rPr>
        <w:t>,</w:t>
      </w:r>
      <w:r w:rsidR="00E96F56">
        <w:rPr>
          <w:rFonts w:ascii="Times New Roman" w:hAnsi="Times New Roman"/>
          <w:sz w:val="24"/>
          <w:szCs w:val="24"/>
        </w:rPr>
        <w:t xml:space="preserve"> j</w:t>
      </w:r>
      <w:r w:rsidR="009A2639" w:rsidRPr="009A2639">
        <w:rPr>
          <w:rFonts w:ascii="Times New Roman" w:hAnsi="Times New Roman"/>
          <w:sz w:val="24"/>
          <w:szCs w:val="24"/>
        </w:rPr>
        <w:t xml:space="preserve">a </w:t>
      </w:r>
      <w:r w:rsidR="00E96F56">
        <w:rPr>
          <w:rFonts w:ascii="Times New Roman" w:hAnsi="Times New Roman"/>
          <w:sz w:val="24"/>
          <w:szCs w:val="24"/>
        </w:rPr>
        <w:t xml:space="preserve">katastrofas pārvaldīšanas </w:t>
      </w:r>
      <w:r w:rsidR="00E96F56" w:rsidRPr="006B1F28">
        <w:rPr>
          <w:rFonts w:ascii="Times New Roman" w:hAnsi="Times New Roman"/>
          <w:sz w:val="24"/>
          <w:szCs w:val="24"/>
          <w:u w:val="single"/>
        </w:rPr>
        <w:t xml:space="preserve">pasākums </w:t>
      </w:r>
      <w:r w:rsidR="009A2639" w:rsidRPr="006B1F28">
        <w:rPr>
          <w:rFonts w:ascii="Times New Roman" w:hAnsi="Times New Roman"/>
          <w:sz w:val="24"/>
          <w:szCs w:val="24"/>
          <w:u w:val="single"/>
        </w:rPr>
        <w:t xml:space="preserve">ir </w:t>
      </w:r>
      <w:r w:rsidR="00E96F56" w:rsidRPr="006B1F28">
        <w:rPr>
          <w:rFonts w:ascii="Times New Roman" w:hAnsi="Times New Roman"/>
          <w:sz w:val="24"/>
          <w:szCs w:val="24"/>
          <w:u w:val="single"/>
        </w:rPr>
        <w:t>identificēts vairāk nekā pusei no Valsts civilās aizsardzības plānā noteiktajiem apdraudējum</w:t>
      </w:r>
      <w:r w:rsidR="00527772" w:rsidRPr="006B1F28">
        <w:rPr>
          <w:rFonts w:ascii="Times New Roman" w:hAnsi="Times New Roman"/>
          <w:sz w:val="24"/>
          <w:szCs w:val="24"/>
          <w:u w:val="single"/>
        </w:rPr>
        <w:t>a pielikumiem</w:t>
      </w:r>
      <w:r w:rsidR="00527772">
        <w:rPr>
          <w:rFonts w:ascii="Times New Roman" w:hAnsi="Times New Roman"/>
          <w:sz w:val="24"/>
          <w:szCs w:val="24"/>
        </w:rPr>
        <w:t xml:space="preserve"> (Valsts civilās aizsardzības plānā iekļauti  </w:t>
      </w:r>
      <w:r w:rsidR="00527772" w:rsidRPr="009A2639">
        <w:rPr>
          <w:rFonts w:ascii="Times New Roman" w:hAnsi="Times New Roman"/>
          <w:sz w:val="24"/>
          <w:szCs w:val="24"/>
        </w:rPr>
        <w:t>25</w:t>
      </w:r>
      <w:r w:rsidR="00527772">
        <w:rPr>
          <w:rFonts w:ascii="Times New Roman" w:hAnsi="Times New Roman"/>
          <w:sz w:val="24"/>
          <w:szCs w:val="24"/>
        </w:rPr>
        <w:t xml:space="preserve"> pielikumi, kuros </w:t>
      </w:r>
      <w:r w:rsidR="00BA2448">
        <w:rPr>
          <w:rFonts w:ascii="Times New Roman" w:hAnsi="Times New Roman"/>
          <w:sz w:val="24"/>
          <w:szCs w:val="24"/>
        </w:rPr>
        <w:t>apzināti</w:t>
      </w:r>
      <w:r w:rsidR="00527772">
        <w:rPr>
          <w:rFonts w:ascii="Times New Roman" w:hAnsi="Times New Roman"/>
          <w:sz w:val="24"/>
          <w:szCs w:val="24"/>
        </w:rPr>
        <w:t xml:space="preserve"> katastrofas pārvaldīšanas pasākumi), tad </w:t>
      </w:r>
      <w:r w:rsidR="009A2639" w:rsidRPr="009A2639">
        <w:rPr>
          <w:rFonts w:ascii="Times New Roman" w:hAnsi="Times New Roman"/>
          <w:sz w:val="24"/>
          <w:szCs w:val="24"/>
        </w:rPr>
        <w:t xml:space="preserve">attiecīgais katastrofu </w:t>
      </w:r>
      <w:r w:rsidR="009A2639" w:rsidRPr="006B1F28">
        <w:rPr>
          <w:rFonts w:ascii="Times New Roman" w:hAnsi="Times New Roman"/>
          <w:sz w:val="24"/>
          <w:szCs w:val="24"/>
          <w:u w:val="single"/>
        </w:rPr>
        <w:t>pārva</w:t>
      </w:r>
      <w:r w:rsidR="00527772" w:rsidRPr="006B1F28">
        <w:rPr>
          <w:rFonts w:ascii="Times New Roman" w:hAnsi="Times New Roman"/>
          <w:sz w:val="24"/>
          <w:szCs w:val="24"/>
          <w:u w:val="single"/>
        </w:rPr>
        <w:t xml:space="preserve">ldīšanas </w:t>
      </w:r>
      <w:r w:rsidR="009A2639" w:rsidRPr="006B1F28">
        <w:rPr>
          <w:rFonts w:ascii="Times New Roman" w:hAnsi="Times New Roman"/>
          <w:sz w:val="24"/>
          <w:szCs w:val="24"/>
          <w:u w:val="single"/>
        </w:rPr>
        <w:t xml:space="preserve">pasākums (pēc noklusējuma) </w:t>
      </w:r>
      <w:r w:rsidR="00527772" w:rsidRPr="006B1F28">
        <w:rPr>
          <w:rFonts w:ascii="Times New Roman" w:hAnsi="Times New Roman"/>
          <w:sz w:val="24"/>
          <w:szCs w:val="24"/>
          <w:u w:val="single"/>
        </w:rPr>
        <w:t xml:space="preserve">tiek uzskatīts par augstāko </w:t>
      </w:r>
      <w:r w:rsidR="009A2639" w:rsidRPr="006B1F28">
        <w:rPr>
          <w:rFonts w:ascii="Times New Roman" w:hAnsi="Times New Roman"/>
          <w:sz w:val="24"/>
          <w:szCs w:val="24"/>
          <w:u w:val="single"/>
        </w:rPr>
        <w:t>prioritāro pasākumu</w:t>
      </w:r>
      <w:r w:rsidR="00BA2448" w:rsidRPr="006B1F28">
        <w:rPr>
          <w:rFonts w:ascii="Times New Roman" w:hAnsi="Times New Roman"/>
          <w:sz w:val="24"/>
          <w:szCs w:val="24"/>
          <w:u w:val="single"/>
        </w:rPr>
        <w:t xml:space="preserve"> vai tam ir lielāka nozīme</w:t>
      </w:r>
      <w:r w:rsidR="009A2639" w:rsidRPr="009A2639">
        <w:rPr>
          <w:rFonts w:ascii="Times New Roman" w:hAnsi="Times New Roman"/>
          <w:sz w:val="24"/>
          <w:szCs w:val="24"/>
        </w:rPr>
        <w:t>.</w:t>
      </w:r>
    </w:p>
    <w:p w14:paraId="5CF808FB" w14:textId="77777777" w:rsidR="005A5AE9" w:rsidRDefault="005A5AE9" w:rsidP="00186BB8">
      <w:pPr>
        <w:spacing w:after="0" w:line="240" w:lineRule="auto"/>
        <w:jc w:val="both"/>
        <w:rPr>
          <w:rFonts w:ascii="Times New Roman" w:hAnsi="Times New Roman"/>
          <w:sz w:val="24"/>
          <w:szCs w:val="24"/>
        </w:rPr>
      </w:pPr>
    </w:p>
    <w:p w14:paraId="039CD474" w14:textId="77777777" w:rsidR="000048D7" w:rsidRPr="000C1425" w:rsidRDefault="000048D7" w:rsidP="00201049">
      <w:pPr>
        <w:spacing w:after="0" w:line="240" w:lineRule="auto"/>
        <w:rPr>
          <w:rFonts w:ascii="Times New Roman" w:hAnsi="Times New Roman"/>
          <w:sz w:val="24"/>
          <w:szCs w:val="24"/>
        </w:rPr>
      </w:pPr>
    </w:p>
    <w:p w14:paraId="1641B333" w14:textId="77777777" w:rsidR="00CE1382" w:rsidRPr="000C1425" w:rsidRDefault="00CE1382" w:rsidP="00201049">
      <w:pPr>
        <w:spacing w:after="0" w:line="240" w:lineRule="auto"/>
        <w:rPr>
          <w:rFonts w:ascii="Times New Roman" w:hAnsi="Times New Roman"/>
          <w:sz w:val="24"/>
          <w:szCs w:val="24"/>
        </w:rPr>
        <w:sectPr w:rsidR="00CE1382" w:rsidRPr="000C1425" w:rsidSect="00CE1382">
          <w:headerReference w:type="default" r:id="rId8"/>
          <w:footerReference w:type="default" r:id="rId9"/>
          <w:footerReference w:type="first" r:id="rId10"/>
          <w:pgSz w:w="11906" w:h="16838" w:code="9"/>
          <w:pgMar w:top="1134" w:right="1134" w:bottom="1134" w:left="851" w:header="709" w:footer="709" w:gutter="0"/>
          <w:cols w:space="708"/>
          <w:titlePg/>
          <w:docGrid w:linePitch="360"/>
        </w:sectPr>
      </w:pPr>
    </w:p>
    <w:p w14:paraId="57D0F366" w14:textId="45BF399F" w:rsidR="00CE1382" w:rsidRDefault="00CE1382">
      <w:pPr>
        <w:rPr>
          <w:rFonts w:ascii="Times New Roman" w:hAnsi="Times New Roman"/>
          <w:sz w:val="24"/>
          <w:szCs w:val="24"/>
        </w:rPr>
      </w:pPr>
    </w:p>
    <w:p w14:paraId="232A2111" w14:textId="7A5325B2" w:rsidR="007C58A8" w:rsidRPr="00E81B97" w:rsidRDefault="007C58A8" w:rsidP="007C58A8">
      <w:pPr>
        <w:spacing w:after="0" w:line="360" w:lineRule="auto"/>
        <w:jc w:val="center"/>
        <w:rPr>
          <w:rFonts w:ascii="Times New Roman" w:hAnsi="Times New Roman"/>
          <w:b/>
          <w:sz w:val="24"/>
          <w:szCs w:val="24"/>
        </w:rPr>
      </w:pPr>
      <w:r w:rsidRPr="00E81B97">
        <w:rPr>
          <w:rFonts w:ascii="Times New Roman" w:hAnsi="Times New Roman"/>
          <w:b/>
          <w:sz w:val="24"/>
          <w:szCs w:val="24"/>
        </w:rPr>
        <w:t>Pl</w:t>
      </w:r>
      <w:r w:rsidRPr="00E81B97">
        <w:rPr>
          <w:rFonts w:ascii="Times New Roman" w:hAnsi="Times New Roman" w:hint="eastAsia"/>
          <w:b/>
          <w:sz w:val="24"/>
          <w:szCs w:val="24"/>
        </w:rPr>
        <w:t>ā</w:t>
      </w:r>
      <w:r w:rsidRPr="00E81B97">
        <w:rPr>
          <w:rFonts w:ascii="Times New Roman" w:hAnsi="Times New Roman"/>
          <w:b/>
          <w:sz w:val="24"/>
          <w:szCs w:val="24"/>
        </w:rPr>
        <w:t xml:space="preserve">noto </w:t>
      </w:r>
      <w:r w:rsidR="007F0FEC">
        <w:rPr>
          <w:rFonts w:ascii="Times New Roman" w:hAnsi="Times New Roman"/>
          <w:b/>
          <w:sz w:val="24"/>
          <w:szCs w:val="24"/>
        </w:rPr>
        <w:t xml:space="preserve">katastrofu pārvaldīšanas </w:t>
      </w:r>
      <w:r w:rsidR="005F17A1" w:rsidRPr="00E81B97">
        <w:rPr>
          <w:rFonts w:ascii="Times New Roman" w:hAnsi="Times New Roman"/>
          <w:b/>
          <w:sz w:val="24"/>
          <w:szCs w:val="24"/>
        </w:rPr>
        <w:t>pasākumu novērtējums</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551"/>
        <w:gridCol w:w="1587"/>
        <w:gridCol w:w="1106"/>
        <w:gridCol w:w="1418"/>
        <w:gridCol w:w="1559"/>
        <w:gridCol w:w="1276"/>
        <w:gridCol w:w="1134"/>
        <w:gridCol w:w="1984"/>
      </w:tblGrid>
      <w:tr w:rsidR="00CF4DF0" w:rsidRPr="00E81B97" w14:paraId="5543ABA1" w14:textId="271A9174" w:rsidTr="00326706">
        <w:tc>
          <w:tcPr>
            <w:tcW w:w="2836" w:type="dxa"/>
            <w:vMerge w:val="restart"/>
            <w:shd w:val="clear" w:color="auto" w:fill="auto"/>
            <w:vAlign w:val="center"/>
          </w:tcPr>
          <w:p w14:paraId="0901BE44" w14:textId="611E2D88" w:rsidR="00CF4DF0" w:rsidRPr="00E81B97" w:rsidRDefault="00CF4DF0" w:rsidP="00162569">
            <w:pPr>
              <w:spacing w:after="0" w:line="240" w:lineRule="auto"/>
              <w:jc w:val="center"/>
              <w:rPr>
                <w:rFonts w:ascii="Times New Roman" w:hAnsi="Times New Roman" w:cs="Times New Roman"/>
                <w:sz w:val="20"/>
                <w:szCs w:val="20"/>
              </w:rPr>
            </w:pPr>
            <w:r w:rsidRPr="00E81B97">
              <w:rPr>
                <w:rFonts w:ascii="Times New Roman" w:hAnsi="Times New Roman" w:cs="Times New Roman"/>
                <w:sz w:val="20"/>
                <w:szCs w:val="20"/>
              </w:rPr>
              <w:t>Pasākuma nosaukums</w:t>
            </w:r>
          </w:p>
        </w:tc>
        <w:tc>
          <w:tcPr>
            <w:tcW w:w="2551" w:type="dxa"/>
            <w:vMerge w:val="restart"/>
            <w:vAlign w:val="center"/>
          </w:tcPr>
          <w:p w14:paraId="1F05C404" w14:textId="747F3704" w:rsidR="00CF4DF0" w:rsidRPr="00E81B97" w:rsidRDefault="00326706" w:rsidP="006B1F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Apdraudējums</w:t>
            </w:r>
          </w:p>
        </w:tc>
        <w:tc>
          <w:tcPr>
            <w:tcW w:w="1587" w:type="dxa"/>
            <w:vMerge w:val="restart"/>
          </w:tcPr>
          <w:p w14:paraId="640CE8FF" w14:textId="77777777" w:rsidR="00CF4DF0" w:rsidRDefault="00CF4DF0" w:rsidP="00162569">
            <w:pPr>
              <w:spacing w:after="0" w:line="240" w:lineRule="auto"/>
              <w:jc w:val="center"/>
              <w:rPr>
                <w:rFonts w:ascii="Times New Roman" w:hAnsi="Times New Roman" w:cs="Times New Roman"/>
                <w:sz w:val="20"/>
                <w:szCs w:val="20"/>
              </w:rPr>
            </w:pPr>
          </w:p>
          <w:p w14:paraId="1DF14367" w14:textId="4C3C6437" w:rsidR="00CF4DF0" w:rsidRPr="00E81B97" w:rsidRDefault="00CF4DF0" w:rsidP="001625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Par ieviešanu atbildīgā institūcija</w:t>
            </w:r>
          </w:p>
        </w:tc>
        <w:tc>
          <w:tcPr>
            <w:tcW w:w="1106" w:type="dxa"/>
            <w:vMerge w:val="restart"/>
            <w:vAlign w:val="center"/>
          </w:tcPr>
          <w:p w14:paraId="11402F66" w14:textId="4DE9D084" w:rsidR="00CF4DF0" w:rsidRPr="00E81B97" w:rsidRDefault="00CF4DF0" w:rsidP="00162569">
            <w:pPr>
              <w:spacing w:after="0" w:line="240" w:lineRule="auto"/>
              <w:jc w:val="center"/>
              <w:rPr>
                <w:rFonts w:ascii="Times New Roman" w:hAnsi="Times New Roman" w:cs="Times New Roman"/>
                <w:sz w:val="20"/>
                <w:szCs w:val="20"/>
              </w:rPr>
            </w:pPr>
            <w:r w:rsidRPr="00E81B97">
              <w:rPr>
                <w:rFonts w:ascii="Times New Roman" w:hAnsi="Times New Roman" w:cs="Times New Roman"/>
                <w:sz w:val="20"/>
                <w:szCs w:val="20"/>
              </w:rPr>
              <w:t>Ieviešanas periods</w:t>
            </w:r>
          </w:p>
        </w:tc>
        <w:tc>
          <w:tcPr>
            <w:tcW w:w="5387" w:type="dxa"/>
            <w:gridSpan w:val="4"/>
            <w:shd w:val="clear" w:color="auto" w:fill="auto"/>
            <w:vAlign w:val="center"/>
          </w:tcPr>
          <w:p w14:paraId="616E085C" w14:textId="40452685" w:rsidR="00CF4DF0" w:rsidRPr="00E81B97" w:rsidRDefault="00CF4DF0" w:rsidP="001625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Novērtējums</w:t>
            </w:r>
          </w:p>
        </w:tc>
        <w:tc>
          <w:tcPr>
            <w:tcW w:w="1984" w:type="dxa"/>
            <w:vMerge w:val="restart"/>
            <w:vAlign w:val="center"/>
          </w:tcPr>
          <w:p w14:paraId="414ACC5B" w14:textId="7126FD19" w:rsidR="00CF4DF0" w:rsidRPr="00E81B97" w:rsidRDefault="00CF4DF0" w:rsidP="00162569">
            <w:pPr>
              <w:spacing w:after="0" w:line="240" w:lineRule="auto"/>
              <w:jc w:val="center"/>
              <w:rPr>
                <w:rFonts w:ascii="Times New Roman" w:hAnsi="Times New Roman" w:cs="Times New Roman"/>
                <w:sz w:val="20"/>
                <w:szCs w:val="20"/>
              </w:rPr>
            </w:pPr>
            <w:r w:rsidRPr="00E81B97">
              <w:rPr>
                <w:rFonts w:ascii="Times New Roman" w:hAnsi="Times New Roman" w:cs="Times New Roman"/>
                <w:sz w:val="20"/>
                <w:szCs w:val="20"/>
              </w:rPr>
              <w:t>Indikatīvais finansējuma avots</w:t>
            </w:r>
          </w:p>
        </w:tc>
      </w:tr>
      <w:tr w:rsidR="00CF4DF0" w:rsidRPr="00E81B97" w14:paraId="7D00CE89" w14:textId="77777777" w:rsidTr="00326706">
        <w:tc>
          <w:tcPr>
            <w:tcW w:w="2836" w:type="dxa"/>
            <w:vMerge/>
            <w:shd w:val="clear" w:color="auto" w:fill="auto"/>
            <w:vAlign w:val="center"/>
          </w:tcPr>
          <w:p w14:paraId="06A86981" w14:textId="77777777" w:rsidR="00CF4DF0" w:rsidRPr="00E81B97" w:rsidRDefault="00CF4DF0" w:rsidP="00CF4DF0">
            <w:pPr>
              <w:spacing w:after="0" w:line="240" w:lineRule="auto"/>
              <w:jc w:val="center"/>
              <w:rPr>
                <w:rFonts w:ascii="Times New Roman" w:hAnsi="Times New Roman" w:cs="Times New Roman"/>
                <w:sz w:val="20"/>
                <w:szCs w:val="20"/>
              </w:rPr>
            </w:pPr>
          </w:p>
        </w:tc>
        <w:tc>
          <w:tcPr>
            <w:tcW w:w="2551" w:type="dxa"/>
            <w:vMerge/>
            <w:vAlign w:val="center"/>
          </w:tcPr>
          <w:p w14:paraId="05E41FB5" w14:textId="77777777" w:rsidR="00CF4DF0" w:rsidRDefault="00CF4DF0" w:rsidP="00CF4DF0">
            <w:pPr>
              <w:spacing w:after="0" w:line="240" w:lineRule="auto"/>
              <w:jc w:val="center"/>
              <w:rPr>
                <w:rFonts w:ascii="Times New Roman" w:hAnsi="Times New Roman" w:cs="Times New Roman"/>
                <w:sz w:val="20"/>
                <w:szCs w:val="20"/>
              </w:rPr>
            </w:pPr>
          </w:p>
        </w:tc>
        <w:tc>
          <w:tcPr>
            <w:tcW w:w="1587" w:type="dxa"/>
            <w:vMerge/>
          </w:tcPr>
          <w:p w14:paraId="420FB891" w14:textId="77777777" w:rsidR="00CF4DF0" w:rsidRPr="00E81B97" w:rsidRDefault="00CF4DF0" w:rsidP="00CF4DF0">
            <w:pPr>
              <w:spacing w:after="0" w:line="240" w:lineRule="auto"/>
              <w:jc w:val="center"/>
              <w:rPr>
                <w:rFonts w:ascii="Times New Roman" w:hAnsi="Times New Roman" w:cs="Times New Roman"/>
                <w:sz w:val="20"/>
                <w:szCs w:val="20"/>
              </w:rPr>
            </w:pPr>
          </w:p>
        </w:tc>
        <w:tc>
          <w:tcPr>
            <w:tcW w:w="1106" w:type="dxa"/>
            <w:vMerge/>
            <w:vAlign w:val="center"/>
          </w:tcPr>
          <w:p w14:paraId="1BA10BD1" w14:textId="4BB38C07" w:rsidR="00CF4DF0" w:rsidRPr="00E81B97" w:rsidRDefault="00CF4DF0" w:rsidP="00CF4DF0">
            <w:pPr>
              <w:spacing w:after="0" w:line="240" w:lineRule="auto"/>
              <w:jc w:val="center"/>
              <w:rPr>
                <w:rFonts w:ascii="Times New Roman" w:hAnsi="Times New Roman" w:cs="Times New Roman"/>
                <w:sz w:val="20"/>
                <w:szCs w:val="20"/>
              </w:rPr>
            </w:pPr>
          </w:p>
        </w:tc>
        <w:tc>
          <w:tcPr>
            <w:tcW w:w="1418" w:type="dxa"/>
            <w:shd w:val="clear" w:color="auto" w:fill="auto"/>
            <w:vAlign w:val="center"/>
          </w:tcPr>
          <w:p w14:paraId="0C4F1916" w14:textId="6D834259" w:rsidR="00CF4DF0" w:rsidRPr="00E81B97" w:rsidRDefault="00326706" w:rsidP="003267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Apdraudējuma</w:t>
            </w:r>
            <w:r w:rsidR="00CF4DF0" w:rsidRPr="00E81B97">
              <w:rPr>
                <w:rFonts w:ascii="Times New Roman" w:hAnsi="Times New Roman" w:cs="Times New Roman"/>
                <w:sz w:val="20"/>
                <w:szCs w:val="20"/>
              </w:rPr>
              <w:t xml:space="preserve"> </w:t>
            </w:r>
            <w:r w:rsidR="006B1F28">
              <w:rPr>
                <w:rFonts w:ascii="Times New Roman" w:hAnsi="Times New Roman" w:cs="Times New Roman"/>
                <w:sz w:val="20"/>
                <w:szCs w:val="20"/>
              </w:rPr>
              <w:t>prioritāte (</w:t>
            </w:r>
            <w:r w:rsidR="00CF4DF0" w:rsidRPr="00E81B97">
              <w:rPr>
                <w:rFonts w:ascii="Times New Roman" w:hAnsi="Times New Roman" w:cs="Times New Roman"/>
                <w:sz w:val="20"/>
                <w:szCs w:val="20"/>
              </w:rPr>
              <w:t>nozīmīgums</w:t>
            </w:r>
            <w:r w:rsidR="006B1F28">
              <w:rPr>
                <w:rFonts w:ascii="Times New Roman" w:hAnsi="Times New Roman" w:cs="Times New Roman"/>
                <w:sz w:val="20"/>
                <w:szCs w:val="20"/>
              </w:rPr>
              <w:t>)</w:t>
            </w:r>
          </w:p>
        </w:tc>
        <w:tc>
          <w:tcPr>
            <w:tcW w:w="1559" w:type="dxa"/>
            <w:shd w:val="clear" w:color="auto" w:fill="auto"/>
            <w:vAlign w:val="center"/>
          </w:tcPr>
          <w:p w14:paraId="51821165" w14:textId="3311CEA6" w:rsidR="00CF4DF0" w:rsidRPr="00E81B97" w:rsidRDefault="00CF4DF0" w:rsidP="00326706">
            <w:pPr>
              <w:spacing w:after="0" w:line="240" w:lineRule="auto"/>
              <w:jc w:val="center"/>
              <w:rPr>
                <w:rFonts w:ascii="Times New Roman" w:hAnsi="Times New Roman" w:cs="Times New Roman"/>
                <w:sz w:val="20"/>
                <w:szCs w:val="20"/>
              </w:rPr>
            </w:pPr>
            <w:r w:rsidRPr="00E81B97">
              <w:rPr>
                <w:rFonts w:ascii="Times New Roman" w:hAnsi="Times New Roman" w:cs="Times New Roman"/>
                <w:sz w:val="20"/>
                <w:szCs w:val="20"/>
              </w:rPr>
              <w:t xml:space="preserve">Apdraudējuma pārvarēšanas </w:t>
            </w:r>
            <w:r w:rsidR="00326706">
              <w:rPr>
                <w:rFonts w:ascii="Times New Roman" w:hAnsi="Times New Roman" w:cs="Times New Roman"/>
                <w:sz w:val="20"/>
                <w:szCs w:val="20"/>
              </w:rPr>
              <w:t>spēju/jaudas</w:t>
            </w:r>
            <w:r w:rsidR="00020080">
              <w:rPr>
                <w:rFonts w:ascii="Times New Roman" w:hAnsi="Times New Roman" w:cs="Times New Roman"/>
                <w:sz w:val="20"/>
                <w:szCs w:val="20"/>
              </w:rPr>
              <w:t xml:space="preserve"> trūkums vai</w:t>
            </w:r>
            <w:r w:rsidR="00326706">
              <w:rPr>
                <w:rFonts w:ascii="Times New Roman" w:hAnsi="Times New Roman" w:cs="Times New Roman"/>
                <w:sz w:val="20"/>
                <w:szCs w:val="20"/>
              </w:rPr>
              <w:t xml:space="preserve"> </w:t>
            </w:r>
            <w:r w:rsidRPr="00E81B97">
              <w:rPr>
                <w:rFonts w:ascii="Times New Roman" w:hAnsi="Times New Roman" w:cs="Times New Roman"/>
                <w:sz w:val="20"/>
                <w:szCs w:val="20"/>
              </w:rPr>
              <w:t>nepietiekamība</w:t>
            </w:r>
          </w:p>
        </w:tc>
        <w:tc>
          <w:tcPr>
            <w:tcW w:w="1276" w:type="dxa"/>
            <w:shd w:val="clear" w:color="auto" w:fill="auto"/>
            <w:vAlign w:val="center"/>
          </w:tcPr>
          <w:p w14:paraId="05E23692" w14:textId="0F658605" w:rsidR="00CF4DF0" w:rsidRPr="00E81B97" w:rsidRDefault="00CF4DF0" w:rsidP="00CF4DF0">
            <w:pPr>
              <w:spacing w:after="0" w:line="240" w:lineRule="auto"/>
              <w:jc w:val="center"/>
              <w:rPr>
                <w:rFonts w:ascii="Times New Roman" w:hAnsi="Times New Roman" w:cs="Times New Roman"/>
                <w:sz w:val="20"/>
                <w:szCs w:val="20"/>
              </w:rPr>
            </w:pPr>
            <w:r w:rsidRPr="00E81B97">
              <w:rPr>
                <w:rFonts w:ascii="Times New Roman" w:hAnsi="Times New Roman" w:cs="Times New Roman"/>
                <w:sz w:val="20"/>
                <w:szCs w:val="20"/>
              </w:rPr>
              <w:t>Efektivitāte</w:t>
            </w:r>
          </w:p>
        </w:tc>
        <w:tc>
          <w:tcPr>
            <w:tcW w:w="1134" w:type="dxa"/>
            <w:shd w:val="clear" w:color="auto" w:fill="auto"/>
            <w:vAlign w:val="center"/>
          </w:tcPr>
          <w:p w14:paraId="52544193" w14:textId="44D32E1B" w:rsidR="00CF4DF0" w:rsidRPr="00E81B97" w:rsidRDefault="00CF4DF0" w:rsidP="00CF4DF0">
            <w:pPr>
              <w:spacing w:after="0" w:line="240" w:lineRule="auto"/>
              <w:jc w:val="center"/>
              <w:rPr>
                <w:rFonts w:ascii="Times New Roman" w:hAnsi="Times New Roman" w:cs="Times New Roman"/>
                <w:sz w:val="20"/>
                <w:szCs w:val="20"/>
              </w:rPr>
            </w:pPr>
            <w:r w:rsidRPr="00E81B97">
              <w:rPr>
                <w:rFonts w:ascii="Times New Roman" w:hAnsi="Times New Roman" w:cs="Times New Roman"/>
                <w:sz w:val="20"/>
                <w:szCs w:val="20"/>
              </w:rPr>
              <w:t>Lietderība</w:t>
            </w:r>
          </w:p>
        </w:tc>
        <w:tc>
          <w:tcPr>
            <w:tcW w:w="1984" w:type="dxa"/>
            <w:vMerge/>
            <w:vAlign w:val="center"/>
          </w:tcPr>
          <w:p w14:paraId="056489A2" w14:textId="77777777" w:rsidR="00CF4DF0" w:rsidRPr="00E81B97" w:rsidRDefault="00CF4DF0" w:rsidP="00CF4DF0">
            <w:pPr>
              <w:spacing w:after="0" w:line="240" w:lineRule="auto"/>
              <w:jc w:val="center"/>
              <w:rPr>
                <w:rFonts w:ascii="Times New Roman" w:hAnsi="Times New Roman" w:cs="Times New Roman"/>
                <w:sz w:val="20"/>
                <w:szCs w:val="20"/>
              </w:rPr>
            </w:pPr>
          </w:p>
        </w:tc>
      </w:tr>
      <w:tr w:rsidR="00FA3BB5" w:rsidRPr="001669D0" w14:paraId="1355AFAE" w14:textId="77777777" w:rsidTr="00326706">
        <w:tc>
          <w:tcPr>
            <w:tcW w:w="15451" w:type="dxa"/>
            <w:gridSpan w:val="9"/>
          </w:tcPr>
          <w:p w14:paraId="0DDDDC36" w14:textId="70286C36" w:rsidR="00FA3BB5" w:rsidRPr="001669D0" w:rsidRDefault="00FA3BB5" w:rsidP="008E6541">
            <w:pPr>
              <w:spacing w:before="60" w:after="60" w:line="240" w:lineRule="auto"/>
              <w:jc w:val="center"/>
              <w:rPr>
                <w:rFonts w:ascii="Times New Roman" w:hAnsi="Times New Roman" w:cs="Times New Roman"/>
                <w:b/>
                <w:sz w:val="20"/>
                <w:szCs w:val="20"/>
              </w:rPr>
            </w:pPr>
            <w:r w:rsidRPr="001669D0">
              <w:rPr>
                <w:rFonts w:ascii="Times New Roman" w:hAnsi="Times New Roman" w:cs="Times New Roman"/>
                <w:b/>
                <w:sz w:val="20"/>
                <w:szCs w:val="20"/>
              </w:rPr>
              <w:t>Preventīvie un gatavības pasākumi</w:t>
            </w:r>
          </w:p>
        </w:tc>
      </w:tr>
      <w:tr w:rsidR="00CF4DF0" w:rsidRPr="00045549" w14:paraId="63DC172B" w14:textId="77777777" w:rsidTr="00326706">
        <w:tc>
          <w:tcPr>
            <w:tcW w:w="2836" w:type="dxa"/>
            <w:shd w:val="clear" w:color="auto" w:fill="auto"/>
          </w:tcPr>
          <w:p w14:paraId="3874C1D6" w14:textId="78537E31" w:rsidR="00CF4DF0" w:rsidRPr="00C85731" w:rsidRDefault="00CF4DF0" w:rsidP="006B1F28">
            <w:pPr>
              <w:spacing w:after="0" w:line="240" w:lineRule="auto"/>
              <w:jc w:val="both"/>
              <w:rPr>
                <w:rFonts w:ascii="Times New Roman" w:hAnsi="Times New Roman" w:cs="Times New Roman"/>
                <w:sz w:val="20"/>
                <w:szCs w:val="20"/>
              </w:rPr>
            </w:pPr>
            <w:r w:rsidRPr="00C85731">
              <w:rPr>
                <w:rFonts w:ascii="Times New Roman" w:hAnsi="Times New Roman" w:cs="Times New Roman"/>
                <w:sz w:val="20"/>
                <w:szCs w:val="20"/>
              </w:rPr>
              <w:t>Valsts  ugunsdzēsības un glābšanas speciālo ugunsdzēsības un glābš</w:t>
            </w:r>
            <w:r>
              <w:rPr>
                <w:rFonts w:ascii="Times New Roman" w:hAnsi="Times New Roman" w:cs="Times New Roman"/>
                <w:sz w:val="20"/>
                <w:szCs w:val="20"/>
              </w:rPr>
              <w:t>anas transportlīdzekļu, speciālās tehnikas</w:t>
            </w:r>
            <w:r w:rsidRPr="00C85731">
              <w:rPr>
                <w:rFonts w:ascii="Times New Roman" w:hAnsi="Times New Roman" w:cs="Times New Roman"/>
                <w:sz w:val="20"/>
                <w:szCs w:val="20"/>
              </w:rPr>
              <w:t xml:space="preserve"> un materiāltehnisko līdzekļu (aprīkojuma) iegāde un uzturēšana, reaģēšanas un seku likvidēšanas pasākumu īstenošanai </w:t>
            </w:r>
          </w:p>
        </w:tc>
        <w:tc>
          <w:tcPr>
            <w:tcW w:w="2551" w:type="dxa"/>
          </w:tcPr>
          <w:p w14:paraId="796EB633" w14:textId="77777777" w:rsidR="00CF4DF0" w:rsidRDefault="00CF4DF0" w:rsidP="00034336">
            <w:pPr>
              <w:spacing w:after="0" w:line="240" w:lineRule="auto"/>
            </w:pPr>
            <w:r>
              <w:rPr>
                <w:rFonts w:ascii="Times New Roman" w:hAnsi="Times New Roman" w:cs="Times New Roman"/>
                <w:sz w:val="20"/>
                <w:szCs w:val="20"/>
              </w:rPr>
              <w:t>Zemestrīce</w:t>
            </w:r>
            <w:r>
              <w:t xml:space="preserve"> </w:t>
            </w:r>
          </w:p>
          <w:p w14:paraId="41FF4D04" w14:textId="77777777" w:rsidR="00CF4DF0" w:rsidRDefault="00CF4DF0" w:rsidP="00034336">
            <w:pPr>
              <w:spacing w:after="0" w:line="240" w:lineRule="auto"/>
              <w:rPr>
                <w:rFonts w:ascii="Times New Roman" w:hAnsi="Times New Roman" w:cs="Times New Roman"/>
                <w:sz w:val="20"/>
                <w:szCs w:val="20"/>
              </w:rPr>
            </w:pPr>
            <w:r w:rsidRPr="00034336">
              <w:rPr>
                <w:rFonts w:ascii="Times New Roman" w:hAnsi="Times New Roman" w:cs="Times New Roman"/>
                <w:sz w:val="20"/>
                <w:szCs w:val="20"/>
              </w:rPr>
              <w:t>Zemes nogruvums</w:t>
            </w:r>
          </w:p>
          <w:p w14:paraId="5DCF179E" w14:textId="77777777" w:rsidR="00CF4DF0" w:rsidRDefault="00CF4DF0" w:rsidP="00034336">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7A52BFBF" w14:textId="77777777" w:rsidR="00CF4DF0" w:rsidRDefault="00CF4DF0" w:rsidP="009350F7">
            <w:pPr>
              <w:spacing w:after="0" w:line="240" w:lineRule="auto"/>
              <w:rPr>
                <w:rFonts w:ascii="Times New Roman" w:hAnsi="Times New Roman" w:cs="Times New Roman"/>
                <w:sz w:val="20"/>
                <w:szCs w:val="20"/>
              </w:rPr>
            </w:pPr>
            <w:r>
              <w:rPr>
                <w:rFonts w:ascii="Times New Roman" w:hAnsi="Times New Roman" w:cs="Times New Roman"/>
                <w:sz w:val="20"/>
                <w:szCs w:val="20"/>
              </w:rPr>
              <w:t>V</w:t>
            </w:r>
            <w:r w:rsidRPr="009350F7">
              <w:rPr>
                <w:rFonts w:ascii="Times New Roman" w:hAnsi="Times New Roman" w:cs="Times New Roman"/>
                <w:sz w:val="20"/>
                <w:szCs w:val="20"/>
              </w:rPr>
              <w:t>ētras</w:t>
            </w:r>
            <w:r>
              <w:rPr>
                <w:rFonts w:ascii="Times New Roman" w:hAnsi="Times New Roman" w:cs="Times New Roman"/>
                <w:sz w:val="20"/>
                <w:szCs w:val="20"/>
              </w:rPr>
              <w:t>, viesuļi</w:t>
            </w:r>
          </w:p>
          <w:p w14:paraId="6DB24BB4" w14:textId="77777777" w:rsidR="00CF4DF0" w:rsidRDefault="00CF4DF0" w:rsidP="009350F7">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Meža un kūdras purvu ugunsgrēki</w:t>
            </w:r>
          </w:p>
          <w:p w14:paraId="2A426063" w14:textId="77777777" w:rsidR="00CF4DF0" w:rsidRDefault="00CF4DF0" w:rsidP="009350F7">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D2377B">
              <w:rPr>
                <w:rFonts w:ascii="Times New Roman" w:hAnsi="Times New Roman" w:cs="Times New Roman"/>
                <w:sz w:val="20"/>
                <w:szCs w:val="20"/>
              </w:rPr>
              <w:t>īstamo ķīmisko vielu noplūde objektā</w:t>
            </w:r>
          </w:p>
          <w:p w14:paraId="6F41715A" w14:textId="77777777" w:rsidR="00CF4DF0" w:rsidRDefault="00CF4DF0" w:rsidP="009350F7">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Pr="00CF267B">
              <w:rPr>
                <w:rFonts w:ascii="Times New Roman" w:hAnsi="Times New Roman" w:cs="Times New Roman"/>
                <w:sz w:val="20"/>
                <w:szCs w:val="20"/>
              </w:rPr>
              <w:t>vārija naftas produktu cauruļvada transporta infrastruktūrā</w:t>
            </w:r>
          </w:p>
          <w:p w14:paraId="2E31C788" w14:textId="77777777" w:rsidR="00CF4DF0" w:rsidRDefault="00CF4DF0" w:rsidP="009350F7">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Pr="00CF267B">
              <w:rPr>
                <w:rFonts w:ascii="Times New Roman" w:hAnsi="Times New Roman" w:cs="Times New Roman"/>
                <w:sz w:val="20"/>
                <w:szCs w:val="20"/>
              </w:rPr>
              <w:t>vārija dabasgāzes apgādes sistēmā</w:t>
            </w:r>
          </w:p>
          <w:p w14:paraId="0451B63F" w14:textId="77777777" w:rsidR="00CF4DF0" w:rsidRDefault="00CF4DF0" w:rsidP="009350F7">
            <w:pPr>
              <w:spacing w:after="0" w:line="240" w:lineRule="auto"/>
              <w:rPr>
                <w:rFonts w:ascii="Times New Roman" w:hAnsi="Times New Roman" w:cs="Times New Roman"/>
                <w:sz w:val="20"/>
                <w:szCs w:val="20"/>
              </w:rPr>
            </w:pPr>
            <w:r>
              <w:rPr>
                <w:rFonts w:ascii="Times New Roman" w:hAnsi="Times New Roman" w:cs="Times New Roman"/>
                <w:sz w:val="20"/>
                <w:szCs w:val="20"/>
              </w:rPr>
              <w:t>R</w:t>
            </w:r>
            <w:r w:rsidRPr="00CF267B">
              <w:rPr>
                <w:rFonts w:ascii="Times New Roman" w:hAnsi="Times New Roman" w:cs="Times New Roman"/>
                <w:sz w:val="20"/>
                <w:szCs w:val="20"/>
              </w:rPr>
              <w:t>adiācijas avārijas</w:t>
            </w:r>
          </w:p>
          <w:p w14:paraId="3CA14774" w14:textId="77777777" w:rsidR="00CF4DF0" w:rsidRDefault="00CF4DF0" w:rsidP="009350F7">
            <w:pPr>
              <w:spacing w:after="0" w:line="240" w:lineRule="auto"/>
              <w:rPr>
                <w:rFonts w:ascii="Times New Roman" w:hAnsi="Times New Roman" w:cs="Times New Roman"/>
                <w:sz w:val="20"/>
                <w:szCs w:val="20"/>
              </w:rPr>
            </w:pPr>
            <w:r>
              <w:rPr>
                <w:rFonts w:ascii="Times New Roman" w:hAnsi="Times New Roman" w:cs="Times New Roman"/>
                <w:sz w:val="20"/>
                <w:szCs w:val="20"/>
              </w:rPr>
              <w:t>Ugunsgrēki</w:t>
            </w:r>
          </w:p>
          <w:p w14:paraId="61A7F2AA" w14:textId="77777777" w:rsidR="00CF4DF0" w:rsidRDefault="00CF4DF0" w:rsidP="009350F7">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Pr="003619E8">
              <w:rPr>
                <w:rFonts w:ascii="Times New Roman" w:hAnsi="Times New Roman" w:cs="Times New Roman"/>
                <w:sz w:val="20"/>
                <w:szCs w:val="20"/>
              </w:rPr>
              <w:t>vārijas vai negadījumi ostu un jūras hidrotehniskajās inženierbūvēs</w:t>
            </w:r>
          </w:p>
          <w:p w14:paraId="42D12E9C" w14:textId="77777777" w:rsidR="00CF4DF0" w:rsidRDefault="00CF4DF0" w:rsidP="009350F7">
            <w:pPr>
              <w:spacing w:after="0" w:line="240" w:lineRule="auto"/>
              <w:rPr>
                <w:rFonts w:ascii="Times New Roman" w:hAnsi="Times New Roman" w:cs="Times New Roman"/>
                <w:sz w:val="20"/>
                <w:szCs w:val="20"/>
              </w:rPr>
            </w:pPr>
            <w:r>
              <w:rPr>
                <w:rFonts w:ascii="Times New Roman" w:hAnsi="Times New Roman" w:cs="Times New Roman"/>
                <w:sz w:val="20"/>
                <w:szCs w:val="20"/>
              </w:rPr>
              <w:t>D</w:t>
            </w:r>
            <w:r w:rsidRPr="003619E8">
              <w:rPr>
                <w:rFonts w:ascii="Times New Roman" w:hAnsi="Times New Roman" w:cs="Times New Roman"/>
                <w:sz w:val="20"/>
                <w:szCs w:val="20"/>
              </w:rPr>
              <w:t>ambju un citu hidrotehnisko būvju pārrāvumi – Daugavas hidroelektrostaciju kaskādes hidrobūve</w:t>
            </w:r>
          </w:p>
          <w:p w14:paraId="5A52A476" w14:textId="77777777" w:rsidR="00CF4DF0" w:rsidRDefault="00CF4DF0" w:rsidP="009350F7">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Pārvades un sadales elektrotīklu bojājumi</w:t>
            </w:r>
          </w:p>
          <w:p w14:paraId="35840C6B" w14:textId="77777777" w:rsidR="00CF4DF0" w:rsidRDefault="00CF4DF0" w:rsidP="009350F7">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4B0100">
              <w:rPr>
                <w:rFonts w:ascii="Times New Roman" w:hAnsi="Times New Roman" w:cs="Times New Roman"/>
                <w:sz w:val="20"/>
                <w:szCs w:val="20"/>
              </w:rPr>
              <w:t>ūvju sabrukums</w:t>
            </w:r>
          </w:p>
          <w:p w14:paraId="7E6E4760" w14:textId="77777777" w:rsidR="00CF4DF0" w:rsidRDefault="00CF4DF0" w:rsidP="004B0100">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4B0100">
              <w:rPr>
                <w:rFonts w:ascii="Times New Roman" w:hAnsi="Times New Roman" w:cs="Times New Roman"/>
                <w:sz w:val="20"/>
                <w:szCs w:val="20"/>
              </w:rPr>
              <w:t>īstamo ķ</w:t>
            </w:r>
            <w:r>
              <w:rPr>
                <w:rFonts w:ascii="Times New Roman" w:hAnsi="Times New Roman" w:cs="Times New Roman"/>
                <w:sz w:val="20"/>
                <w:szCs w:val="20"/>
              </w:rPr>
              <w:t>īmisko vielu noplūde no kuģiem ...</w:t>
            </w:r>
          </w:p>
          <w:p w14:paraId="2F0BF686" w14:textId="77777777" w:rsidR="00CF4DF0" w:rsidRDefault="00CF4DF0" w:rsidP="004B0100">
            <w:pPr>
              <w:spacing w:after="0" w:line="240" w:lineRule="auto"/>
              <w:rPr>
                <w:rFonts w:ascii="Times New Roman" w:hAnsi="Times New Roman" w:cs="Times New Roman"/>
                <w:sz w:val="20"/>
                <w:szCs w:val="20"/>
              </w:rPr>
            </w:pPr>
            <w:r>
              <w:rPr>
                <w:rFonts w:ascii="Times New Roman" w:hAnsi="Times New Roman" w:cs="Times New Roman"/>
                <w:sz w:val="20"/>
                <w:szCs w:val="20"/>
              </w:rPr>
              <w:t>Autotransporta avārija</w:t>
            </w:r>
          </w:p>
          <w:p w14:paraId="6A47FCAF" w14:textId="77777777" w:rsidR="00CF4DF0" w:rsidRDefault="00CF4DF0" w:rsidP="004B0100">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Pr="004B0100">
              <w:rPr>
                <w:rFonts w:ascii="Times New Roman" w:hAnsi="Times New Roman" w:cs="Times New Roman"/>
                <w:sz w:val="20"/>
                <w:szCs w:val="20"/>
              </w:rPr>
              <w:t>viācijas nelaimes gadījums ar gaisa kuģi</w:t>
            </w:r>
          </w:p>
          <w:p w14:paraId="374659ED" w14:textId="77777777" w:rsidR="00CF4DF0" w:rsidRDefault="00CF4DF0" w:rsidP="004B01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D</w:t>
            </w:r>
            <w:r w:rsidRPr="00AA613D">
              <w:rPr>
                <w:rFonts w:ascii="Times New Roman" w:hAnsi="Times New Roman" w:cs="Times New Roman"/>
                <w:sz w:val="20"/>
                <w:szCs w:val="20"/>
              </w:rPr>
              <w:t>zelzceļa transporta katastrofa</w:t>
            </w:r>
          </w:p>
          <w:p w14:paraId="49D8CEEA" w14:textId="77777777" w:rsidR="00CF4DF0" w:rsidRDefault="00CF4DF0" w:rsidP="004B0100">
            <w:pPr>
              <w:spacing w:after="0" w:line="240" w:lineRule="auto"/>
              <w:rPr>
                <w:rFonts w:ascii="Times New Roman" w:hAnsi="Times New Roman" w:cs="Times New Roman"/>
                <w:sz w:val="20"/>
                <w:szCs w:val="20"/>
              </w:rPr>
            </w:pPr>
            <w:r>
              <w:rPr>
                <w:rFonts w:ascii="Times New Roman" w:hAnsi="Times New Roman" w:cs="Times New Roman"/>
                <w:sz w:val="20"/>
                <w:szCs w:val="20"/>
              </w:rPr>
              <w:t>S</w:t>
            </w:r>
            <w:r w:rsidRPr="00AA613D">
              <w:rPr>
                <w:rFonts w:ascii="Times New Roman" w:hAnsi="Times New Roman" w:cs="Times New Roman"/>
                <w:sz w:val="20"/>
                <w:szCs w:val="20"/>
              </w:rPr>
              <w:t>abiedriskās nekārtības, iekšējie nemieri</w:t>
            </w:r>
          </w:p>
          <w:p w14:paraId="723CF373" w14:textId="5B031DDF" w:rsidR="00CF4DF0" w:rsidRPr="00C85731" w:rsidRDefault="00CF4DF0" w:rsidP="004B0100">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Terora akti</w:t>
            </w:r>
          </w:p>
        </w:tc>
        <w:tc>
          <w:tcPr>
            <w:tcW w:w="1587" w:type="dxa"/>
          </w:tcPr>
          <w:p w14:paraId="2F5EF91C" w14:textId="523017E9" w:rsidR="00CF4DF0" w:rsidRPr="00C52CF1" w:rsidRDefault="00326706" w:rsidP="003267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Atbilstoši apdraudējumam plānā norādītā institūcija</w:t>
            </w:r>
          </w:p>
        </w:tc>
        <w:tc>
          <w:tcPr>
            <w:tcW w:w="1106" w:type="dxa"/>
          </w:tcPr>
          <w:p w14:paraId="1C38B5A8" w14:textId="0F118D1B" w:rsidR="00CF4DF0" w:rsidRPr="00C85731" w:rsidRDefault="00CF4DF0" w:rsidP="00045549">
            <w:pPr>
              <w:spacing w:after="0" w:line="240" w:lineRule="auto"/>
              <w:jc w:val="center"/>
              <w:rPr>
                <w:rFonts w:ascii="Times New Roman" w:hAnsi="Times New Roman" w:cs="Times New Roman"/>
                <w:sz w:val="20"/>
                <w:szCs w:val="20"/>
              </w:rPr>
            </w:pPr>
            <w:r w:rsidRPr="00C52CF1">
              <w:rPr>
                <w:rFonts w:ascii="Times New Roman" w:hAnsi="Times New Roman" w:cs="Times New Roman"/>
                <w:sz w:val="20"/>
                <w:szCs w:val="20"/>
              </w:rPr>
              <w:t>2020.-2027.gads</w:t>
            </w:r>
          </w:p>
        </w:tc>
        <w:tc>
          <w:tcPr>
            <w:tcW w:w="1418" w:type="dxa"/>
            <w:shd w:val="clear" w:color="auto" w:fill="auto"/>
          </w:tcPr>
          <w:p w14:paraId="27547246" w14:textId="2FB05766" w:rsidR="00CF4DF0" w:rsidRPr="00C85731" w:rsidRDefault="00454814" w:rsidP="00AA61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p>
        </w:tc>
        <w:tc>
          <w:tcPr>
            <w:tcW w:w="1559" w:type="dxa"/>
            <w:shd w:val="clear" w:color="auto" w:fill="auto"/>
          </w:tcPr>
          <w:p w14:paraId="6DB0A5B1" w14:textId="2BEF0E31" w:rsidR="00CF4DF0" w:rsidRPr="00C85731" w:rsidRDefault="00454814" w:rsidP="004548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shd w:val="clear" w:color="auto" w:fill="auto"/>
          </w:tcPr>
          <w:p w14:paraId="2CD17555" w14:textId="2C4C5504" w:rsidR="00CF4DF0" w:rsidRPr="00C85731" w:rsidRDefault="00454814" w:rsidP="00AA61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shd w:val="clear" w:color="auto" w:fill="auto"/>
          </w:tcPr>
          <w:p w14:paraId="7A8F056F" w14:textId="5805413B" w:rsidR="00CF4DF0" w:rsidRPr="00C85731" w:rsidRDefault="00454814" w:rsidP="00AA61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1984" w:type="dxa"/>
          </w:tcPr>
          <w:p w14:paraId="5BD05F12" w14:textId="68B8115D" w:rsidR="00CF4DF0" w:rsidRPr="00C85731" w:rsidRDefault="00CF4DF0" w:rsidP="00AA613D">
            <w:pPr>
              <w:spacing w:after="0" w:line="240" w:lineRule="auto"/>
              <w:jc w:val="center"/>
              <w:rPr>
                <w:rFonts w:ascii="Times New Roman" w:hAnsi="Times New Roman" w:cs="Times New Roman"/>
                <w:sz w:val="20"/>
                <w:szCs w:val="20"/>
              </w:rPr>
            </w:pPr>
            <w:r w:rsidRPr="00AA613D">
              <w:rPr>
                <w:rFonts w:ascii="Times New Roman" w:hAnsi="Times New Roman" w:cs="Times New Roman"/>
                <w:sz w:val="20"/>
                <w:szCs w:val="20"/>
              </w:rPr>
              <w:t>Esošā budžeta ietvaros, ES fondi, piesaistot papildus finansējumu</w:t>
            </w:r>
          </w:p>
        </w:tc>
      </w:tr>
      <w:tr w:rsidR="00CF4DF0" w:rsidRPr="00045549" w14:paraId="584ACB37" w14:textId="77777777" w:rsidTr="00326706">
        <w:tc>
          <w:tcPr>
            <w:tcW w:w="2836" w:type="dxa"/>
            <w:shd w:val="clear" w:color="auto" w:fill="auto"/>
          </w:tcPr>
          <w:p w14:paraId="1C851402" w14:textId="70E12F6C" w:rsidR="00CF4DF0" w:rsidRPr="00C85731" w:rsidRDefault="00CF4DF0" w:rsidP="006B1F28">
            <w:pPr>
              <w:spacing w:after="0" w:line="240" w:lineRule="auto"/>
              <w:jc w:val="both"/>
              <w:rPr>
                <w:rFonts w:ascii="Times New Roman" w:hAnsi="Times New Roman" w:cs="Times New Roman"/>
                <w:sz w:val="20"/>
                <w:szCs w:val="20"/>
              </w:rPr>
            </w:pPr>
            <w:r w:rsidRPr="00C85731">
              <w:rPr>
                <w:rFonts w:ascii="Times New Roman" w:hAnsi="Times New Roman" w:cs="Times New Roman"/>
                <w:sz w:val="20"/>
                <w:szCs w:val="20"/>
              </w:rPr>
              <w:t>Valsts  ugunsdzēsības un glābšanas dienesta struktūrvienību tīklu (ugunsdzēsības depo) būvniecība, renovācija un rekonstrukcija</w:t>
            </w:r>
          </w:p>
        </w:tc>
        <w:tc>
          <w:tcPr>
            <w:tcW w:w="2551" w:type="dxa"/>
          </w:tcPr>
          <w:p w14:paraId="74AEABE9" w14:textId="77777777" w:rsidR="00CF4DF0" w:rsidRDefault="00CF4DF0" w:rsidP="00034336">
            <w:pPr>
              <w:spacing w:after="0" w:line="240" w:lineRule="auto"/>
              <w:rPr>
                <w:rFonts w:ascii="Times New Roman" w:hAnsi="Times New Roman" w:cs="Times New Roman"/>
                <w:sz w:val="20"/>
                <w:szCs w:val="20"/>
              </w:rPr>
            </w:pPr>
            <w:r>
              <w:rPr>
                <w:rFonts w:ascii="Times New Roman" w:hAnsi="Times New Roman" w:cs="Times New Roman"/>
                <w:sz w:val="20"/>
                <w:szCs w:val="20"/>
              </w:rPr>
              <w:t>Zemestrīce</w:t>
            </w:r>
          </w:p>
          <w:p w14:paraId="1D916017" w14:textId="77777777" w:rsidR="00CF4DF0" w:rsidRDefault="00CF4DF0" w:rsidP="00034336">
            <w:pPr>
              <w:spacing w:after="0" w:line="240" w:lineRule="auto"/>
              <w:rPr>
                <w:rFonts w:ascii="Times New Roman" w:hAnsi="Times New Roman" w:cs="Times New Roman"/>
                <w:sz w:val="20"/>
                <w:szCs w:val="20"/>
              </w:rPr>
            </w:pPr>
            <w:r w:rsidRPr="00034336">
              <w:rPr>
                <w:rFonts w:ascii="Times New Roman" w:hAnsi="Times New Roman" w:cs="Times New Roman"/>
                <w:sz w:val="20"/>
                <w:szCs w:val="20"/>
              </w:rPr>
              <w:t>Zemes nogruvums</w:t>
            </w:r>
          </w:p>
          <w:p w14:paraId="74D938B1" w14:textId="77777777" w:rsidR="00CF4DF0" w:rsidRDefault="00CF4DF0" w:rsidP="00034336">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5ACD38C6" w14:textId="77777777" w:rsidR="00CF4DF0" w:rsidRDefault="00CF4DF0" w:rsidP="00034336">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77973C66"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Meža un kūdras purvu ugunsgrēki</w:t>
            </w:r>
          </w:p>
          <w:p w14:paraId="1AFB4306"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Bīstamo ķīmisko vielu noplūde objektā</w:t>
            </w:r>
          </w:p>
          <w:p w14:paraId="025617D1"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naftas produktu cauruļvada transporta infrastruktūrā</w:t>
            </w:r>
          </w:p>
          <w:p w14:paraId="104783E7"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dabasgāzes apgādes sistēmā</w:t>
            </w:r>
          </w:p>
          <w:p w14:paraId="7B9CC28D"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Radiācijas avārijas</w:t>
            </w:r>
          </w:p>
          <w:p w14:paraId="5304F7E6"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Ugunsgrēki</w:t>
            </w:r>
          </w:p>
          <w:p w14:paraId="6288A7F8"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Būvju sabrukums</w:t>
            </w:r>
          </w:p>
          <w:p w14:paraId="0EC3FFB3"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Autotransporta avārija</w:t>
            </w:r>
          </w:p>
          <w:p w14:paraId="1D6991FD"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Aviācijas nelaimes gadījums ar gaisa kuģi</w:t>
            </w:r>
          </w:p>
          <w:p w14:paraId="385D5B5B" w14:textId="4B0D0767" w:rsidR="00CF4DF0" w:rsidRPr="00C85731" w:rsidRDefault="00CF4DF0" w:rsidP="00034336">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Dzelzceļa transporta katastrofa</w:t>
            </w:r>
          </w:p>
        </w:tc>
        <w:tc>
          <w:tcPr>
            <w:tcW w:w="1587" w:type="dxa"/>
          </w:tcPr>
          <w:p w14:paraId="0D30EFFE" w14:textId="726CA14D" w:rsidR="00CF4DF0" w:rsidRPr="00C52CF1"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2A469302" w14:textId="698778C4" w:rsidR="00CF4DF0" w:rsidRPr="00C85731" w:rsidRDefault="00CF4DF0" w:rsidP="00045549">
            <w:pPr>
              <w:spacing w:after="0" w:line="240" w:lineRule="auto"/>
              <w:jc w:val="center"/>
              <w:rPr>
                <w:rFonts w:ascii="Times New Roman" w:hAnsi="Times New Roman" w:cs="Times New Roman"/>
                <w:sz w:val="20"/>
                <w:szCs w:val="20"/>
              </w:rPr>
            </w:pPr>
            <w:r w:rsidRPr="00C52CF1">
              <w:rPr>
                <w:rFonts w:ascii="Times New Roman" w:hAnsi="Times New Roman" w:cs="Times New Roman"/>
                <w:sz w:val="20"/>
                <w:szCs w:val="20"/>
              </w:rPr>
              <w:t>2020.-2027.gads</w:t>
            </w:r>
          </w:p>
        </w:tc>
        <w:tc>
          <w:tcPr>
            <w:tcW w:w="1418" w:type="dxa"/>
            <w:shd w:val="clear" w:color="auto" w:fill="auto"/>
          </w:tcPr>
          <w:p w14:paraId="70868899" w14:textId="29B71E6F" w:rsidR="00CF4DF0" w:rsidRPr="00C85731" w:rsidRDefault="00454814"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1559" w:type="dxa"/>
            <w:shd w:val="clear" w:color="auto" w:fill="auto"/>
          </w:tcPr>
          <w:p w14:paraId="74334DEA" w14:textId="15E6C08E" w:rsidR="00CF4DF0" w:rsidRPr="00C85731" w:rsidRDefault="008D1ADD"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1276" w:type="dxa"/>
            <w:shd w:val="clear" w:color="auto" w:fill="auto"/>
          </w:tcPr>
          <w:p w14:paraId="6F40FF6B" w14:textId="4F00AD35" w:rsidR="00CF4DF0" w:rsidRPr="00C85731" w:rsidRDefault="008D1ADD" w:rsidP="008D1A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134" w:type="dxa"/>
            <w:shd w:val="clear" w:color="auto" w:fill="auto"/>
          </w:tcPr>
          <w:p w14:paraId="2B939DFD" w14:textId="254E185F" w:rsidR="00CF4DF0" w:rsidRPr="00C85731" w:rsidRDefault="008D1ADD"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1984" w:type="dxa"/>
          </w:tcPr>
          <w:p w14:paraId="5920BEF6" w14:textId="7464521C" w:rsidR="00CF4DF0" w:rsidRPr="00C85731" w:rsidRDefault="00CF4DF0" w:rsidP="00BF4965">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0A282450" w14:textId="77777777" w:rsidTr="00326706">
        <w:tc>
          <w:tcPr>
            <w:tcW w:w="2836" w:type="dxa"/>
            <w:shd w:val="clear" w:color="auto" w:fill="auto"/>
          </w:tcPr>
          <w:p w14:paraId="6BA3CD4D" w14:textId="0526A320" w:rsidR="00CF4DF0" w:rsidRPr="00C85731" w:rsidRDefault="00CF4DF0" w:rsidP="00C9761C">
            <w:pPr>
              <w:spacing w:after="0" w:line="240" w:lineRule="auto"/>
              <w:jc w:val="both"/>
              <w:rPr>
                <w:rFonts w:ascii="Times New Roman" w:hAnsi="Times New Roman" w:cs="Times New Roman"/>
                <w:sz w:val="20"/>
                <w:szCs w:val="20"/>
              </w:rPr>
            </w:pPr>
            <w:r w:rsidRPr="007419BB">
              <w:rPr>
                <w:rFonts w:ascii="Times New Roman" w:hAnsi="Times New Roman" w:cs="Times New Roman"/>
                <w:sz w:val="20"/>
                <w:szCs w:val="20"/>
              </w:rPr>
              <w:t xml:space="preserve">Valsts ugunsdzēsības un glābšanas dienesta mācību poligona izveide un nodrošināšana, personāla apmācība ar jaunāko tehnoloģisko sasniegumu integrēšanu, taktisko iemaņu pilnveidošana, tehnikas un aprīkojuma apgūšana reaģēšanas un seku likvidēšanas pasākumu īstenošanai </w:t>
            </w:r>
          </w:p>
        </w:tc>
        <w:tc>
          <w:tcPr>
            <w:tcW w:w="2551" w:type="dxa"/>
          </w:tcPr>
          <w:p w14:paraId="79B4095E" w14:textId="77777777" w:rsidR="00CF4DF0" w:rsidRDefault="00CF4DF0" w:rsidP="00034336">
            <w:pPr>
              <w:spacing w:after="0" w:line="240" w:lineRule="auto"/>
              <w:rPr>
                <w:rFonts w:ascii="Times New Roman" w:hAnsi="Times New Roman" w:cs="Times New Roman"/>
                <w:sz w:val="20"/>
                <w:szCs w:val="20"/>
              </w:rPr>
            </w:pPr>
            <w:r>
              <w:rPr>
                <w:rFonts w:ascii="Times New Roman" w:hAnsi="Times New Roman" w:cs="Times New Roman"/>
                <w:sz w:val="20"/>
                <w:szCs w:val="20"/>
              </w:rPr>
              <w:t>Zemestrīce</w:t>
            </w:r>
          </w:p>
          <w:p w14:paraId="17B9735C" w14:textId="77777777" w:rsidR="00CF4DF0" w:rsidRDefault="00CF4DF0" w:rsidP="00034336">
            <w:pPr>
              <w:spacing w:after="0" w:line="240" w:lineRule="auto"/>
              <w:rPr>
                <w:rFonts w:ascii="Times New Roman" w:hAnsi="Times New Roman" w:cs="Times New Roman"/>
                <w:sz w:val="20"/>
                <w:szCs w:val="20"/>
              </w:rPr>
            </w:pPr>
            <w:r w:rsidRPr="00034336">
              <w:rPr>
                <w:rFonts w:ascii="Times New Roman" w:hAnsi="Times New Roman" w:cs="Times New Roman"/>
                <w:sz w:val="20"/>
                <w:szCs w:val="20"/>
              </w:rPr>
              <w:t>Zemes nogruvums</w:t>
            </w:r>
          </w:p>
          <w:p w14:paraId="22A94766" w14:textId="77777777" w:rsidR="00CF4DF0" w:rsidRDefault="00CF4DF0" w:rsidP="00034336">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43B61D05" w14:textId="77777777" w:rsidR="00CF4DF0" w:rsidRDefault="00CF4DF0" w:rsidP="00034336">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5330B5DC"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Bīstamo ķīmisko vielu noplūde objektā</w:t>
            </w:r>
          </w:p>
          <w:p w14:paraId="7C422524"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naftas produktu cauruļvada transporta infrastruktūrā</w:t>
            </w:r>
          </w:p>
          <w:p w14:paraId="4075EE1A"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dabasgāzes apgādes sistēmā</w:t>
            </w:r>
          </w:p>
          <w:p w14:paraId="5B0A8C7F"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Radiācijas avārijas</w:t>
            </w:r>
          </w:p>
          <w:p w14:paraId="577771E7"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Ugunsgrēki</w:t>
            </w:r>
          </w:p>
          <w:p w14:paraId="7A3F347C"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Būvju sabrukums</w:t>
            </w:r>
          </w:p>
          <w:p w14:paraId="5B9ED146"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Autotransporta avārija</w:t>
            </w:r>
          </w:p>
          <w:p w14:paraId="0607EF06" w14:textId="7BE0AA01" w:rsidR="00CF4DF0" w:rsidRPr="00C85731"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lastRenderedPageBreak/>
              <w:t>Aviācijas nelaimes gadījums ar gaisa kuģi</w:t>
            </w:r>
          </w:p>
        </w:tc>
        <w:tc>
          <w:tcPr>
            <w:tcW w:w="1587" w:type="dxa"/>
          </w:tcPr>
          <w:p w14:paraId="514BA25B" w14:textId="4C74F9B0" w:rsidR="00CF4DF0" w:rsidRPr="00C52CF1"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Atbilstoši apdraudējumam plānā norādītā institūcija</w:t>
            </w:r>
          </w:p>
        </w:tc>
        <w:tc>
          <w:tcPr>
            <w:tcW w:w="1106" w:type="dxa"/>
          </w:tcPr>
          <w:p w14:paraId="5B586707" w14:textId="29738F42" w:rsidR="00CF4DF0" w:rsidRPr="00C85731" w:rsidRDefault="00CF4DF0" w:rsidP="00045549">
            <w:pPr>
              <w:spacing w:after="0" w:line="240" w:lineRule="auto"/>
              <w:jc w:val="center"/>
              <w:rPr>
                <w:rFonts w:ascii="Times New Roman" w:hAnsi="Times New Roman" w:cs="Times New Roman"/>
                <w:sz w:val="20"/>
                <w:szCs w:val="20"/>
              </w:rPr>
            </w:pPr>
            <w:r w:rsidRPr="00C52CF1">
              <w:rPr>
                <w:rFonts w:ascii="Times New Roman" w:hAnsi="Times New Roman" w:cs="Times New Roman"/>
                <w:sz w:val="20"/>
                <w:szCs w:val="20"/>
              </w:rPr>
              <w:t>2020.-2027.gads</w:t>
            </w:r>
          </w:p>
        </w:tc>
        <w:tc>
          <w:tcPr>
            <w:tcW w:w="1418" w:type="dxa"/>
            <w:shd w:val="clear" w:color="auto" w:fill="auto"/>
          </w:tcPr>
          <w:p w14:paraId="0D6624D9" w14:textId="5FF44835" w:rsidR="00CF4DF0" w:rsidRDefault="0099014D"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p w14:paraId="796969F4" w14:textId="066AEAD4" w:rsidR="00DA0D4A" w:rsidRPr="00C85731" w:rsidRDefault="00DA0D4A" w:rsidP="00DA0D4A">
            <w:pPr>
              <w:spacing w:after="0" w:line="240" w:lineRule="auto"/>
              <w:rPr>
                <w:rFonts w:ascii="Times New Roman" w:hAnsi="Times New Roman" w:cs="Times New Roman"/>
                <w:sz w:val="20"/>
                <w:szCs w:val="20"/>
              </w:rPr>
            </w:pPr>
          </w:p>
        </w:tc>
        <w:tc>
          <w:tcPr>
            <w:tcW w:w="1559" w:type="dxa"/>
            <w:shd w:val="clear" w:color="auto" w:fill="auto"/>
          </w:tcPr>
          <w:p w14:paraId="5C12BF5C" w14:textId="67A01B48" w:rsidR="00CF4DF0" w:rsidRPr="00C85731" w:rsidRDefault="00AC3555"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1276" w:type="dxa"/>
            <w:shd w:val="clear" w:color="auto" w:fill="auto"/>
          </w:tcPr>
          <w:p w14:paraId="564400DD" w14:textId="0443923F" w:rsidR="00CF4DF0" w:rsidRPr="00C85731" w:rsidRDefault="00AC3555"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shd w:val="clear" w:color="auto" w:fill="auto"/>
          </w:tcPr>
          <w:p w14:paraId="09E21354" w14:textId="2F4E1C62" w:rsidR="00CF4DF0" w:rsidRPr="00C85731" w:rsidRDefault="00AC3555"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984" w:type="dxa"/>
          </w:tcPr>
          <w:p w14:paraId="410C265A" w14:textId="1B994683" w:rsidR="00CF4DF0" w:rsidRPr="00C85731" w:rsidRDefault="00CF4DF0" w:rsidP="00BF4965">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26FC3B1F" w14:textId="77777777" w:rsidTr="00326706">
        <w:tc>
          <w:tcPr>
            <w:tcW w:w="2836" w:type="dxa"/>
            <w:shd w:val="clear" w:color="auto" w:fill="auto"/>
          </w:tcPr>
          <w:p w14:paraId="0200E55A" w14:textId="39215102" w:rsidR="00CF4DF0" w:rsidRPr="00C85731" w:rsidRDefault="00CF4DF0" w:rsidP="00AC3555">
            <w:pPr>
              <w:spacing w:after="0" w:line="240" w:lineRule="auto"/>
              <w:jc w:val="both"/>
              <w:rPr>
                <w:rFonts w:ascii="Times New Roman" w:hAnsi="Times New Roman" w:cs="Times New Roman"/>
                <w:sz w:val="20"/>
                <w:szCs w:val="20"/>
              </w:rPr>
            </w:pPr>
            <w:r w:rsidRPr="007419BB">
              <w:rPr>
                <w:rFonts w:ascii="Times New Roman" w:hAnsi="Times New Roman" w:cs="Times New Roman"/>
                <w:sz w:val="20"/>
                <w:szCs w:val="20"/>
              </w:rPr>
              <w:t>Valsts civilās aizsardzības kontaktpunkta izveide, tā tehniskā (informācijas un komunikācijas tehnoloģijas u.c.) un analītisko spēju izveidošana</w:t>
            </w:r>
          </w:p>
        </w:tc>
        <w:tc>
          <w:tcPr>
            <w:tcW w:w="2551" w:type="dxa"/>
          </w:tcPr>
          <w:p w14:paraId="393BFEC4" w14:textId="77777777" w:rsidR="00CF4DF0" w:rsidRDefault="00CF4DF0" w:rsidP="0033490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Zemestrīce </w:t>
            </w:r>
          </w:p>
          <w:p w14:paraId="17AED3E6" w14:textId="77777777" w:rsidR="00CF4DF0" w:rsidRDefault="00CF4DF0" w:rsidP="00334904">
            <w:pPr>
              <w:spacing w:after="0" w:line="240" w:lineRule="auto"/>
              <w:rPr>
                <w:rFonts w:ascii="Times New Roman" w:hAnsi="Times New Roman" w:cs="Times New Roman"/>
                <w:sz w:val="20"/>
                <w:szCs w:val="20"/>
              </w:rPr>
            </w:pPr>
            <w:r w:rsidRPr="006B7A7E">
              <w:rPr>
                <w:rFonts w:ascii="Times New Roman" w:hAnsi="Times New Roman" w:cs="Times New Roman"/>
                <w:sz w:val="20"/>
                <w:szCs w:val="20"/>
              </w:rPr>
              <w:t xml:space="preserve">Zemes nogruvums </w:t>
            </w:r>
          </w:p>
          <w:p w14:paraId="5A0221D9" w14:textId="0162F492" w:rsidR="00CF4DF0" w:rsidRDefault="00CF4DF0" w:rsidP="00334904">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4C4D2DE0" w14:textId="12B78285" w:rsidR="00CF4DF0" w:rsidRDefault="00CF4DF0" w:rsidP="00334904">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2516E263" w14:textId="62EDD765" w:rsidR="00CF4DF0" w:rsidRDefault="00CF4DF0" w:rsidP="00334904">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Meža un kūdras purvu ugunsgrēki</w:t>
            </w:r>
          </w:p>
          <w:p w14:paraId="63AA1872" w14:textId="77777777" w:rsidR="00CF4DF0" w:rsidRDefault="00CF4DF0" w:rsidP="00334904">
            <w:pPr>
              <w:spacing w:after="0" w:line="240" w:lineRule="auto"/>
              <w:rPr>
                <w:rFonts w:ascii="Times New Roman" w:hAnsi="Times New Roman" w:cs="Times New Roman"/>
                <w:sz w:val="20"/>
                <w:szCs w:val="20"/>
              </w:rPr>
            </w:pPr>
            <w:r>
              <w:rPr>
                <w:rFonts w:ascii="Times New Roman" w:hAnsi="Times New Roman" w:cs="Times New Roman"/>
                <w:sz w:val="20"/>
                <w:szCs w:val="20"/>
              </w:rPr>
              <w:t>Terora akti</w:t>
            </w:r>
          </w:p>
          <w:p w14:paraId="62FDB2BB" w14:textId="77777777" w:rsidR="00CF4DF0" w:rsidRDefault="00CF4DF0" w:rsidP="00334904">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Bīstamo ķīmisko vielu noplūde objektā</w:t>
            </w:r>
          </w:p>
          <w:p w14:paraId="04977610" w14:textId="77777777" w:rsidR="00CF4DF0" w:rsidRDefault="00CF4DF0" w:rsidP="00334904">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Radiācijas avārijas</w:t>
            </w:r>
          </w:p>
          <w:p w14:paraId="5A943AB1" w14:textId="77777777" w:rsidR="00CF4DF0" w:rsidRDefault="00CF4DF0" w:rsidP="00334904">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p w14:paraId="3751E383" w14:textId="3EF83755" w:rsidR="00694533" w:rsidRDefault="00CF4DF0" w:rsidP="00334904">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Pārvades un sadales elektrotīklu bojājumi</w:t>
            </w:r>
          </w:p>
          <w:p w14:paraId="5B91DA3A" w14:textId="77777777" w:rsidR="00694533" w:rsidRDefault="00694533" w:rsidP="00334904">
            <w:pPr>
              <w:spacing w:after="0" w:line="240" w:lineRule="auto"/>
              <w:rPr>
                <w:rFonts w:ascii="Times New Roman" w:hAnsi="Times New Roman" w:cs="Times New Roman"/>
                <w:sz w:val="20"/>
                <w:szCs w:val="20"/>
              </w:rPr>
            </w:pPr>
          </w:p>
          <w:p w14:paraId="056DC169" w14:textId="77777777" w:rsidR="00694533" w:rsidRDefault="00694533" w:rsidP="00334904">
            <w:pPr>
              <w:spacing w:after="0" w:line="240" w:lineRule="auto"/>
              <w:rPr>
                <w:rFonts w:ascii="Times New Roman" w:hAnsi="Times New Roman" w:cs="Times New Roman"/>
                <w:sz w:val="20"/>
                <w:szCs w:val="20"/>
              </w:rPr>
            </w:pPr>
          </w:p>
          <w:p w14:paraId="5EA1808E" w14:textId="77777777" w:rsidR="00694533" w:rsidRDefault="00694533" w:rsidP="00334904">
            <w:pPr>
              <w:spacing w:after="0" w:line="240" w:lineRule="auto"/>
              <w:rPr>
                <w:rFonts w:ascii="Times New Roman" w:hAnsi="Times New Roman" w:cs="Times New Roman"/>
                <w:sz w:val="20"/>
                <w:szCs w:val="20"/>
              </w:rPr>
            </w:pPr>
          </w:p>
          <w:p w14:paraId="74CDB641" w14:textId="77777777" w:rsidR="00694533" w:rsidRDefault="00694533" w:rsidP="00334904">
            <w:pPr>
              <w:spacing w:after="0" w:line="240" w:lineRule="auto"/>
              <w:rPr>
                <w:rFonts w:ascii="Times New Roman" w:hAnsi="Times New Roman" w:cs="Times New Roman"/>
                <w:sz w:val="20"/>
                <w:szCs w:val="20"/>
              </w:rPr>
            </w:pPr>
          </w:p>
          <w:p w14:paraId="12D5C052" w14:textId="77777777" w:rsidR="00694533" w:rsidRDefault="00694533" w:rsidP="00334904">
            <w:pPr>
              <w:spacing w:after="0" w:line="240" w:lineRule="auto"/>
              <w:rPr>
                <w:rFonts w:ascii="Times New Roman" w:hAnsi="Times New Roman" w:cs="Times New Roman"/>
                <w:sz w:val="20"/>
                <w:szCs w:val="20"/>
              </w:rPr>
            </w:pPr>
          </w:p>
          <w:p w14:paraId="2D3FC210" w14:textId="77777777" w:rsidR="00694533" w:rsidRDefault="00694533" w:rsidP="00334904">
            <w:pPr>
              <w:spacing w:after="0" w:line="240" w:lineRule="auto"/>
              <w:rPr>
                <w:rFonts w:ascii="Times New Roman" w:hAnsi="Times New Roman" w:cs="Times New Roman"/>
                <w:sz w:val="20"/>
                <w:szCs w:val="20"/>
              </w:rPr>
            </w:pPr>
          </w:p>
          <w:p w14:paraId="0204A31A" w14:textId="77777777" w:rsidR="00694533" w:rsidRDefault="00694533" w:rsidP="00334904">
            <w:pPr>
              <w:spacing w:after="0" w:line="240" w:lineRule="auto"/>
              <w:rPr>
                <w:rFonts w:ascii="Times New Roman" w:hAnsi="Times New Roman" w:cs="Times New Roman"/>
                <w:sz w:val="20"/>
                <w:szCs w:val="20"/>
              </w:rPr>
            </w:pPr>
          </w:p>
          <w:p w14:paraId="06F1D445" w14:textId="77777777" w:rsidR="00694533" w:rsidRDefault="00694533" w:rsidP="00334904">
            <w:pPr>
              <w:spacing w:after="0" w:line="240" w:lineRule="auto"/>
              <w:rPr>
                <w:rFonts w:ascii="Times New Roman" w:hAnsi="Times New Roman" w:cs="Times New Roman"/>
                <w:sz w:val="20"/>
                <w:szCs w:val="20"/>
              </w:rPr>
            </w:pPr>
          </w:p>
          <w:p w14:paraId="06691AE9" w14:textId="77777777" w:rsidR="00694533" w:rsidRDefault="00694533" w:rsidP="00334904">
            <w:pPr>
              <w:spacing w:after="0" w:line="240" w:lineRule="auto"/>
              <w:rPr>
                <w:rFonts w:ascii="Times New Roman" w:hAnsi="Times New Roman" w:cs="Times New Roman"/>
                <w:sz w:val="20"/>
                <w:szCs w:val="20"/>
              </w:rPr>
            </w:pPr>
          </w:p>
          <w:p w14:paraId="776B64EA" w14:textId="4D711EB7" w:rsidR="00694533" w:rsidRPr="00C85731" w:rsidRDefault="00694533" w:rsidP="00334904">
            <w:pPr>
              <w:spacing w:after="0" w:line="240" w:lineRule="auto"/>
              <w:rPr>
                <w:rFonts w:ascii="Times New Roman" w:hAnsi="Times New Roman" w:cs="Times New Roman"/>
                <w:sz w:val="20"/>
                <w:szCs w:val="20"/>
              </w:rPr>
            </w:pPr>
          </w:p>
        </w:tc>
        <w:tc>
          <w:tcPr>
            <w:tcW w:w="1587" w:type="dxa"/>
          </w:tcPr>
          <w:p w14:paraId="69A5D912" w14:textId="3E9BB260" w:rsidR="00CF4DF0" w:rsidRPr="00334904"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56F914AA" w14:textId="5DA04C8E" w:rsidR="00CF4DF0" w:rsidRPr="00C85731" w:rsidRDefault="00CF4DF0" w:rsidP="00045549">
            <w:pPr>
              <w:spacing w:after="0" w:line="240" w:lineRule="auto"/>
              <w:jc w:val="center"/>
              <w:rPr>
                <w:rFonts w:ascii="Times New Roman" w:hAnsi="Times New Roman" w:cs="Times New Roman"/>
                <w:sz w:val="20"/>
                <w:szCs w:val="20"/>
              </w:rPr>
            </w:pPr>
            <w:r w:rsidRPr="00334904">
              <w:rPr>
                <w:rFonts w:ascii="Times New Roman" w:hAnsi="Times New Roman" w:cs="Times New Roman"/>
                <w:sz w:val="20"/>
                <w:szCs w:val="20"/>
              </w:rPr>
              <w:t>2020.-2022.gads</w:t>
            </w:r>
          </w:p>
        </w:tc>
        <w:tc>
          <w:tcPr>
            <w:tcW w:w="1418" w:type="dxa"/>
            <w:shd w:val="clear" w:color="auto" w:fill="auto"/>
          </w:tcPr>
          <w:p w14:paraId="6E0B6031" w14:textId="10379B22" w:rsidR="00DA0D4A" w:rsidRPr="00C85731" w:rsidRDefault="00476F70" w:rsidP="009901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559" w:type="dxa"/>
            <w:shd w:val="clear" w:color="auto" w:fill="auto"/>
          </w:tcPr>
          <w:p w14:paraId="45761A08" w14:textId="5320738E" w:rsidR="00CF4DF0" w:rsidRPr="00C85731" w:rsidRDefault="00AC3555"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1276" w:type="dxa"/>
            <w:shd w:val="clear" w:color="auto" w:fill="auto"/>
          </w:tcPr>
          <w:p w14:paraId="5ED183D7" w14:textId="1EFDFA43" w:rsidR="00CF4DF0" w:rsidRPr="00C85731" w:rsidRDefault="00AC3555"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shd w:val="clear" w:color="auto" w:fill="auto"/>
          </w:tcPr>
          <w:p w14:paraId="26BBAE44" w14:textId="1076907E" w:rsidR="00CF4DF0" w:rsidRPr="00C85731" w:rsidRDefault="00AC3555"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984" w:type="dxa"/>
          </w:tcPr>
          <w:p w14:paraId="09193468" w14:textId="1DD931CE" w:rsidR="00CF4DF0" w:rsidRPr="00C85731" w:rsidRDefault="00CF4DF0" w:rsidP="00BF4965">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6C0FC9F8" w14:textId="77777777" w:rsidTr="00326706">
        <w:tc>
          <w:tcPr>
            <w:tcW w:w="2836" w:type="dxa"/>
            <w:shd w:val="clear" w:color="auto" w:fill="auto"/>
          </w:tcPr>
          <w:p w14:paraId="3FE42244" w14:textId="4A1FF7EA" w:rsidR="00CF4DF0" w:rsidRPr="007419BB" w:rsidRDefault="00CF4DF0" w:rsidP="00AC3555">
            <w:pPr>
              <w:spacing w:after="0" w:line="240" w:lineRule="auto"/>
              <w:jc w:val="both"/>
              <w:rPr>
                <w:rFonts w:ascii="Times New Roman" w:hAnsi="Times New Roman" w:cs="Times New Roman"/>
                <w:sz w:val="20"/>
                <w:szCs w:val="20"/>
              </w:rPr>
            </w:pPr>
            <w:r w:rsidRPr="007419BB">
              <w:rPr>
                <w:rFonts w:ascii="Times New Roman" w:hAnsi="Times New Roman" w:cs="Times New Roman"/>
                <w:sz w:val="20"/>
                <w:szCs w:val="20"/>
              </w:rPr>
              <w:t>Valsts agrīnās brīdināšanas sistēmas pilnveidošana (riska novērtēšana u.c.), uzturēšana un pārbaude</w:t>
            </w:r>
          </w:p>
        </w:tc>
        <w:tc>
          <w:tcPr>
            <w:tcW w:w="2551" w:type="dxa"/>
          </w:tcPr>
          <w:p w14:paraId="1E0133EB" w14:textId="77777777" w:rsidR="00CF4DF0" w:rsidRDefault="00CF4DF0" w:rsidP="00034336">
            <w:pPr>
              <w:spacing w:after="0" w:line="240" w:lineRule="auto"/>
              <w:rPr>
                <w:rFonts w:ascii="Times New Roman" w:hAnsi="Times New Roman" w:cs="Times New Roman"/>
                <w:sz w:val="20"/>
                <w:szCs w:val="20"/>
              </w:rPr>
            </w:pPr>
            <w:r>
              <w:rPr>
                <w:rFonts w:ascii="Times New Roman" w:hAnsi="Times New Roman" w:cs="Times New Roman"/>
                <w:sz w:val="20"/>
                <w:szCs w:val="20"/>
              </w:rPr>
              <w:t>Zemestrīce</w:t>
            </w:r>
          </w:p>
          <w:p w14:paraId="56816551" w14:textId="77777777" w:rsidR="00CF4DF0" w:rsidRDefault="00CF4DF0" w:rsidP="00034336">
            <w:pPr>
              <w:spacing w:after="0" w:line="240" w:lineRule="auto"/>
              <w:rPr>
                <w:rFonts w:ascii="Times New Roman" w:hAnsi="Times New Roman" w:cs="Times New Roman"/>
                <w:sz w:val="20"/>
                <w:szCs w:val="20"/>
              </w:rPr>
            </w:pPr>
            <w:r w:rsidRPr="006B7A7E">
              <w:rPr>
                <w:rFonts w:ascii="Times New Roman" w:hAnsi="Times New Roman" w:cs="Times New Roman"/>
                <w:sz w:val="20"/>
                <w:szCs w:val="20"/>
              </w:rPr>
              <w:t>Zemes nogruvums</w:t>
            </w:r>
          </w:p>
          <w:p w14:paraId="6EDD8D37" w14:textId="77777777" w:rsidR="00CF4DF0" w:rsidRDefault="00CF4DF0" w:rsidP="00034336">
            <w:pPr>
              <w:spacing w:after="0" w:line="240" w:lineRule="auto"/>
              <w:rPr>
                <w:rFonts w:ascii="Times New Roman" w:hAnsi="Times New Roman" w:cs="Times New Roman"/>
                <w:sz w:val="20"/>
                <w:szCs w:val="20"/>
              </w:rPr>
            </w:pPr>
            <w:r w:rsidRPr="00613B14">
              <w:rPr>
                <w:rFonts w:ascii="Times New Roman" w:hAnsi="Times New Roman" w:cs="Times New Roman"/>
                <w:sz w:val="20"/>
                <w:szCs w:val="20"/>
              </w:rPr>
              <w:t xml:space="preserve">Pali, plūdi un </w:t>
            </w:r>
            <w:proofErr w:type="spellStart"/>
            <w:r w:rsidRPr="00613B14">
              <w:rPr>
                <w:rFonts w:ascii="Times New Roman" w:hAnsi="Times New Roman" w:cs="Times New Roman"/>
                <w:sz w:val="20"/>
                <w:szCs w:val="20"/>
              </w:rPr>
              <w:t>vējuzplūdi</w:t>
            </w:r>
            <w:proofErr w:type="spellEnd"/>
          </w:p>
          <w:p w14:paraId="5E079312" w14:textId="3390A51F" w:rsidR="00CF4DF0" w:rsidRDefault="00CF4DF0" w:rsidP="00034336">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Lietusgāzes, ilgstošas lietavas, pērkona negaiss un krusa, s</w:t>
            </w:r>
            <w:r w:rsidR="00AC3555">
              <w:rPr>
                <w:rFonts w:ascii="Times New Roman" w:hAnsi="Times New Roman" w:cs="Times New Roman"/>
                <w:sz w:val="20"/>
                <w:szCs w:val="20"/>
              </w:rPr>
              <w:t>niegs un putenis, apledojums</w:t>
            </w:r>
          </w:p>
          <w:p w14:paraId="540BB522" w14:textId="77777777" w:rsidR="00CF4DF0" w:rsidRDefault="00CF4DF0" w:rsidP="00034336">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2F602555"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Meža un kūdras purvu ugunsgrēki</w:t>
            </w:r>
          </w:p>
          <w:p w14:paraId="173E32BB" w14:textId="77777777" w:rsidR="00CF4DF0" w:rsidRDefault="00CF4DF0" w:rsidP="00034336">
            <w:pPr>
              <w:spacing w:after="0" w:line="240" w:lineRule="auto"/>
              <w:rPr>
                <w:rFonts w:ascii="Times New Roman" w:hAnsi="Times New Roman" w:cs="Times New Roman"/>
                <w:sz w:val="20"/>
                <w:szCs w:val="20"/>
              </w:rPr>
            </w:pPr>
            <w:r>
              <w:rPr>
                <w:rFonts w:ascii="Times New Roman" w:hAnsi="Times New Roman" w:cs="Times New Roman"/>
                <w:sz w:val="20"/>
                <w:szCs w:val="20"/>
              </w:rPr>
              <w:t>Epizootijas</w:t>
            </w:r>
          </w:p>
          <w:p w14:paraId="63F80454" w14:textId="77777777" w:rsidR="00CF4DF0" w:rsidRDefault="00CF4DF0" w:rsidP="00034336">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Epifitotijas</w:t>
            </w:r>
            <w:proofErr w:type="spellEnd"/>
          </w:p>
          <w:p w14:paraId="07B2AA03"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lastRenderedPageBreak/>
              <w:t>Bīstamo ķīmisko vielu noplūde objektā</w:t>
            </w:r>
          </w:p>
          <w:p w14:paraId="15FA3AA0"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naftas produktu cauruļvada transporta infrastruktūrā</w:t>
            </w:r>
          </w:p>
          <w:p w14:paraId="002D53CB"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dabasgāzes apgādes sistēmā</w:t>
            </w:r>
          </w:p>
          <w:p w14:paraId="191F6B06"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Radiācijas avārijas</w:t>
            </w:r>
          </w:p>
          <w:p w14:paraId="29C65DEA"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Bioloģisko vielu negadījumi</w:t>
            </w:r>
          </w:p>
          <w:p w14:paraId="632B3036" w14:textId="77777777" w:rsidR="00CF4DF0" w:rsidRDefault="00CF4DF0" w:rsidP="00034336">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Avārijas vai negadījumi ostu un jūras hidrotehniskajās inženierbūvēs</w:t>
            </w:r>
          </w:p>
          <w:p w14:paraId="55D1FF71" w14:textId="77777777" w:rsidR="00CF4DF0" w:rsidRDefault="00CF4DF0" w:rsidP="00034336">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p w14:paraId="31120B1B" w14:textId="77777777" w:rsidR="00CF4DF0" w:rsidRDefault="00CF4DF0" w:rsidP="00034336">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Pārvades un sadales elektrotīklu bojājumi</w:t>
            </w:r>
          </w:p>
          <w:p w14:paraId="66A05783" w14:textId="77282634"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Bīstamo ķīm</w:t>
            </w:r>
            <w:r w:rsidR="00AC3555">
              <w:rPr>
                <w:rFonts w:ascii="Times New Roman" w:hAnsi="Times New Roman" w:cs="Times New Roman"/>
                <w:sz w:val="20"/>
                <w:szCs w:val="20"/>
              </w:rPr>
              <w:t>isko vielu noplūde no kuģiem</w:t>
            </w:r>
          </w:p>
          <w:p w14:paraId="768CA1C4"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Autotransporta avārija</w:t>
            </w:r>
          </w:p>
          <w:p w14:paraId="1A26E11F"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Aviācijas nelaimes gadījums ar gaisa kuģi</w:t>
            </w:r>
          </w:p>
          <w:p w14:paraId="5F66EE04" w14:textId="77777777" w:rsidR="00CF4DF0" w:rsidRDefault="00CF4DF0" w:rsidP="00034336">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Dzelzceļa transporta katastrofa</w:t>
            </w:r>
          </w:p>
          <w:p w14:paraId="1E54030E" w14:textId="77777777" w:rsidR="00CF4DF0" w:rsidRDefault="00CF4DF0" w:rsidP="00034336">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Sabiedriskās nekārtības, iekšējie nemieri</w:t>
            </w:r>
          </w:p>
          <w:p w14:paraId="2E03648B" w14:textId="42E98F95" w:rsidR="00CF4DF0" w:rsidRPr="00C85731" w:rsidRDefault="00CF4DF0" w:rsidP="00034336">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Terora akti</w:t>
            </w:r>
          </w:p>
        </w:tc>
        <w:tc>
          <w:tcPr>
            <w:tcW w:w="1587" w:type="dxa"/>
          </w:tcPr>
          <w:p w14:paraId="0EA1621D" w14:textId="64C68CDF" w:rsidR="00CF4DF0" w:rsidRPr="00C52CF1"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Atbilstoši apdraudējumam plānā norādītā institūcija</w:t>
            </w:r>
          </w:p>
        </w:tc>
        <w:tc>
          <w:tcPr>
            <w:tcW w:w="1106" w:type="dxa"/>
          </w:tcPr>
          <w:p w14:paraId="45D86AA9" w14:textId="1A85808D" w:rsidR="00CF4DF0" w:rsidRPr="00C85731" w:rsidRDefault="00CF4DF0" w:rsidP="00045549">
            <w:pPr>
              <w:spacing w:after="0" w:line="240" w:lineRule="auto"/>
              <w:jc w:val="center"/>
              <w:rPr>
                <w:rFonts w:ascii="Times New Roman" w:hAnsi="Times New Roman" w:cs="Times New Roman"/>
                <w:sz w:val="20"/>
                <w:szCs w:val="20"/>
              </w:rPr>
            </w:pPr>
            <w:r w:rsidRPr="00C52CF1">
              <w:rPr>
                <w:rFonts w:ascii="Times New Roman" w:hAnsi="Times New Roman" w:cs="Times New Roman"/>
                <w:sz w:val="20"/>
                <w:szCs w:val="20"/>
              </w:rPr>
              <w:t>2020.-2027.gads</w:t>
            </w:r>
          </w:p>
        </w:tc>
        <w:tc>
          <w:tcPr>
            <w:tcW w:w="1418" w:type="dxa"/>
            <w:shd w:val="clear" w:color="auto" w:fill="auto"/>
          </w:tcPr>
          <w:p w14:paraId="21D0074C" w14:textId="0482F5C2" w:rsidR="0099014D" w:rsidRDefault="0099014D" w:rsidP="009901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p w14:paraId="5334FA2B" w14:textId="6ACE24BE" w:rsidR="00DA0D4A" w:rsidRPr="00C85731" w:rsidRDefault="00DA0D4A" w:rsidP="0099014D">
            <w:pPr>
              <w:spacing w:after="0" w:line="240" w:lineRule="auto"/>
              <w:jc w:val="center"/>
              <w:rPr>
                <w:rFonts w:ascii="Times New Roman" w:hAnsi="Times New Roman" w:cs="Times New Roman"/>
                <w:sz w:val="20"/>
                <w:szCs w:val="20"/>
              </w:rPr>
            </w:pPr>
          </w:p>
        </w:tc>
        <w:tc>
          <w:tcPr>
            <w:tcW w:w="1559" w:type="dxa"/>
            <w:shd w:val="clear" w:color="auto" w:fill="auto"/>
          </w:tcPr>
          <w:p w14:paraId="326E1D03" w14:textId="4F1B6CBA" w:rsidR="00CF4DF0" w:rsidRPr="00C85731" w:rsidRDefault="00AC3555"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1276" w:type="dxa"/>
            <w:shd w:val="clear" w:color="auto" w:fill="auto"/>
          </w:tcPr>
          <w:p w14:paraId="455BCA51" w14:textId="5A4EA2FB" w:rsidR="00CF4DF0" w:rsidRPr="00C85731" w:rsidRDefault="00AC3555"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p>
        </w:tc>
        <w:tc>
          <w:tcPr>
            <w:tcW w:w="1134" w:type="dxa"/>
            <w:shd w:val="clear" w:color="auto" w:fill="auto"/>
          </w:tcPr>
          <w:p w14:paraId="6D6D512D" w14:textId="15CF6E66" w:rsidR="00CF4DF0" w:rsidRPr="00C85731" w:rsidRDefault="00AC3555" w:rsidP="00BF49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w:t>
            </w:r>
          </w:p>
        </w:tc>
        <w:tc>
          <w:tcPr>
            <w:tcW w:w="1984" w:type="dxa"/>
          </w:tcPr>
          <w:p w14:paraId="15D01DB1" w14:textId="2EF6F129" w:rsidR="00CF4DF0" w:rsidRPr="00C85731" w:rsidRDefault="00CF4DF0" w:rsidP="00BF4965">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4C285CDF" w14:textId="77777777" w:rsidTr="00326706">
        <w:tc>
          <w:tcPr>
            <w:tcW w:w="2836" w:type="dxa"/>
            <w:shd w:val="clear" w:color="auto" w:fill="auto"/>
          </w:tcPr>
          <w:p w14:paraId="375BF740" w14:textId="44B4B903" w:rsidR="00CF4DF0" w:rsidRPr="007419BB" w:rsidRDefault="00CF4DF0" w:rsidP="00AC3555">
            <w:pPr>
              <w:spacing w:after="0" w:line="240" w:lineRule="auto"/>
              <w:jc w:val="both"/>
              <w:rPr>
                <w:rFonts w:ascii="Times New Roman" w:hAnsi="Times New Roman" w:cs="Times New Roman"/>
                <w:sz w:val="20"/>
                <w:szCs w:val="20"/>
              </w:rPr>
            </w:pPr>
            <w:r w:rsidRPr="007419BB">
              <w:rPr>
                <w:rFonts w:ascii="Times New Roman" w:hAnsi="Times New Roman" w:cs="Times New Roman"/>
                <w:sz w:val="20"/>
                <w:szCs w:val="20"/>
              </w:rPr>
              <w:t>Katastrofu zaudējumu un bojājumu datu bāzes vai sistēmas izveidošana un uzturēšana, un to lietotāju apmācība</w:t>
            </w:r>
          </w:p>
        </w:tc>
        <w:tc>
          <w:tcPr>
            <w:tcW w:w="2551" w:type="dxa"/>
          </w:tcPr>
          <w:p w14:paraId="2BA13596" w14:textId="77777777" w:rsidR="00CF4DF0" w:rsidRDefault="00CF4DF0" w:rsidP="00034336">
            <w:pPr>
              <w:spacing w:after="0" w:line="240" w:lineRule="auto"/>
              <w:rPr>
                <w:rFonts w:ascii="Times New Roman" w:hAnsi="Times New Roman" w:cs="Times New Roman"/>
                <w:sz w:val="20"/>
                <w:szCs w:val="20"/>
              </w:rPr>
            </w:pPr>
            <w:r>
              <w:rPr>
                <w:rFonts w:ascii="Times New Roman" w:hAnsi="Times New Roman" w:cs="Times New Roman"/>
                <w:sz w:val="20"/>
                <w:szCs w:val="20"/>
              </w:rPr>
              <w:t>Zemestrīce</w:t>
            </w:r>
          </w:p>
          <w:p w14:paraId="7DA56511" w14:textId="77777777" w:rsidR="00CF4DF0" w:rsidRDefault="00CF4DF0" w:rsidP="00034336">
            <w:pPr>
              <w:spacing w:after="0" w:line="240" w:lineRule="auto"/>
              <w:rPr>
                <w:rFonts w:ascii="Times New Roman" w:hAnsi="Times New Roman" w:cs="Times New Roman"/>
                <w:sz w:val="20"/>
                <w:szCs w:val="20"/>
              </w:rPr>
            </w:pPr>
            <w:r w:rsidRPr="006B7A7E">
              <w:rPr>
                <w:rFonts w:ascii="Times New Roman" w:hAnsi="Times New Roman" w:cs="Times New Roman"/>
                <w:sz w:val="20"/>
                <w:szCs w:val="20"/>
              </w:rPr>
              <w:t>Zemes nogruvums</w:t>
            </w:r>
          </w:p>
          <w:p w14:paraId="3629B66A" w14:textId="77777777" w:rsidR="00CF4DF0" w:rsidRDefault="00CF4DF0" w:rsidP="00034336">
            <w:pPr>
              <w:spacing w:after="0" w:line="240" w:lineRule="auto"/>
              <w:rPr>
                <w:rFonts w:ascii="Times New Roman" w:hAnsi="Times New Roman" w:cs="Times New Roman"/>
                <w:sz w:val="20"/>
                <w:szCs w:val="20"/>
              </w:rPr>
            </w:pPr>
            <w:r w:rsidRPr="00613B14">
              <w:rPr>
                <w:rFonts w:ascii="Times New Roman" w:hAnsi="Times New Roman" w:cs="Times New Roman"/>
                <w:sz w:val="20"/>
                <w:szCs w:val="20"/>
              </w:rPr>
              <w:t xml:space="preserve">Pali, plūdi un </w:t>
            </w:r>
            <w:proofErr w:type="spellStart"/>
            <w:r w:rsidRPr="00613B14">
              <w:rPr>
                <w:rFonts w:ascii="Times New Roman" w:hAnsi="Times New Roman" w:cs="Times New Roman"/>
                <w:sz w:val="20"/>
                <w:szCs w:val="20"/>
              </w:rPr>
              <w:t>vējuzplūdi</w:t>
            </w:r>
            <w:proofErr w:type="spellEnd"/>
          </w:p>
          <w:p w14:paraId="43AD390E" w14:textId="77777777" w:rsidR="00CF4DF0" w:rsidRDefault="00CF4DF0" w:rsidP="00034336">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Lietusgāzes, ilgstošas lietavas, pērkona negaiss un krusa, sniegs un putenis, apledojums ...</w:t>
            </w:r>
          </w:p>
          <w:p w14:paraId="64295E9C" w14:textId="77777777" w:rsidR="00CF4DF0" w:rsidRDefault="00CF4DF0" w:rsidP="00034336">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12CB04A0"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Meža un kūdras purvu ugunsgrēki</w:t>
            </w:r>
          </w:p>
          <w:p w14:paraId="19B5A803" w14:textId="77777777" w:rsidR="00CF4DF0" w:rsidRDefault="00CF4DF0" w:rsidP="00034336">
            <w:pPr>
              <w:spacing w:after="0" w:line="240" w:lineRule="auto"/>
              <w:rPr>
                <w:rFonts w:ascii="Times New Roman" w:hAnsi="Times New Roman" w:cs="Times New Roman"/>
                <w:sz w:val="20"/>
                <w:szCs w:val="20"/>
              </w:rPr>
            </w:pPr>
            <w:r>
              <w:rPr>
                <w:rFonts w:ascii="Times New Roman" w:hAnsi="Times New Roman" w:cs="Times New Roman"/>
                <w:sz w:val="20"/>
                <w:szCs w:val="20"/>
              </w:rPr>
              <w:t>Epidēmija, pandēmija</w:t>
            </w:r>
          </w:p>
          <w:p w14:paraId="36B0D3E4"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Epizootijas</w:t>
            </w:r>
          </w:p>
          <w:p w14:paraId="7AB029FF" w14:textId="77777777" w:rsidR="00CF4DF0" w:rsidRDefault="00CF4DF0" w:rsidP="00034336">
            <w:pPr>
              <w:spacing w:after="0" w:line="240" w:lineRule="auto"/>
              <w:rPr>
                <w:rFonts w:ascii="Times New Roman" w:hAnsi="Times New Roman" w:cs="Times New Roman"/>
                <w:sz w:val="20"/>
                <w:szCs w:val="20"/>
              </w:rPr>
            </w:pPr>
            <w:proofErr w:type="spellStart"/>
            <w:r w:rsidRPr="00D2377B">
              <w:rPr>
                <w:rFonts w:ascii="Times New Roman" w:hAnsi="Times New Roman" w:cs="Times New Roman"/>
                <w:sz w:val="20"/>
                <w:szCs w:val="20"/>
              </w:rPr>
              <w:lastRenderedPageBreak/>
              <w:t>Epifitotijas</w:t>
            </w:r>
            <w:proofErr w:type="spellEnd"/>
          </w:p>
          <w:p w14:paraId="5036FFCD"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Bīstamo ķīmisko vielu noplūde objektā</w:t>
            </w:r>
          </w:p>
          <w:p w14:paraId="14F39C20"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naftas produktu cauruļvada transporta infrastruktūrā</w:t>
            </w:r>
          </w:p>
          <w:p w14:paraId="2E57A8A1"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dabasgāzes apgādes sistēmā</w:t>
            </w:r>
          </w:p>
          <w:p w14:paraId="7A62910C"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Radiācijas avārijas</w:t>
            </w:r>
          </w:p>
          <w:p w14:paraId="1EF45ABC"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Bioloģisko vielu negadījumi</w:t>
            </w:r>
          </w:p>
          <w:p w14:paraId="52A00F1F" w14:textId="77777777" w:rsidR="00CF4DF0" w:rsidRDefault="00CF4DF0" w:rsidP="00034336">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Ugunsgrēki</w:t>
            </w:r>
          </w:p>
          <w:p w14:paraId="6641ABE2" w14:textId="77777777" w:rsidR="00CF4DF0" w:rsidRDefault="00CF4DF0" w:rsidP="00034336">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Avārijas vai negadījumi ostu un jūras hidrotehniskajās inženierbūvēs</w:t>
            </w:r>
          </w:p>
          <w:p w14:paraId="52561961" w14:textId="77777777" w:rsidR="00CF4DF0" w:rsidRDefault="00CF4DF0" w:rsidP="00034336">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p w14:paraId="1C397A62" w14:textId="77777777" w:rsidR="00CF4DF0" w:rsidRDefault="00CF4DF0" w:rsidP="00034336">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Pārvades un sadales elektrotīklu bojājumi</w:t>
            </w:r>
          </w:p>
          <w:p w14:paraId="7A6C4570"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Būvju sabrukums</w:t>
            </w:r>
          </w:p>
          <w:p w14:paraId="4205044C"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Bīstamo ķīmisko vielu noplūde no kuģiem ...</w:t>
            </w:r>
          </w:p>
          <w:p w14:paraId="15A5C8EC"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Autotransporta avārija</w:t>
            </w:r>
          </w:p>
          <w:p w14:paraId="3EB90C32"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Aviācijas nelaimes gadījums ar gaisa kuģi</w:t>
            </w:r>
          </w:p>
          <w:p w14:paraId="495E2461" w14:textId="77777777" w:rsidR="00CF4DF0" w:rsidRDefault="00CF4DF0" w:rsidP="00034336">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Dzelzceļa transporta katastrofa</w:t>
            </w:r>
          </w:p>
          <w:p w14:paraId="39440B53" w14:textId="77777777" w:rsidR="00CF4DF0" w:rsidRDefault="00CF4DF0" w:rsidP="00034336">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Sabiedriskās nekārtības, iekšējie nemieri</w:t>
            </w:r>
          </w:p>
          <w:p w14:paraId="5E292F16" w14:textId="39D56713" w:rsidR="00CF4DF0" w:rsidRPr="00C85731" w:rsidRDefault="00CF4DF0" w:rsidP="00034336">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Terora akti</w:t>
            </w:r>
          </w:p>
        </w:tc>
        <w:tc>
          <w:tcPr>
            <w:tcW w:w="1587" w:type="dxa"/>
          </w:tcPr>
          <w:p w14:paraId="39D13ED9" w14:textId="3017274C" w:rsidR="00CF4DF0" w:rsidRPr="00C52CF1"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Atbilstoši apdraudējumam plānā norādītā institūcija</w:t>
            </w:r>
          </w:p>
        </w:tc>
        <w:tc>
          <w:tcPr>
            <w:tcW w:w="1106" w:type="dxa"/>
          </w:tcPr>
          <w:p w14:paraId="58700435" w14:textId="603DB18C" w:rsidR="00CF4DF0" w:rsidRPr="00C85731" w:rsidRDefault="00CF4DF0" w:rsidP="00045549">
            <w:pPr>
              <w:spacing w:after="0" w:line="240" w:lineRule="auto"/>
              <w:jc w:val="center"/>
              <w:rPr>
                <w:rFonts w:ascii="Times New Roman" w:hAnsi="Times New Roman" w:cs="Times New Roman"/>
                <w:sz w:val="20"/>
                <w:szCs w:val="20"/>
              </w:rPr>
            </w:pPr>
            <w:r w:rsidRPr="00C52CF1">
              <w:rPr>
                <w:rFonts w:ascii="Times New Roman" w:hAnsi="Times New Roman" w:cs="Times New Roman"/>
                <w:sz w:val="20"/>
                <w:szCs w:val="20"/>
              </w:rPr>
              <w:t>2020.-2027.gads</w:t>
            </w:r>
          </w:p>
        </w:tc>
        <w:tc>
          <w:tcPr>
            <w:tcW w:w="1418" w:type="dxa"/>
            <w:shd w:val="clear" w:color="auto" w:fill="auto"/>
            <w:vAlign w:val="center"/>
          </w:tcPr>
          <w:p w14:paraId="6D003ADA" w14:textId="581D03CE" w:rsidR="00CF4DF0" w:rsidRPr="00C85731" w:rsidRDefault="0099014D" w:rsidP="009901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1559" w:type="dxa"/>
            <w:shd w:val="clear" w:color="auto" w:fill="auto"/>
            <w:vAlign w:val="center"/>
          </w:tcPr>
          <w:p w14:paraId="3CDEB18F" w14:textId="48F9D00B" w:rsidR="00CF4DF0" w:rsidRPr="00C85731" w:rsidRDefault="00AC5619" w:rsidP="00AC35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276" w:type="dxa"/>
            <w:shd w:val="clear" w:color="auto" w:fill="auto"/>
            <w:vAlign w:val="center"/>
          </w:tcPr>
          <w:p w14:paraId="464E983C" w14:textId="32AF1741" w:rsidR="00CF4DF0" w:rsidRPr="00C85731" w:rsidRDefault="00AC5619" w:rsidP="00AC35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shd w:val="clear" w:color="auto" w:fill="auto"/>
            <w:vAlign w:val="center"/>
          </w:tcPr>
          <w:p w14:paraId="5033151B" w14:textId="021BE99D" w:rsidR="00CF4DF0" w:rsidRPr="00C85731" w:rsidRDefault="00AC5619" w:rsidP="00AC35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984" w:type="dxa"/>
            <w:vAlign w:val="center"/>
          </w:tcPr>
          <w:p w14:paraId="52BD8872" w14:textId="27572C50"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2E19EA75" w14:textId="77777777" w:rsidTr="00326706">
        <w:tc>
          <w:tcPr>
            <w:tcW w:w="2836" w:type="dxa"/>
            <w:shd w:val="clear" w:color="auto" w:fill="auto"/>
          </w:tcPr>
          <w:p w14:paraId="03765197" w14:textId="39FC0EEA" w:rsidR="00CF4DF0" w:rsidRPr="007419BB" w:rsidRDefault="00CF4DF0" w:rsidP="00AC5619">
            <w:pPr>
              <w:spacing w:after="0" w:line="240" w:lineRule="auto"/>
              <w:jc w:val="both"/>
              <w:rPr>
                <w:rFonts w:ascii="Times New Roman" w:hAnsi="Times New Roman" w:cs="Times New Roman"/>
                <w:sz w:val="20"/>
                <w:szCs w:val="20"/>
              </w:rPr>
            </w:pPr>
            <w:r w:rsidRPr="007419BB">
              <w:rPr>
                <w:rFonts w:ascii="Times New Roman" w:hAnsi="Times New Roman" w:cs="Times New Roman"/>
                <w:sz w:val="20"/>
                <w:szCs w:val="20"/>
              </w:rPr>
              <w:t>Vienota kontaktu centra platformas izveide operatīvo dienestu darba atbalstam un publisko pakalpojumu piegādei, un to lietotāju apmācība</w:t>
            </w:r>
          </w:p>
        </w:tc>
        <w:tc>
          <w:tcPr>
            <w:tcW w:w="2551" w:type="dxa"/>
          </w:tcPr>
          <w:p w14:paraId="1E893120" w14:textId="77777777" w:rsidR="00CF4DF0" w:rsidRDefault="00CF4DF0" w:rsidP="00034336">
            <w:pPr>
              <w:spacing w:after="0" w:line="240" w:lineRule="auto"/>
              <w:rPr>
                <w:rFonts w:ascii="Times New Roman" w:hAnsi="Times New Roman" w:cs="Times New Roman"/>
                <w:sz w:val="20"/>
                <w:szCs w:val="20"/>
              </w:rPr>
            </w:pPr>
            <w:r>
              <w:rPr>
                <w:rFonts w:ascii="Times New Roman" w:hAnsi="Times New Roman" w:cs="Times New Roman"/>
                <w:sz w:val="20"/>
                <w:szCs w:val="20"/>
              </w:rPr>
              <w:t>Zemestrīce</w:t>
            </w:r>
          </w:p>
          <w:p w14:paraId="4608C4E7" w14:textId="77777777" w:rsidR="00CF4DF0" w:rsidRDefault="00CF4DF0" w:rsidP="00034336">
            <w:pPr>
              <w:spacing w:after="0" w:line="240" w:lineRule="auto"/>
              <w:rPr>
                <w:rFonts w:ascii="Times New Roman" w:hAnsi="Times New Roman" w:cs="Times New Roman"/>
                <w:sz w:val="20"/>
                <w:szCs w:val="20"/>
              </w:rPr>
            </w:pPr>
            <w:r w:rsidRPr="006B7A7E">
              <w:rPr>
                <w:rFonts w:ascii="Times New Roman" w:hAnsi="Times New Roman" w:cs="Times New Roman"/>
                <w:sz w:val="20"/>
                <w:szCs w:val="20"/>
              </w:rPr>
              <w:t>Zemes nogruvums</w:t>
            </w:r>
          </w:p>
          <w:p w14:paraId="41A2D7BC" w14:textId="77777777" w:rsidR="00CF4DF0" w:rsidRDefault="00CF4DF0" w:rsidP="00034336">
            <w:pPr>
              <w:spacing w:after="0" w:line="240" w:lineRule="auto"/>
              <w:rPr>
                <w:rFonts w:ascii="Times New Roman" w:hAnsi="Times New Roman" w:cs="Times New Roman"/>
                <w:sz w:val="20"/>
                <w:szCs w:val="20"/>
              </w:rPr>
            </w:pPr>
            <w:r w:rsidRPr="00613B14">
              <w:rPr>
                <w:rFonts w:ascii="Times New Roman" w:hAnsi="Times New Roman" w:cs="Times New Roman"/>
                <w:sz w:val="20"/>
                <w:szCs w:val="20"/>
              </w:rPr>
              <w:t xml:space="preserve">Pali, plūdi un </w:t>
            </w:r>
            <w:proofErr w:type="spellStart"/>
            <w:r w:rsidRPr="00613B14">
              <w:rPr>
                <w:rFonts w:ascii="Times New Roman" w:hAnsi="Times New Roman" w:cs="Times New Roman"/>
                <w:sz w:val="20"/>
                <w:szCs w:val="20"/>
              </w:rPr>
              <w:t>vējuzplūdi</w:t>
            </w:r>
            <w:proofErr w:type="spellEnd"/>
          </w:p>
          <w:p w14:paraId="619C1F67" w14:textId="77777777" w:rsidR="00CF4DF0" w:rsidRDefault="00CF4DF0" w:rsidP="00034336">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Lietusgāzes, ilgstošas lietavas, pērkona negaiss un krusa, sniegs un putenis, apledojums ...</w:t>
            </w:r>
          </w:p>
          <w:p w14:paraId="0218BA9D" w14:textId="77777777" w:rsidR="00CF4DF0" w:rsidRDefault="00CF4DF0" w:rsidP="00034336">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043C9407"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lastRenderedPageBreak/>
              <w:t>Meža un kūdras purvu ugunsgrēki</w:t>
            </w:r>
          </w:p>
          <w:p w14:paraId="21235CCB"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Epidēmija</w:t>
            </w:r>
            <w:r>
              <w:rPr>
                <w:rFonts w:ascii="Times New Roman" w:hAnsi="Times New Roman" w:cs="Times New Roman"/>
                <w:sz w:val="20"/>
                <w:szCs w:val="20"/>
              </w:rPr>
              <w:t>, pandēmija</w:t>
            </w:r>
          </w:p>
          <w:p w14:paraId="667EDA8B" w14:textId="77777777" w:rsidR="00CF4DF0" w:rsidRDefault="00CF4DF0" w:rsidP="0003433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Bīstamo ķīmisko vielu noplūde objektā</w:t>
            </w:r>
          </w:p>
          <w:p w14:paraId="1A8E2447"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naftas produktu cauruļvada transporta infrastruktūrā</w:t>
            </w:r>
          </w:p>
          <w:p w14:paraId="4BDAED2D"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dabasgāzes apgādes sistēmā</w:t>
            </w:r>
          </w:p>
          <w:p w14:paraId="5C990FE9"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Radiācijas avārijas</w:t>
            </w:r>
          </w:p>
          <w:p w14:paraId="06FBF6C3" w14:textId="77777777" w:rsidR="00CF4DF0" w:rsidRDefault="00CF4DF0" w:rsidP="0003433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Bioloģisko vielu negadījumi</w:t>
            </w:r>
          </w:p>
          <w:p w14:paraId="5A3B13E6" w14:textId="77777777" w:rsidR="00CF4DF0" w:rsidRDefault="00CF4DF0" w:rsidP="00034336">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Ugunsgrēki</w:t>
            </w:r>
          </w:p>
          <w:p w14:paraId="64444AB3" w14:textId="77777777" w:rsidR="00CF4DF0" w:rsidRDefault="00CF4DF0" w:rsidP="00034336">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p w14:paraId="6BF5F1F9"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Pārvades un sadales elektrotīklu bojājumi</w:t>
            </w:r>
          </w:p>
          <w:p w14:paraId="7F772EEF"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Būvju sabrukums</w:t>
            </w:r>
          </w:p>
          <w:p w14:paraId="41ED6F69"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Bīstamo ķīmisko vielu noplūde no kuģiem ...</w:t>
            </w:r>
          </w:p>
          <w:p w14:paraId="462003D4"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Autotransporta avārija</w:t>
            </w:r>
          </w:p>
          <w:p w14:paraId="7BDCF9EC" w14:textId="77777777" w:rsidR="00CF4DF0"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Aviācijas nelaimes gadījums ar gaisa kuģi</w:t>
            </w:r>
          </w:p>
          <w:p w14:paraId="6ACAB7EF" w14:textId="77777777" w:rsidR="00CF4DF0" w:rsidRDefault="00CF4DF0" w:rsidP="00034336">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Dzelzceļa transporta katastrofa</w:t>
            </w:r>
          </w:p>
          <w:p w14:paraId="64ED6B42" w14:textId="77777777" w:rsidR="00CF4DF0" w:rsidRDefault="00CF4DF0" w:rsidP="00034336">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Sabiedriskās nekārtības, iekšējie nemieri</w:t>
            </w:r>
          </w:p>
          <w:p w14:paraId="6D24AEAC" w14:textId="004B8068" w:rsidR="00CF4DF0" w:rsidRPr="00C85731" w:rsidRDefault="00CF4DF0" w:rsidP="00034336">
            <w:pPr>
              <w:spacing w:after="0" w:line="240" w:lineRule="auto"/>
              <w:rPr>
                <w:rFonts w:ascii="Times New Roman" w:hAnsi="Times New Roman" w:cs="Times New Roman"/>
                <w:sz w:val="20"/>
                <w:szCs w:val="20"/>
              </w:rPr>
            </w:pPr>
            <w:r w:rsidRPr="00AA613D">
              <w:rPr>
                <w:rFonts w:ascii="Times New Roman" w:hAnsi="Times New Roman" w:cs="Times New Roman"/>
                <w:sz w:val="20"/>
                <w:szCs w:val="20"/>
              </w:rPr>
              <w:t>Terora akti</w:t>
            </w:r>
          </w:p>
        </w:tc>
        <w:tc>
          <w:tcPr>
            <w:tcW w:w="1587" w:type="dxa"/>
          </w:tcPr>
          <w:p w14:paraId="557510E2" w14:textId="034B51C0" w:rsidR="00CF4DF0" w:rsidRPr="00C52CF1"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Atbilstoši apdraudējumam plānā norādītā institūcija</w:t>
            </w:r>
          </w:p>
        </w:tc>
        <w:tc>
          <w:tcPr>
            <w:tcW w:w="1106" w:type="dxa"/>
          </w:tcPr>
          <w:p w14:paraId="25CCD739" w14:textId="2B64CF65" w:rsidR="00CF4DF0" w:rsidRPr="00C85731" w:rsidRDefault="00CF4DF0" w:rsidP="00045549">
            <w:pPr>
              <w:spacing w:after="0" w:line="240" w:lineRule="auto"/>
              <w:jc w:val="center"/>
              <w:rPr>
                <w:rFonts w:ascii="Times New Roman" w:hAnsi="Times New Roman" w:cs="Times New Roman"/>
                <w:sz w:val="20"/>
                <w:szCs w:val="20"/>
              </w:rPr>
            </w:pPr>
            <w:r w:rsidRPr="00C52CF1">
              <w:rPr>
                <w:rFonts w:ascii="Times New Roman" w:hAnsi="Times New Roman" w:cs="Times New Roman"/>
                <w:sz w:val="20"/>
                <w:szCs w:val="20"/>
              </w:rPr>
              <w:t>2020.-2023.gads</w:t>
            </w:r>
          </w:p>
        </w:tc>
        <w:tc>
          <w:tcPr>
            <w:tcW w:w="1418" w:type="dxa"/>
            <w:shd w:val="clear" w:color="auto" w:fill="auto"/>
            <w:vAlign w:val="center"/>
          </w:tcPr>
          <w:p w14:paraId="334DEBC1" w14:textId="56EFDA3E" w:rsidR="00CF4DF0" w:rsidRPr="00C85731" w:rsidRDefault="00DA0D4A" w:rsidP="00DA0D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1559" w:type="dxa"/>
            <w:shd w:val="clear" w:color="auto" w:fill="auto"/>
            <w:vAlign w:val="center"/>
          </w:tcPr>
          <w:p w14:paraId="4F5A1AE9" w14:textId="03DDED14"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110</w:t>
            </w:r>
          </w:p>
        </w:tc>
        <w:tc>
          <w:tcPr>
            <w:tcW w:w="1276" w:type="dxa"/>
            <w:shd w:val="clear" w:color="auto" w:fill="auto"/>
            <w:vAlign w:val="center"/>
          </w:tcPr>
          <w:p w14:paraId="4EC747A4" w14:textId="73DCBEDA"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134" w:type="dxa"/>
            <w:shd w:val="clear" w:color="auto" w:fill="auto"/>
            <w:vAlign w:val="center"/>
          </w:tcPr>
          <w:p w14:paraId="4E14471A" w14:textId="7692B6EE"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1984" w:type="dxa"/>
            <w:vAlign w:val="center"/>
          </w:tcPr>
          <w:p w14:paraId="7AF89931" w14:textId="564BC39D"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75199D0C" w14:textId="77777777" w:rsidTr="00326706">
        <w:tc>
          <w:tcPr>
            <w:tcW w:w="2836" w:type="dxa"/>
            <w:shd w:val="clear" w:color="auto" w:fill="auto"/>
          </w:tcPr>
          <w:p w14:paraId="2B763096" w14:textId="3DB35DAB" w:rsidR="00CF4DF0" w:rsidRPr="007419BB" w:rsidRDefault="00CF4DF0" w:rsidP="009350F7">
            <w:pPr>
              <w:spacing w:after="0" w:line="240" w:lineRule="auto"/>
              <w:rPr>
                <w:rFonts w:ascii="Times New Roman" w:hAnsi="Times New Roman" w:cs="Times New Roman"/>
                <w:sz w:val="20"/>
                <w:szCs w:val="20"/>
              </w:rPr>
            </w:pPr>
            <w:r w:rsidRPr="007419BB">
              <w:rPr>
                <w:rFonts w:ascii="Times New Roman" w:hAnsi="Times New Roman" w:cs="Times New Roman"/>
                <w:sz w:val="20"/>
                <w:szCs w:val="20"/>
              </w:rPr>
              <w:t>Autoceļu plānošana, izbūve un uzturēšana</w:t>
            </w:r>
          </w:p>
        </w:tc>
        <w:tc>
          <w:tcPr>
            <w:tcW w:w="2551" w:type="dxa"/>
          </w:tcPr>
          <w:p w14:paraId="44D0237F" w14:textId="77777777" w:rsidR="00CF4DF0" w:rsidRDefault="00CF4DF0" w:rsidP="00034336">
            <w:pPr>
              <w:spacing w:after="0" w:line="240" w:lineRule="auto"/>
              <w:rPr>
                <w:rFonts w:ascii="Times New Roman" w:hAnsi="Times New Roman" w:cs="Times New Roman"/>
                <w:sz w:val="20"/>
                <w:szCs w:val="20"/>
              </w:rPr>
            </w:pPr>
            <w:r>
              <w:rPr>
                <w:rFonts w:ascii="Times New Roman" w:hAnsi="Times New Roman" w:cs="Times New Roman"/>
                <w:sz w:val="20"/>
                <w:szCs w:val="20"/>
              </w:rPr>
              <w:t>Zemes nogruvums</w:t>
            </w:r>
          </w:p>
          <w:p w14:paraId="1E7C2B55" w14:textId="77777777" w:rsidR="00CF4DF0" w:rsidRDefault="00CF4DF0" w:rsidP="00034336">
            <w:pPr>
              <w:spacing w:after="0" w:line="240" w:lineRule="auto"/>
              <w:rPr>
                <w:rFonts w:ascii="Times New Roman" w:hAnsi="Times New Roman" w:cs="Times New Roman"/>
                <w:sz w:val="20"/>
                <w:szCs w:val="20"/>
              </w:rPr>
            </w:pPr>
            <w:r w:rsidRPr="006B7A7E">
              <w:rPr>
                <w:rFonts w:ascii="Times New Roman" w:hAnsi="Times New Roman" w:cs="Times New Roman"/>
                <w:sz w:val="20"/>
                <w:szCs w:val="20"/>
              </w:rPr>
              <w:t xml:space="preserve">Pali, plūdi un </w:t>
            </w:r>
            <w:proofErr w:type="spellStart"/>
            <w:r w:rsidRPr="006B7A7E">
              <w:rPr>
                <w:rFonts w:ascii="Times New Roman" w:hAnsi="Times New Roman" w:cs="Times New Roman"/>
                <w:sz w:val="20"/>
                <w:szCs w:val="20"/>
              </w:rPr>
              <w:t>vējuzplūdi</w:t>
            </w:r>
            <w:proofErr w:type="spellEnd"/>
          </w:p>
          <w:p w14:paraId="7445D83C" w14:textId="77777777" w:rsidR="00CF4DF0" w:rsidRDefault="00CF4DF0" w:rsidP="009350F7">
            <w:pPr>
              <w:spacing w:after="0" w:line="240" w:lineRule="auto"/>
              <w:rPr>
                <w:rFonts w:ascii="Times New Roman" w:hAnsi="Times New Roman" w:cs="Times New Roman"/>
                <w:sz w:val="20"/>
                <w:szCs w:val="20"/>
              </w:rPr>
            </w:pPr>
            <w:r>
              <w:rPr>
                <w:rFonts w:ascii="Times New Roman" w:hAnsi="Times New Roman" w:cs="Times New Roman"/>
                <w:sz w:val="20"/>
                <w:szCs w:val="20"/>
              </w:rPr>
              <w:t>L</w:t>
            </w:r>
            <w:r w:rsidRPr="00613B14">
              <w:rPr>
                <w:rFonts w:ascii="Times New Roman" w:hAnsi="Times New Roman" w:cs="Times New Roman"/>
                <w:sz w:val="20"/>
                <w:szCs w:val="20"/>
              </w:rPr>
              <w:t xml:space="preserve">ietusgāzes, ilgstošas lietavas, pērkona negaiss un krusa, sniegs un putenis, apledojums </w:t>
            </w:r>
            <w:r>
              <w:rPr>
                <w:rFonts w:ascii="Times New Roman" w:hAnsi="Times New Roman" w:cs="Times New Roman"/>
                <w:sz w:val="20"/>
                <w:szCs w:val="20"/>
              </w:rPr>
              <w:t>...</w:t>
            </w:r>
          </w:p>
          <w:p w14:paraId="2B9A6601" w14:textId="77777777" w:rsidR="00CF4DF0" w:rsidRDefault="00CF4DF0" w:rsidP="009350F7">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 xml:space="preserve">Dambju un citu hidrotehnisko būvju pārrāvumi – Daugavas </w:t>
            </w:r>
            <w:r w:rsidRPr="003619E8">
              <w:rPr>
                <w:rFonts w:ascii="Times New Roman" w:hAnsi="Times New Roman" w:cs="Times New Roman"/>
                <w:sz w:val="20"/>
                <w:szCs w:val="20"/>
              </w:rPr>
              <w:lastRenderedPageBreak/>
              <w:t>hidroelektrostaciju kaskādes hidrobūve</w:t>
            </w:r>
          </w:p>
          <w:p w14:paraId="7032A5D5" w14:textId="56F7198F" w:rsidR="00CF4DF0" w:rsidRPr="00C85731" w:rsidRDefault="00CF4DF0" w:rsidP="009350F7">
            <w:pPr>
              <w:spacing w:after="0" w:line="240" w:lineRule="auto"/>
              <w:rPr>
                <w:rFonts w:ascii="Times New Roman" w:hAnsi="Times New Roman" w:cs="Times New Roman"/>
                <w:sz w:val="20"/>
                <w:szCs w:val="20"/>
              </w:rPr>
            </w:pPr>
          </w:p>
        </w:tc>
        <w:tc>
          <w:tcPr>
            <w:tcW w:w="1587" w:type="dxa"/>
          </w:tcPr>
          <w:p w14:paraId="62E7195F" w14:textId="7B8BDCA2" w:rsidR="00CF4DF0" w:rsidRPr="00034336" w:rsidRDefault="0046252D" w:rsidP="00034336">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Atbilstoši apdraudējumam plānā norādītā institūcija</w:t>
            </w:r>
          </w:p>
        </w:tc>
        <w:tc>
          <w:tcPr>
            <w:tcW w:w="1106" w:type="dxa"/>
          </w:tcPr>
          <w:p w14:paraId="6B6F67A8" w14:textId="07159AFA" w:rsidR="00CF4DF0" w:rsidRPr="00C85731" w:rsidRDefault="00CF4DF0" w:rsidP="00034336">
            <w:pPr>
              <w:spacing w:after="0" w:line="240" w:lineRule="auto"/>
              <w:rPr>
                <w:rFonts w:ascii="Times New Roman" w:hAnsi="Times New Roman" w:cs="Times New Roman"/>
                <w:sz w:val="20"/>
                <w:szCs w:val="20"/>
              </w:rPr>
            </w:pPr>
            <w:r w:rsidRPr="00034336">
              <w:rPr>
                <w:rFonts w:ascii="Times New Roman" w:hAnsi="Times New Roman" w:cs="Times New Roman"/>
                <w:sz w:val="20"/>
                <w:szCs w:val="20"/>
              </w:rPr>
              <w:t>2020.-2027.gads</w:t>
            </w:r>
          </w:p>
        </w:tc>
        <w:tc>
          <w:tcPr>
            <w:tcW w:w="1418" w:type="dxa"/>
            <w:shd w:val="clear" w:color="auto" w:fill="auto"/>
            <w:vAlign w:val="center"/>
          </w:tcPr>
          <w:p w14:paraId="6210D72F" w14:textId="785EF5F5" w:rsidR="00CF4DF0" w:rsidRPr="00C85731" w:rsidRDefault="00DA0D4A" w:rsidP="00DA0D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1559" w:type="dxa"/>
            <w:shd w:val="clear" w:color="auto" w:fill="auto"/>
            <w:vAlign w:val="center"/>
          </w:tcPr>
          <w:p w14:paraId="3B1C1B30" w14:textId="7580C237"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auto"/>
            <w:vAlign w:val="center"/>
          </w:tcPr>
          <w:p w14:paraId="404BD69B" w14:textId="6D3A4F3E"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134" w:type="dxa"/>
            <w:shd w:val="clear" w:color="auto" w:fill="auto"/>
            <w:vAlign w:val="center"/>
          </w:tcPr>
          <w:p w14:paraId="3874CDCD" w14:textId="70FEE7D8"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984" w:type="dxa"/>
            <w:vAlign w:val="center"/>
          </w:tcPr>
          <w:p w14:paraId="740814F9" w14:textId="339C53F9"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143BB472" w14:textId="77777777" w:rsidTr="00326706">
        <w:tc>
          <w:tcPr>
            <w:tcW w:w="2836" w:type="dxa"/>
            <w:shd w:val="clear" w:color="auto" w:fill="auto"/>
          </w:tcPr>
          <w:p w14:paraId="39EF9529" w14:textId="0BE23AF2" w:rsidR="00CF4DF0" w:rsidRPr="007419BB" w:rsidRDefault="00CF4DF0" w:rsidP="00AC5619">
            <w:pPr>
              <w:spacing w:after="0" w:line="240" w:lineRule="auto"/>
              <w:jc w:val="both"/>
              <w:rPr>
                <w:rFonts w:ascii="Times New Roman" w:hAnsi="Times New Roman" w:cs="Times New Roman"/>
                <w:sz w:val="20"/>
                <w:szCs w:val="20"/>
              </w:rPr>
            </w:pPr>
            <w:r w:rsidRPr="004B0100">
              <w:rPr>
                <w:rFonts w:ascii="Times New Roman" w:hAnsi="Times New Roman" w:cs="Times New Roman"/>
                <w:sz w:val="20"/>
                <w:szCs w:val="20"/>
              </w:rPr>
              <w:t>Autoceļu uzturēšana un attīstīšana</w:t>
            </w:r>
          </w:p>
        </w:tc>
        <w:tc>
          <w:tcPr>
            <w:tcW w:w="2551" w:type="dxa"/>
          </w:tcPr>
          <w:p w14:paraId="373A194A" w14:textId="609C6F5E" w:rsidR="00CF4DF0" w:rsidRDefault="00CF4DF0" w:rsidP="00034336">
            <w:pPr>
              <w:spacing w:after="0" w:line="240" w:lineRule="auto"/>
              <w:rPr>
                <w:rFonts w:ascii="Times New Roman" w:hAnsi="Times New Roman" w:cs="Times New Roman"/>
                <w:sz w:val="20"/>
                <w:szCs w:val="20"/>
              </w:rPr>
            </w:pPr>
            <w:r>
              <w:rPr>
                <w:rFonts w:ascii="Times New Roman" w:hAnsi="Times New Roman" w:cs="Times New Roman"/>
                <w:sz w:val="20"/>
                <w:szCs w:val="20"/>
              </w:rPr>
              <w:t>A</w:t>
            </w:r>
            <w:r w:rsidRPr="004B0100">
              <w:rPr>
                <w:rFonts w:ascii="Times New Roman" w:hAnsi="Times New Roman" w:cs="Times New Roman"/>
                <w:sz w:val="20"/>
                <w:szCs w:val="20"/>
              </w:rPr>
              <w:t>utotransporta avārija</w:t>
            </w:r>
          </w:p>
        </w:tc>
        <w:tc>
          <w:tcPr>
            <w:tcW w:w="1587" w:type="dxa"/>
          </w:tcPr>
          <w:p w14:paraId="6927BECF" w14:textId="3F9C214C" w:rsidR="00CF4DF0" w:rsidRPr="004B0100" w:rsidRDefault="0046252D" w:rsidP="004625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4AE90C17" w14:textId="56C54653" w:rsidR="00CF4DF0" w:rsidRPr="00034336" w:rsidRDefault="00CF4DF0" w:rsidP="0003433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Pastāvīgi</w:t>
            </w:r>
          </w:p>
        </w:tc>
        <w:tc>
          <w:tcPr>
            <w:tcW w:w="1418" w:type="dxa"/>
            <w:shd w:val="clear" w:color="auto" w:fill="auto"/>
            <w:vAlign w:val="center"/>
          </w:tcPr>
          <w:p w14:paraId="6981B0E2" w14:textId="7E114014"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shd w:val="clear" w:color="auto" w:fill="auto"/>
            <w:vAlign w:val="center"/>
          </w:tcPr>
          <w:p w14:paraId="2F6BC8D6" w14:textId="76D42DC8"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auto"/>
            <w:vAlign w:val="center"/>
          </w:tcPr>
          <w:p w14:paraId="55048173" w14:textId="44ED4EDD"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28E6EC19" w14:textId="5EF73BD7"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DFC5452" w14:textId="0F4E4D8E"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6F9B4A5D" w14:textId="77777777" w:rsidTr="00326706">
        <w:tc>
          <w:tcPr>
            <w:tcW w:w="2836" w:type="dxa"/>
            <w:shd w:val="clear" w:color="auto" w:fill="auto"/>
            <w:vAlign w:val="center"/>
          </w:tcPr>
          <w:p w14:paraId="2ECFA3BE" w14:textId="4B195927" w:rsidR="00CF4DF0" w:rsidRPr="007419BB" w:rsidRDefault="00CF4DF0" w:rsidP="00AC5619">
            <w:pPr>
              <w:spacing w:after="0" w:line="240" w:lineRule="auto"/>
              <w:jc w:val="both"/>
              <w:rPr>
                <w:rFonts w:ascii="Times New Roman" w:hAnsi="Times New Roman" w:cs="Times New Roman"/>
                <w:sz w:val="20"/>
                <w:szCs w:val="20"/>
              </w:rPr>
            </w:pPr>
            <w:r w:rsidRPr="007419BB">
              <w:rPr>
                <w:rFonts w:ascii="Times New Roman" w:hAnsi="Times New Roman" w:cs="Times New Roman"/>
                <w:sz w:val="20"/>
                <w:szCs w:val="20"/>
              </w:rPr>
              <w:t>Dzelzceļa transportlīdzekļu, speciālās tehnikas un materiāltehniskā (aprīkojuma) iegāde un uzturēšana, zemes nogruvumu, klimata pārmaiņu ietekmes uz publiskās dzelzceļa infrastruktūras sliežu ceļu radīto seku likvidēšanai</w:t>
            </w:r>
          </w:p>
        </w:tc>
        <w:tc>
          <w:tcPr>
            <w:tcW w:w="2551" w:type="dxa"/>
          </w:tcPr>
          <w:p w14:paraId="6EC96CDD" w14:textId="20AFEE16" w:rsidR="00CF4DF0" w:rsidRPr="00C85731" w:rsidRDefault="00CF4DF0" w:rsidP="00034336">
            <w:pPr>
              <w:spacing w:after="0" w:line="240" w:lineRule="auto"/>
              <w:rPr>
                <w:rFonts w:ascii="Times New Roman" w:hAnsi="Times New Roman" w:cs="Times New Roman"/>
                <w:sz w:val="20"/>
                <w:szCs w:val="20"/>
              </w:rPr>
            </w:pPr>
            <w:r w:rsidRPr="00034336">
              <w:rPr>
                <w:rFonts w:ascii="Times New Roman" w:hAnsi="Times New Roman" w:cs="Times New Roman"/>
                <w:sz w:val="20"/>
                <w:szCs w:val="20"/>
              </w:rPr>
              <w:t>Zemes nogruvums</w:t>
            </w:r>
          </w:p>
        </w:tc>
        <w:tc>
          <w:tcPr>
            <w:tcW w:w="1587" w:type="dxa"/>
          </w:tcPr>
          <w:p w14:paraId="28642D5B" w14:textId="63B6477C" w:rsidR="00CF4DF0" w:rsidRPr="00034336" w:rsidRDefault="0046252D" w:rsidP="0046252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12E62169" w14:textId="34CFF12D" w:rsidR="00CF4DF0" w:rsidRPr="00C85731" w:rsidRDefault="00CF4DF0" w:rsidP="00045549">
            <w:pPr>
              <w:spacing w:after="0" w:line="240" w:lineRule="auto"/>
              <w:jc w:val="center"/>
              <w:rPr>
                <w:rFonts w:ascii="Times New Roman" w:hAnsi="Times New Roman" w:cs="Times New Roman"/>
                <w:sz w:val="20"/>
                <w:szCs w:val="20"/>
              </w:rPr>
            </w:pPr>
            <w:r w:rsidRPr="00034336">
              <w:rPr>
                <w:rFonts w:ascii="Times New Roman" w:hAnsi="Times New Roman" w:cs="Times New Roman"/>
                <w:sz w:val="20"/>
                <w:szCs w:val="20"/>
              </w:rPr>
              <w:t>2020-2027.gads</w:t>
            </w:r>
          </w:p>
        </w:tc>
        <w:tc>
          <w:tcPr>
            <w:tcW w:w="1418" w:type="dxa"/>
            <w:shd w:val="clear" w:color="auto" w:fill="auto"/>
            <w:vAlign w:val="center"/>
          </w:tcPr>
          <w:p w14:paraId="40624702" w14:textId="4DBF92DA"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559" w:type="dxa"/>
            <w:shd w:val="clear" w:color="auto" w:fill="auto"/>
            <w:vAlign w:val="center"/>
          </w:tcPr>
          <w:p w14:paraId="154AE0C9" w14:textId="497196AD"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vAlign w:val="center"/>
          </w:tcPr>
          <w:p w14:paraId="749E3650" w14:textId="25AE50C1"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shd w:val="clear" w:color="auto" w:fill="auto"/>
            <w:vAlign w:val="center"/>
          </w:tcPr>
          <w:p w14:paraId="74969D36" w14:textId="2B5CB0CA" w:rsidR="00CF4DF0" w:rsidRPr="00C85731" w:rsidRDefault="00AC5619"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11A0E16" w14:textId="4A01E8BF"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0056B98C" w14:textId="77777777" w:rsidTr="00326706">
        <w:tc>
          <w:tcPr>
            <w:tcW w:w="2836" w:type="dxa"/>
            <w:shd w:val="clear" w:color="auto" w:fill="auto"/>
          </w:tcPr>
          <w:p w14:paraId="35715313" w14:textId="5DAE8A5B" w:rsidR="00CF4DF0" w:rsidRPr="007419BB" w:rsidRDefault="00CF4DF0" w:rsidP="00AC5619">
            <w:pPr>
              <w:spacing w:after="0" w:line="240" w:lineRule="auto"/>
              <w:jc w:val="both"/>
              <w:rPr>
                <w:rFonts w:ascii="Times New Roman" w:hAnsi="Times New Roman" w:cs="Times New Roman"/>
                <w:sz w:val="20"/>
                <w:szCs w:val="20"/>
              </w:rPr>
            </w:pPr>
            <w:r w:rsidRPr="007419BB">
              <w:rPr>
                <w:rFonts w:ascii="Times New Roman" w:hAnsi="Times New Roman" w:cs="Times New Roman"/>
                <w:sz w:val="20"/>
                <w:szCs w:val="20"/>
              </w:rPr>
              <w:t>Latvijas pielāgošanās klimata pārmaiņām plāna laika posmam līdz 2030.gadam rīcības virzienu īstenošana</w:t>
            </w:r>
          </w:p>
        </w:tc>
        <w:tc>
          <w:tcPr>
            <w:tcW w:w="2551" w:type="dxa"/>
          </w:tcPr>
          <w:p w14:paraId="07DAE400" w14:textId="77777777" w:rsidR="00CF4DF0" w:rsidRDefault="00CF4DF0" w:rsidP="006B7A7E">
            <w:pPr>
              <w:spacing w:after="0" w:line="240" w:lineRule="auto"/>
              <w:rPr>
                <w:rFonts w:ascii="Times New Roman" w:hAnsi="Times New Roman" w:cs="Times New Roman"/>
                <w:sz w:val="20"/>
                <w:szCs w:val="20"/>
              </w:rPr>
            </w:pPr>
            <w:r w:rsidRPr="006B7A7E">
              <w:rPr>
                <w:rFonts w:ascii="Times New Roman" w:hAnsi="Times New Roman" w:cs="Times New Roman"/>
                <w:sz w:val="20"/>
                <w:szCs w:val="20"/>
              </w:rPr>
              <w:t>Zemes nogruvums</w:t>
            </w:r>
          </w:p>
          <w:p w14:paraId="28F5A06B" w14:textId="77777777" w:rsidR="00CF4DF0" w:rsidRDefault="00CF4DF0" w:rsidP="006B7A7E">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4AFEFD48" w14:textId="77777777" w:rsidR="00CF4DF0" w:rsidRDefault="00CF4DF0" w:rsidP="006B7A7E">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Lietusgāzes, ilgstošas lietavas, pērkona negaiss un krusa, sniegs un putenis, apledojums ...</w:t>
            </w:r>
          </w:p>
          <w:p w14:paraId="6B867DB6" w14:textId="77777777" w:rsidR="00CF4DF0" w:rsidRDefault="00CF4DF0" w:rsidP="006B7A7E">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4A66D5CE" w14:textId="77777777" w:rsidR="00CF4DF0" w:rsidRDefault="00CF4DF0" w:rsidP="006B7A7E">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p w14:paraId="2B5B7FDF" w14:textId="77777777" w:rsidR="00CF4DF0" w:rsidRDefault="00CF4DF0" w:rsidP="006B7A7E">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Avārijas vai negadījumi ostu un jūras hidrotehniskajās inženierbūvēs</w:t>
            </w:r>
          </w:p>
          <w:p w14:paraId="180F6A52" w14:textId="77777777" w:rsidR="00CF4DF0" w:rsidRDefault="00CF4DF0" w:rsidP="006B7A7E">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p w14:paraId="4EB4250A" w14:textId="77777777" w:rsidR="00CF4DF0" w:rsidRDefault="00CF4DF0" w:rsidP="006B7A7E">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Pārvades un sadales elektrotīklu bojājumi</w:t>
            </w:r>
          </w:p>
          <w:p w14:paraId="578CE055" w14:textId="7BAAEB9D" w:rsidR="00CF4DF0" w:rsidRPr="00C85731" w:rsidRDefault="00CF4DF0" w:rsidP="006B7A7E">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Būvju sabrukums</w:t>
            </w:r>
          </w:p>
        </w:tc>
        <w:tc>
          <w:tcPr>
            <w:tcW w:w="1587" w:type="dxa"/>
          </w:tcPr>
          <w:p w14:paraId="1EB545A5" w14:textId="62E148F2" w:rsidR="00CF4DF0" w:rsidRPr="006B7A7E"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0CC2D61D" w14:textId="262CC604" w:rsidR="00CF4DF0" w:rsidRPr="00C85731" w:rsidRDefault="00CF4DF0" w:rsidP="00045549">
            <w:pPr>
              <w:spacing w:after="0" w:line="240" w:lineRule="auto"/>
              <w:jc w:val="center"/>
              <w:rPr>
                <w:rFonts w:ascii="Times New Roman" w:hAnsi="Times New Roman" w:cs="Times New Roman"/>
                <w:sz w:val="20"/>
                <w:szCs w:val="20"/>
              </w:rPr>
            </w:pPr>
            <w:r w:rsidRPr="006B7A7E">
              <w:rPr>
                <w:rFonts w:ascii="Times New Roman" w:hAnsi="Times New Roman" w:cs="Times New Roman"/>
                <w:sz w:val="20"/>
                <w:szCs w:val="20"/>
              </w:rPr>
              <w:t>2020.-2030.gads</w:t>
            </w:r>
          </w:p>
        </w:tc>
        <w:tc>
          <w:tcPr>
            <w:tcW w:w="1418" w:type="dxa"/>
            <w:shd w:val="clear" w:color="auto" w:fill="auto"/>
            <w:vAlign w:val="center"/>
          </w:tcPr>
          <w:p w14:paraId="52871450" w14:textId="5A9A0A86" w:rsidR="00CF4DF0" w:rsidRPr="00C85731" w:rsidRDefault="006C50BD" w:rsidP="006C50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559" w:type="dxa"/>
            <w:shd w:val="clear" w:color="auto" w:fill="auto"/>
            <w:vAlign w:val="center"/>
          </w:tcPr>
          <w:p w14:paraId="23232F6F" w14:textId="511FE613"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1276" w:type="dxa"/>
            <w:shd w:val="clear" w:color="auto" w:fill="auto"/>
            <w:vAlign w:val="center"/>
          </w:tcPr>
          <w:p w14:paraId="17DF7E28" w14:textId="20670510"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134" w:type="dxa"/>
            <w:shd w:val="clear" w:color="auto" w:fill="auto"/>
            <w:vAlign w:val="center"/>
          </w:tcPr>
          <w:p w14:paraId="73F78D49" w14:textId="2B3A063D"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1984" w:type="dxa"/>
            <w:vAlign w:val="center"/>
          </w:tcPr>
          <w:p w14:paraId="7AF411AB" w14:textId="464ACF03"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6F2B7D78" w14:textId="77777777" w:rsidTr="00326706">
        <w:tc>
          <w:tcPr>
            <w:tcW w:w="2836" w:type="dxa"/>
            <w:shd w:val="clear" w:color="auto" w:fill="auto"/>
          </w:tcPr>
          <w:p w14:paraId="7CC9F229" w14:textId="2405C1B0" w:rsidR="00CF4DF0" w:rsidRPr="007419BB" w:rsidRDefault="00CF4DF0" w:rsidP="00616392">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t>Pretplūdu pasākumu organizēšanu esošo hidrotehnisko būvju, tehnoloģisko iekārtu un pārgāžņu pārbūve un atjaunošana</w:t>
            </w:r>
          </w:p>
        </w:tc>
        <w:tc>
          <w:tcPr>
            <w:tcW w:w="2551" w:type="dxa"/>
          </w:tcPr>
          <w:p w14:paraId="1CF96A8C" w14:textId="77777777" w:rsidR="00CF4DF0" w:rsidRDefault="00CF4DF0" w:rsidP="006B7A7E">
            <w:pPr>
              <w:spacing w:after="0" w:line="240" w:lineRule="auto"/>
              <w:rPr>
                <w:rFonts w:ascii="Times New Roman" w:hAnsi="Times New Roman" w:cs="Times New Roman"/>
                <w:sz w:val="20"/>
                <w:szCs w:val="20"/>
              </w:rPr>
            </w:pPr>
            <w:r>
              <w:rPr>
                <w:rFonts w:ascii="Times New Roman" w:hAnsi="Times New Roman" w:cs="Times New Roman"/>
                <w:sz w:val="20"/>
                <w:szCs w:val="20"/>
              </w:rPr>
              <w:t>P</w:t>
            </w:r>
            <w:r w:rsidRPr="006B7A7E">
              <w:rPr>
                <w:rFonts w:ascii="Times New Roman" w:hAnsi="Times New Roman" w:cs="Times New Roman"/>
                <w:sz w:val="20"/>
                <w:szCs w:val="20"/>
              </w:rPr>
              <w:t xml:space="preserve">ali, plūdi un </w:t>
            </w:r>
            <w:proofErr w:type="spellStart"/>
            <w:r w:rsidRPr="006B7A7E">
              <w:rPr>
                <w:rFonts w:ascii="Times New Roman" w:hAnsi="Times New Roman" w:cs="Times New Roman"/>
                <w:sz w:val="20"/>
                <w:szCs w:val="20"/>
              </w:rPr>
              <w:t>vējuzplūdi</w:t>
            </w:r>
            <w:proofErr w:type="spellEnd"/>
          </w:p>
          <w:p w14:paraId="6A5C026F" w14:textId="79DAEE49" w:rsidR="00CF4DF0" w:rsidRPr="00C85731" w:rsidRDefault="00CF4DF0" w:rsidP="006B7A7E">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7588AE1A" w14:textId="77B85124" w:rsidR="00CF4DF0" w:rsidRPr="006B7A7E"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7F0186A1" w14:textId="2B3D9BA4" w:rsidR="00CF4DF0" w:rsidRPr="00C85731" w:rsidRDefault="00CF4DF0" w:rsidP="00045549">
            <w:pPr>
              <w:spacing w:after="0" w:line="240" w:lineRule="auto"/>
              <w:jc w:val="center"/>
              <w:rPr>
                <w:rFonts w:ascii="Times New Roman" w:hAnsi="Times New Roman" w:cs="Times New Roman"/>
                <w:sz w:val="20"/>
                <w:szCs w:val="20"/>
              </w:rPr>
            </w:pPr>
            <w:r w:rsidRPr="006B7A7E">
              <w:rPr>
                <w:rFonts w:ascii="Times New Roman" w:hAnsi="Times New Roman" w:cs="Times New Roman"/>
                <w:sz w:val="20"/>
                <w:szCs w:val="20"/>
              </w:rPr>
              <w:t>2020.-2027.gads</w:t>
            </w:r>
          </w:p>
        </w:tc>
        <w:tc>
          <w:tcPr>
            <w:tcW w:w="1418" w:type="dxa"/>
            <w:shd w:val="clear" w:color="auto" w:fill="auto"/>
            <w:vAlign w:val="center"/>
          </w:tcPr>
          <w:p w14:paraId="66D639C2" w14:textId="6C0E1A50"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559" w:type="dxa"/>
            <w:shd w:val="clear" w:color="auto" w:fill="auto"/>
            <w:vAlign w:val="center"/>
          </w:tcPr>
          <w:p w14:paraId="4372B4B9" w14:textId="74146C31"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auto"/>
            <w:vAlign w:val="center"/>
          </w:tcPr>
          <w:p w14:paraId="228BF09B" w14:textId="4E877AD4"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shd w:val="clear" w:color="auto" w:fill="auto"/>
            <w:vAlign w:val="center"/>
          </w:tcPr>
          <w:p w14:paraId="6D9A2427" w14:textId="3E7FE790"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vAlign w:val="center"/>
          </w:tcPr>
          <w:p w14:paraId="4D69CEB3" w14:textId="3EF487F2"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192623CE" w14:textId="77777777" w:rsidTr="00326706">
        <w:tc>
          <w:tcPr>
            <w:tcW w:w="2836" w:type="dxa"/>
            <w:shd w:val="clear" w:color="auto" w:fill="auto"/>
          </w:tcPr>
          <w:p w14:paraId="51EFC8DB" w14:textId="085BDCF0" w:rsidR="00CF4DF0" w:rsidRPr="007419BB" w:rsidRDefault="00CF4DF0" w:rsidP="00616392">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lastRenderedPageBreak/>
              <w:t>Meliorācijas sistēmu uzturēšana un būvniecība</w:t>
            </w:r>
          </w:p>
        </w:tc>
        <w:tc>
          <w:tcPr>
            <w:tcW w:w="2551" w:type="dxa"/>
          </w:tcPr>
          <w:p w14:paraId="22A647E4" w14:textId="77777777" w:rsidR="00CF4DF0" w:rsidRDefault="00CF4DF0" w:rsidP="006B7A7E">
            <w:pPr>
              <w:spacing w:after="0" w:line="240" w:lineRule="auto"/>
              <w:rPr>
                <w:rFonts w:ascii="Times New Roman" w:hAnsi="Times New Roman" w:cs="Times New Roman"/>
                <w:sz w:val="20"/>
                <w:szCs w:val="20"/>
              </w:rPr>
            </w:pPr>
            <w:r w:rsidRPr="006B7A7E">
              <w:rPr>
                <w:rFonts w:ascii="Times New Roman" w:hAnsi="Times New Roman" w:cs="Times New Roman"/>
                <w:sz w:val="20"/>
                <w:szCs w:val="20"/>
              </w:rPr>
              <w:t xml:space="preserve">Pali, plūdi un </w:t>
            </w:r>
            <w:proofErr w:type="spellStart"/>
            <w:r w:rsidRPr="006B7A7E">
              <w:rPr>
                <w:rFonts w:ascii="Times New Roman" w:hAnsi="Times New Roman" w:cs="Times New Roman"/>
                <w:sz w:val="20"/>
                <w:szCs w:val="20"/>
              </w:rPr>
              <w:t>vējuzplūdi</w:t>
            </w:r>
            <w:proofErr w:type="spellEnd"/>
          </w:p>
          <w:p w14:paraId="76F95305" w14:textId="14C62CE7" w:rsidR="00CF4DF0" w:rsidRPr="00C85731" w:rsidRDefault="00CF4DF0" w:rsidP="006B7A7E">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75977AD7" w14:textId="750DBB20" w:rsidR="00CF4DF0" w:rsidRPr="006B7A7E"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4BD4D603" w14:textId="178C1F3F" w:rsidR="00CF4DF0" w:rsidRPr="00C85731" w:rsidRDefault="00CF4DF0" w:rsidP="00045549">
            <w:pPr>
              <w:spacing w:after="0" w:line="240" w:lineRule="auto"/>
              <w:jc w:val="center"/>
              <w:rPr>
                <w:rFonts w:ascii="Times New Roman" w:hAnsi="Times New Roman" w:cs="Times New Roman"/>
                <w:sz w:val="20"/>
                <w:szCs w:val="20"/>
              </w:rPr>
            </w:pPr>
            <w:r w:rsidRPr="006B7A7E">
              <w:rPr>
                <w:rFonts w:ascii="Times New Roman" w:hAnsi="Times New Roman" w:cs="Times New Roman"/>
                <w:sz w:val="20"/>
                <w:szCs w:val="20"/>
              </w:rPr>
              <w:t>2020.-2027.gads</w:t>
            </w:r>
          </w:p>
        </w:tc>
        <w:tc>
          <w:tcPr>
            <w:tcW w:w="1418" w:type="dxa"/>
            <w:shd w:val="clear" w:color="auto" w:fill="auto"/>
            <w:vAlign w:val="center"/>
          </w:tcPr>
          <w:p w14:paraId="55F2E25F" w14:textId="4BE36344"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559" w:type="dxa"/>
            <w:shd w:val="clear" w:color="auto" w:fill="auto"/>
            <w:vAlign w:val="center"/>
          </w:tcPr>
          <w:p w14:paraId="61E34494" w14:textId="6D640D61"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auto"/>
            <w:vAlign w:val="center"/>
          </w:tcPr>
          <w:p w14:paraId="66CADB72" w14:textId="32622EBC"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shd w:val="clear" w:color="auto" w:fill="auto"/>
            <w:vAlign w:val="center"/>
          </w:tcPr>
          <w:p w14:paraId="0F51A405" w14:textId="7BA7BCBB"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vAlign w:val="center"/>
          </w:tcPr>
          <w:p w14:paraId="4A0E141B" w14:textId="4610314B"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135A5924" w14:textId="77777777" w:rsidTr="00326706">
        <w:tc>
          <w:tcPr>
            <w:tcW w:w="2836" w:type="dxa"/>
            <w:shd w:val="clear" w:color="auto" w:fill="auto"/>
          </w:tcPr>
          <w:p w14:paraId="17640DB3" w14:textId="09431654" w:rsidR="00CF4DF0" w:rsidRPr="007419BB" w:rsidRDefault="00CF4DF0" w:rsidP="00616392">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t>Jaunu pretplūdu aizsargbūvju būvniecība un ierīkošana, pamatojot ar hidroloģiskiem un hidrauliskiem aprēķiniem</w:t>
            </w:r>
          </w:p>
        </w:tc>
        <w:tc>
          <w:tcPr>
            <w:tcW w:w="2551" w:type="dxa"/>
          </w:tcPr>
          <w:p w14:paraId="046004DE" w14:textId="77777777" w:rsidR="00CF4DF0"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2756D081" w14:textId="77777777" w:rsidR="00CF4DF0" w:rsidRDefault="00CF4DF0" w:rsidP="00FF058F">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746E3C5A" w14:textId="19867B01" w:rsidR="00CF4DF0" w:rsidRPr="00C85731"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5FEAE99D" w14:textId="2AD0ADF1" w:rsidR="00CF4DF0" w:rsidRPr="00FF058F"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3DDD2457" w14:textId="4F508AD5" w:rsidR="00CF4DF0" w:rsidRPr="00C85731" w:rsidRDefault="00CF4DF0" w:rsidP="00045549">
            <w:pPr>
              <w:spacing w:after="0" w:line="240" w:lineRule="auto"/>
              <w:jc w:val="center"/>
              <w:rPr>
                <w:rFonts w:ascii="Times New Roman" w:hAnsi="Times New Roman" w:cs="Times New Roman"/>
                <w:sz w:val="20"/>
                <w:szCs w:val="20"/>
              </w:rPr>
            </w:pPr>
            <w:r w:rsidRPr="00FF058F">
              <w:rPr>
                <w:rFonts w:ascii="Times New Roman" w:hAnsi="Times New Roman" w:cs="Times New Roman"/>
                <w:sz w:val="20"/>
                <w:szCs w:val="20"/>
              </w:rPr>
              <w:t>2020.-2027.gads</w:t>
            </w:r>
          </w:p>
        </w:tc>
        <w:tc>
          <w:tcPr>
            <w:tcW w:w="1418" w:type="dxa"/>
            <w:shd w:val="clear" w:color="auto" w:fill="auto"/>
            <w:vAlign w:val="center"/>
          </w:tcPr>
          <w:p w14:paraId="440E4EF8" w14:textId="6D005B5A"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559" w:type="dxa"/>
            <w:shd w:val="clear" w:color="auto" w:fill="auto"/>
            <w:vAlign w:val="center"/>
          </w:tcPr>
          <w:p w14:paraId="73F846C0" w14:textId="41BD6AA1"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auto"/>
            <w:vAlign w:val="center"/>
          </w:tcPr>
          <w:p w14:paraId="16BF189B" w14:textId="1AB081BA"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shd w:val="clear" w:color="auto" w:fill="auto"/>
            <w:vAlign w:val="center"/>
          </w:tcPr>
          <w:p w14:paraId="3C1FB8AB" w14:textId="006D6AE1" w:rsidR="00CF4DF0" w:rsidRPr="00C85731" w:rsidRDefault="00616392"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984" w:type="dxa"/>
            <w:vAlign w:val="center"/>
          </w:tcPr>
          <w:p w14:paraId="27FC411A" w14:textId="763FF70A"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5ECD3A97" w14:textId="77777777" w:rsidTr="00326706">
        <w:tc>
          <w:tcPr>
            <w:tcW w:w="2836" w:type="dxa"/>
            <w:shd w:val="clear" w:color="auto" w:fill="auto"/>
          </w:tcPr>
          <w:p w14:paraId="1BC77827" w14:textId="40014E23" w:rsidR="00CF4DF0" w:rsidRPr="007419BB" w:rsidRDefault="00CF4DF0" w:rsidP="00616392">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t>Virszemes noteces un lietus ūdeņu novadīšanas infrastruktūras būvju būvniecība un pārbūve</w:t>
            </w:r>
          </w:p>
        </w:tc>
        <w:tc>
          <w:tcPr>
            <w:tcW w:w="2551" w:type="dxa"/>
          </w:tcPr>
          <w:p w14:paraId="69F1A073" w14:textId="77777777" w:rsidR="00CF4DF0"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75236232" w14:textId="77777777" w:rsidR="00CF4DF0" w:rsidRDefault="00CF4DF0" w:rsidP="00FF058F">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Lietusgāzes, ilgstošas lietavas, pērkona negaiss un krusa, sniegs un putenis, apledojums ...</w:t>
            </w:r>
          </w:p>
          <w:p w14:paraId="1F34117B" w14:textId="77777777" w:rsidR="00CF4DF0" w:rsidRDefault="00CF4DF0" w:rsidP="00FF058F">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4E5936AD" w14:textId="69E08073" w:rsidR="00CF4DF0" w:rsidRPr="00C85731"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758DAC57" w14:textId="22ADBF02" w:rsidR="00CF4DF0" w:rsidRPr="00FF058F"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7E415883" w14:textId="52111CE0" w:rsidR="00CF4DF0" w:rsidRPr="00C85731" w:rsidRDefault="00CF4DF0" w:rsidP="00045549">
            <w:pPr>
              <w:spacing w:after="0" w:line="240" w:lineRule="auto"/>
              <w:jc w:val="center"/>
              <w:rPr>
                <w:rFonts w:ascii="Times New Roman" w:hAnsi="Times New Roman" w:cs="Times New Roman"/>
                <w:sz w:val="20"/>
                <w:szCs w:val="20"/>
              </w:rPr>
            </w:pPr>
            <w:r w:rsidRPr="00FF058F">
              <w:rPr>
                <w:rFonts w:ascii="Times New Roman" w:hAnsi="Times New Roman" w:cs="Times New Roman"/>
                <w:sz w:val="20"/>
                <w:szCs w:val="20"/>
              </w:rPr>
              <w:t>2020.-2027.gads</w:t>
            </w:r>
          </w:p>
        </w:tc>
        <w:tc>
          <w:tcPr>
            <w:tcW w:w="1418" w:type="dxa"/>
            <w:shd w:val="clear" w:color="auto" w:fill="auto"/>
            <w:vAlign w:val="center"/>
          </w:tcPr>
          <w:p w14:paraId="4F9361C4" w14:textId="26A2A525"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559" w:type="dxa"/>
            <w:shd w:val="clear" w:color="auto" w:fill="auto"/>
            <w:vAlign w:val="center"/>
          </w:tcPr>
          <w:p w14:paraId="641A6AA7" w14:textId="14383754" w:rsidR="00CF4DF0" w:rsidRPr="00C85731" w:rsidRDefault="006A5601"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auto"/>
            <w:vAlign w:val="center"/>
          </w:tcPr>
          <w:p w14:paraId="647A6953" w14:textId="3FC85BEF" w:rsidR="00CF4DF0" w:rsidRPr="00C85731" w:rsidRDefault="00B25593"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shd w:val="clear" w:color="auto" w:fill="auto"/>
            <w:vAlign w:val="center"/>
          </w:tcPr>
          <w:p w14:paraId="47277B21" w14:textId="047BB8B1" w:rsidR="00CF4DF0" w:rsidRPr="00C85731" w:rsidRDefault="00B25593"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50AB82FE" w14:textId="0EF530F3"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32ECE66D" w14:textId="77777777" w:rsidTr="00326706">
        <w:tc>
          <w:tcPr>
            <w:tcW w:w="2836" w:type="dxa"/>
            <w:shd w:val="clear" w:color="auto" w:fill="auto"/>
          </w:tcPr>
          <w:p w14:paraId="569BEF31" w14:textId="0B1115A8" w:rsidR="00CF4DF0" w:rsidRPr="007419BB" w:rsidRDefault="00CF4DF0" w:rsidP="006163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Dabisko</w:t>
            </w:r>
            <w:r w:rsidRPr="00E0236E">
              <w:rPr>
                <w:rFonts w:ascii="Times New Roman" w:hAnsi="Times New Roman" w:cs="Times New Roman"/>
                <w:sz w:val="20"/>
                <w:szCs w:val="20"/>
              </w:rPr>
              <w:t xml:space="preserve"> teritoriju (zaļās infrastruktūras) pilnīga vai daļēja atjaunošana un "zaļo" risinājumu izmantošana plūdu risku novēršanai</w:t>
            </w:r>
          </w:p>
        </w:tc>
        <w:tc>
          <w:tcPr>
            <w:tcW w:w="2551" w:type="dxa"/>
          </w:tcPr>
          <w:p w14:paraId="59F91205" w14:textId="77777777" w:rsidR="00CF4DF0"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37341905" w14:textId="6BA48F01" w:rsidR="00CF4DF0" w:rsidRPr="00C85731"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093D873A" w14:textId="7E857C00" w:rsidR="00CF4DF0" w:rsidRPr="00FF058F"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556B4FE8" w14:textId="5719862E" w:rsidR="00CF4DF0" w:rsidRPr="00C85731" w:rsidRDefault="00CF4DF0" w:rsidP="00045549">
            <w:pPr>
              <w:spacing w:after="0" w:line="240" w:lineRule="auto"/>
              <w:jc w:val="center"/>
              <w:rPr>
                <w:rFonts w:ascii="Times New Roman" w:hAnsi="Times New Roman" w:cs="Times New Roman"/>
                <w:sz w:val="20"/>
                <w:szCs w:val="20"/>
              </w:rPr>
            </w:pPr>
            <w:r w:rsidRPr="00FF058F">
              <w:rPr>
                <w:rFonts w:ascii="Times New Roman" w:hAnsi="Times New Roman" w:cs="Times New Roman"/>
                <w:sz w:val="20"/>
                <w:szCs w:val="20"/>
              </w:rPr>
              <w:t>2020.-2027.gads</w:t>
            </w:r>
          </w:p>
        </w:tc>
        <w:tc>
          <w:tcPr>
            <w:tcW w:w="1418" w:type="dxa"/>
            <w:shd w:val="clear" w:color="auto" w:fill="auto"/>
            <w:vAlign w:val="center"/>
          </w:tcPr>
          <w:p w14:paraId="64B0B612" w14:textId="1530CF6D"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559" w:type="dxa"/>
            <w:shd w:val="clear" w:color="auto" w:fill="auto"/>
            <w:vAlign w:val="center"/>
          </w:tcPr>
          <w:p w14:paraId="6A45C7E6" w14:textId="4BAF5D7E" w:rsidR="00CF4DF0" w:rsidRPr="00C85731" w:rsidRDefault="006A5601"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auto"/>
            <w:vAlign w:val="center"/>
          </w:tcPr>
          <w:p w14:paraId="1212A9F5" w14:textId="1969221D" w:rsidR="00CF4DF0" w:rsidRPr="00C85731" w:rsidRDefault="00B25593"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shd w:val="clear" w:color="auto" w:fill="auto"/>
            <w:vAlign w:val="center"/>
          </w:tcPr>
          <w:p w14:paraId="710EE8F4" w14:textId="714E74C5" w:rsidR="00CF4DF0" w:rsidRPr="00C85731" w:rsidRDefault="00B25593"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vAlign w:val="center"/>
          </w:tcPr>
          <w:p w14:paraId="640BC762" w14:textId="6F63868F"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4A25ADBE" w14:textId="77777777" w:rsidTr="00326706">
        <w:tc>
          <w:tcPr>
            <w:tcW w:w="2836" w:type="dxa"/>
            <w:shd w:val="clear" w:color="auto" w:fill="auto"/>
          </w:tcPr>
          <w:p w14:paraId="0CC16675" w14:textId="4252E3A4" w:rsidR="00CF4DF0" w:rsidRPr="00E0236E" w:rsidRDefault="00CF4DF0" w:rsidP="00616392">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t>ANO Vispārējās konvencijas par klimata pārmaiņām un Konvencijas Parīzes nolīgumam mērķu un pasākumu īstenošana</w:t>
            </w:r>
          </w:p>
        </w:tc>
        <w:tc>
          <w:tcPr>
            <w:tcW w:w="2551" w:type="dxa"/>
          </w:tcPr>
          <w:p w14:paraId="17D9532B" w14:textId="77777777" w:rsidR="00CF4DF0"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7BA541BA" w14:textId="77777777" w:rsidR="00CF4DF0" w:rsidRDefault="00CF4DF0" w:rsidP="00FF058F">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Vētras, viesuļi</w:t>
            </w:r>
          </w:p>
          <w:p w14:paraId="47244EF4" w14:textId="77777777" w:rsidR="00CF4DF0" w:rsidRDefault="00CF4DF0" w:rsidP="00FF058F">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p w14:paraId="72844807" w14:textId="3991FC16" w:rsidR="00CF4DF0" w:rsidRPr="00C85731"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085121A9" w14:textId="61F308C1" w:rsidR="00CF4DF0" w:rsidRPr="00FF058F"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48858283" w14:textId="187980DB" w:rsidR="00CF4DF0" w:rsidRPr="00C85731" w:rsidRDefault="00CF4DF0" w:rsidP="00045549">
            <w:pPr>
              <w:spacing w:after="0" w:line="240" w:lineRule="auto"/>
              <w:jc w:val="center"/>
              <w:rPr>
                <w:rFonts w:ascii="Times New Roman" w:hAnsi="Times New Roman" w:cs="Times New Roman"/>
                <w:sz w:val="20"/>
                <w:szCs w:val="20"/>
              </w:rPr>
            </w:pPr>
            <w:r w:rsidRPr="00FF058F">
              <w:rPr>
                <w:rFonts w:ascii="Times New Roman" w:hAnsi="Times New Roman" w:cs="Times New Roman"/>
                <w:sz w:val="20"/>
                <w:szCs w:val="20"/>
              </w:rPr>
              <w:t>2020.-2030.gads</w:t>
            </w:r>
          </w:p>
        </w:tc>
        <w:tc>
          <w:tcPr>
            <w:tcW w:w="1418" w:type="dxa"/>
            <w:shd w:val="clear" w:color="auto" w:fill="auto"/>
            <w:vAlign w:val="center"/>
          </w:tcPr>
          <w:p w14:paraId="57CC3737" w14:textId="713FCB99" w:rsidR="00CF4DF0" w:rsidRPr="00C85731" w:rsidRDefault="00C73F46" w:rsidP="00C73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559" w:type="dxa"/>
            <w:shd w:val="clear" w:color="auto" w:fill="auto"/>
            <w:vAlign w:val="center"/>
          </w:tcPr>
          <w:p w14:paraId="506F30CA" w14:textId="21A28BA8" w:rsidR="00CF4DF0" w:rsidRPr="00C85731" w:rsidRDefault="006A5601"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auto"/>
            <w:vAlign w:val="center"/>
          </w:tcPr>
          <w:p w14:paraId="54AFA03B" w14:textId="0E6AB965"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shd w:val="clear" w:color="auto" w:fill="auto"/>
            <w:vAlign w:val="center"/>
          </w:tcPr>
          <w:p w14:paraId="70A2D205" w14:textId="69E29948" w:rsidR="00CF4DF0" w:rsidRPr="00C85731" w:rsidRDefault="00B25593"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984" w:type="dxa"/>
            <w:vAlign w:val="center"/>
          </w:tcPr>
          <w:p w14:paraId="315FFACF" w14:textId="582E0333"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793A62D6" w14:textId="77777777" w:rsidTr="00326706">
        <w:tc>
          <w:tcPr>
            <w:tcW w:w="2836" w:type="dxa"/>
            <w:shd w:val="clear" w:color="auto" w:fill="auto"/>
          </w:tcPr>
          <w:p w14:paraId="0D49C7B6" w14:textId="68EAAC1D" w:rsidR="00CF4DF0" w:rsidRPr="00E0236E" w:rsidRDefault="00CF4DF0" w:rsidP="00616392">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lastRenderedPageBreak/>
              <w:t>ANO ilgtspējīgas attīstības programmas 2030.gadam mērķu un pasākumu īstenošana</w:t>
            </w:r>
          </w:p>
        </w:tc>
        <w:tc>
          <w:tcPr>
            <w:tcW w:w="2551" w:type="dxa"/>
          </w:tcPr>
          <w:p w14:paraId="6497F6C3" w14:textId="77777777" w:rsidR="00CF4DF0"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6F8783CB" w14:textId="77777777" w:rsidR="00CF4DF0" w:rsidRDefault="00CF4DF0" w:rsidP="00FF058F">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Vētras, viesuļi</w:t>
            </w:r>
          </w:p>
          <w:p w14:paraId="1E795E60" w14:textId="77777777" w:rsidR="00CF4DF0" w:rsidRDefault="00CF4DF0" w:rsidP="00FF058F">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p w14:paraId="627F38D4" w14:textId="5AF5D129" w:rsidR="00CF4DF0" w:rsidRPr="00C85731"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29F2282D" w14:textId="43A3BE96" w:rsidR="00CF4DF0" w:rsidRPr="00FF058F"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46DC7B70" w14:textId="2B850A8A" w:rsidR="00CF4DF0" w:rsidRPr="00C85731" w:rsidRDefault="00CF4DF0" w:rsidP="00045549">
            <w:pPr>
              <w:spacing w:after="0" w:line="240" w:lineRule="auto"/>
              <w:jc w:val="center"/>
              <w:rPr>
                <w:rFonts w:ascii="Times New Roman" w:hAnsi="Times New Roman" w:cs="Times New Roman"/>
                <w:sz w:val="20"/>
                <w:szCs w:val="20"/>
              </w:rPr>
            </w:pPr>
            <w:r w:rsidRPr="00FF058F">
              <w:rPr>
                <w:rFonts w:ascii="Times New Roman" w:hAnsi="Times New Roman" w:cs="Times New Roman"/>
                <w:sz w:val="20"/>
                <w:szCs w:val="20"/>
              </w:rPr>
              <w:t>2020.-2030.gads</w:t>
            </w:r>
          </w:p>
        </w:tc>
        <w:tc>
          <w:tcPr>
            <w:tcW w:w="1418" w:type="dxa"/>
            <w:shd w:val="clear" w:color="auto" w:fill="auto"/>
            <w:vAlign w:val="center"/>
          </w:tcPr>
          <w:p w14:paraId="45B40132" w14:textId="5927CE9C" w:rsidR="00CF4DF0" w:rsidRPr="00C85731" w:rsidRDefault="00C73F46" w:rsidP="00C73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559" w:type="dxa"/>
            <w:shd w:val="clear" w:color="auto" w:fill="auto"/>
            <w:vAlign w:val="center"/>
          </w:tcPr>
          <w:p w14:paraId="259EAF63" w14:textId="5560EDCD" w:rsidR="00CF4DF0" w:rsidRPr="00C85731" w:rsidRDefault="006A5601"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auto"/>
            <w:vAlign w:val="center"/>
          </w:tcPr>
          <w:p w14:paraId="53BB22BC" w14:textId="2F5721A6"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shd w:val="clear" w:color="auto" w:fill="auto"/>
            <w:vAlign w:val="center"/>
          </w:tcPr>
          <w:p w14:paraId="4D3061DC" w14:textId="6F18EEFB"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984" w:type="dxa"/>
            <w:vAlign w:val="center"/>
          </w:tcPr>
          <w:p w14:paraId="54270D69" w14:textId="783DA10D"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1C01F2BF" w14:textId="77777777" w:rsidTr="00326706">
        <w:tc>
          <w:tcPr>
            <w:tcW w:w="2836" w:type="dxa"/>
            <w:shd w:val="clear" w:color="auto" w:fill="auto"/>
          </w:tcPr>
          <w:p w14:paraId="7601E0BA" w14:textId="45980598" w:rsidR="00CF4DF0" w:rsidRPr="00E0236E" w:rsidRDefault="00CF4DF0" w:rsidP="00616392">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t>ANO Sendai ietvarprogrammas 2015.-2030.gadam par katastrofu risku mazināšanu mērķu un pasākumu īstenošana</w:t>
            </w:r>
          </w:p>
        </w:tc>
        <w:tc>
          <w:tcPr>
            <w:tcW w:w="2551" w:type="dxa"/>
          </w:tcPr>
          <w:p w14:paraId="184B250C" w14:textId="77777777" w:rsidR="00CF4DF0"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0262D96D" w14:textId="77777777" w:rsidR="00CF4DF0" w:rsidRDefault="00CF4DF0" w:rsidP="00FF058F">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Vētras, viesuļi</w:t>
            </w:r>
          </w:p>
          <w:p w14:paraId="571107FA" w14:textId="77777777" w:rsidR="00CF4DF0" w:rsidRDefault="00CF4DF0" w:rsidP="00FF058F">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p w14:paraId="411744CB" w14:textId="5AC9FB62" w:rsidR="00CF4DF0" w:rsidRPr="00C85731"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65216900" w14:textId="7BD35E99" w:rsidR="00CF4DF0" w:rsidRPr="00FF058F"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07B1B2AE" w14:textId="49FC0A3B" w:rsidR="00CF4DF0" w:rsidRPr="00C85731" w:rsidRDefault="00CF4DF0" w:rsidP="00045549">
            <w:pPr>
              <w:spacing w:after="0" w:line="240" w:lineRule="auto"/>
              <w:jc w:val="center"/>
              <w:rPr>
                <w:rFonts w:ascii="Times New Roman" w:hAnsi="Times New Roman" w:cs="Times New Roman"/>
                <w:sz w:val="20"/>
                <w:szCs w:val="20"/>
              </w:rPr>
            </w:pPr>
            <w:r w:rsidRPr="00FF058F">
              <w:rPr>
                <w:rFonts w:ascii="Times New Roman" w:hAnsi="Times New Roman" w:cs="Times New Roman"/>
                <w:sz w:val="20"/>
                <w:szCs w:val="20"/>
              </w:rPr>
              <w:t>2020.-2030.gads</w:t>
            </w:r>
          </w:p>
        </w:tc>
        <w:tc>
          <w:tcPr>
            <w:tcW w:w="1418" w:type="dxa"/>
            <w:shd w:val="clear" w:color="auto" w:fill="auto"/>
            <w:vAlign w:val="center"/>
          </w:tcPr>
          <w:p w14:paraId="34B6F816" w14:textId="6C32FCC6" w:rsidR="00CF4DF0" w:rsidRPr="00C85731" w:rsidRDefault="00C73F46" w:rsidP="00C73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559" w:type="dxa"/>
            <w:shd w:val="clear" w:color="auto" w:fill="auto"/>
            <w:vAlign w:val="center"/>
          </w:tcPr>
          <w:p w14:paraId="6A5843C0" w14:textId="028FB26F" w:rsidR="00CF4DF0" w:rsidRPr="00C85731" w:rsidRDefault="006A5601"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auto"/>
            <w:vAlign w:val="center"/>
          </w:tcPr>
          <w:p w14:paraId="572BFBD5" w14:textId="3CB29B7F"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shd w:val="clear" w:color="auto" w:fill="auto"/>
            <w:vAlign w:val="center"/>
          </w:tcPr>
          <w:p w14:paraId="4D690779" w14:textId="2A95114A"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984" w:type="dxa"/>
            <w:vAlign w:val="center"/>
          </w:tcPr>
          <w:p w14:paraId="515098C7" w14:textId="6F5874A5"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2438113B" w14:textId="77777777" w:rsidTr="00326706">
        <w:tc>
          <w:tcPr>
            <w:tcW w:w="2836" w:type="dxa"/>
            <w:shd w:val="clear" w:color="auto" w:fill="auto"/>
          </w:tcPr>
          <w:p w14:paraId="5F3D8C92" w14:textId="44536868" w:rsidR="00CF4DF0" w:rsidRPr="00E0236E" w:rsidRDefault="00CF4DF0" w:rsidP="00242207">
            <w:pPr>
              <w:spacing w:after="0" w:line="240" w:lineRule="auto"/>
              <w:jc w:val="both"/>
              <w:rPr>
                <w:rFonts w:ascii="Times New Roman" w:hAnsi="Times New Roman" w:cs="Times New Roman"/>
                <w:sz w:val="20"/>
                <w:szCs w:val="20"/>
              </w:rPr>
            </w:pPr>
            <w:r w:rsidRPr="00FF058F">
              <w:rPr>
                <w:rFonts w:ascii="Times New Roman" w:hAnsi="Times New Roman" w:cs="Times New Roman"/>
                <w:sz w:val="20"/>
                <w:szCs w:val="20"/>
              </w:rPr>
              <w:t>ES stratēģija pielāgošanās klimata pārmaiņām mērķu un pasākumu īstenošana</w:t>
            </w:r>
          </w:p>
        </w:tc>
        <w:tc>
          <w:tcPr>
            <w:tcW w:w="2551" w:type="dxa"/>
          </w:tcPr>
          <w:p w14:paraId="265E67B7" w14:textId="77777777" w:rsidR="00CF4DF0"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327F10F6" w14:textId="77777777" w:rsidR="00CF4DF0" w:rsidRDefault="00CF4DF0" w:rsidP="00FF058F">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Lietusgāzes, ilgstošas lietavas, pērkona negaiss un krusa, sniegs un putenis, apledojums ...</w:t>
            </w:r>
          </w:p>
          <w:p w14:paraId="5B4C1B1A" w14:textId="77777777" w:rsidR="00CF4DF0" w:rsidRDefault="00CF4DF0" w:rsidP="00FF058F">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3552FA93" w14:textId="77777777" w:rsidR="00CF4DF0" w:rsidRDefault="00CF4DF0" w:rsidP="00FF058F">
            <w:pPr>
              <w:spacing w:after="0" w:line="240" w:lineRule="auto"/>
              <w:rPr>
                <w:rFonts w:ascii="Times New Roman" w:hAnsi="Times New Roman" w:cs="Times New Roman"/>
                <w:sz w:val="20"/>
                <w:szCs w:val="20"/>
              </w:rPr>
            </w:pPr>
            <w:r>
              <w:rPr>
                <w:rFonts w:ascii="Times New Roman" w:hAnsi="Times New Roman" w:cs="Times New Roman"/>
                <w:sz w:val="20"/>
                <w:szCs w:val="20"/>
              </w:rPr>
              <w:t>M</w:t>
            </w:r>
            <w:r w:rsidRPr="00350D22">
              <w:rPr>
                <w:rFonts w:ascii="Times New Roman" w:hAnsi="Times New Roman" w:cs="Times New Roman"/>
                <w:sz w:val="20"/>
                <w:szCs w:val="20"/>
              </w:rPr>
              <w:t>eža un kūdras purvu ugunsgrēki</w:t>
            </w:r>
          </w:p>
          <w:p w14:paraId="5746B479" w14:textId="7411A2D7" w:rsidR="00CF4DF0" w:rsidRPr="00C85731"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42779121" w14:textId="76E1192D" w:rsidR="00CF4DF0" w:rsidRPr="00FF058F"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40F4D41A" w14:textId="4DC61099" w:rsidR="00CF4DF0" w:rsidRPr="00C85731" w:rsidRDefault="00CF4DF0" w:rsidP="00045549">
            <w:pPr>
              <w:spacing w:after="0" w:line="240" w:lineRule="auto"/>
              <w:jc w:val="center"/>
              <w:rPr>
                <w:rFonts w:ascii="Times New Roman" w:hAnsi="Times New Roman" w:cs="Times New Roman"/>
                <w:sz w:val="20"/>
                <w:szCs w:val="20"/>
              </w:rPr>
            </w:pPr>
            <w:r w:rsidRPr="00FF058F">
              <w:rPr>
                <w:rFonts w:ascii="Times New Roman" w:hAnsi="Times New Roman" w:cs="Times New Roman"/>
                <w:sz w:val="20"/>
                <w:szCs w:val="20"/>
              </w:rPr>
              <w:t>2020.-2030.gads</w:t>
            </w:r>
          </w:p>
        </w:tc>
        <w:tc>
          <w:tcPr>
            <w:tcW w:w="1418" w:type="dxa"/>
            <w:shd w:val="clear" w:color="auto" w:fill="auto"/>
            <w:vAlign w:val="center"/>
          </w:tcPr>
          <w:p w14:paraId="4E867453" w14:textId="4F49A96F" w:rsidR="00CF4DF0" w:rsidRPr="00C85731" w:rsidRDefault="00C73F46" w:rsidP="00C73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559" w:type="dxa"/>
            <w:shd w:val="clear" w:color="auto" w:fill="auto"/>
            <w:vAlign w:val="center"/>
          </w:tcPr>
          <w:p w14:paraId="17298359" w14:textId="5DBD0172" w:rsidR="00CF4DF0" w:rsidRPr="00C85731" w:rsidRDefault="006A5601"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vAlign w:val="center"/>
          </w:tcPr>
          <w:p w14:paraId="2EA0B617" w14:textId="2B0427D6"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shd w:val="clear" w:color="auto" w:fill="auto"/>
            <w:vAlign w:val="center"/>
          </w:tcPr>
          <w:p w14:paraId="66765224" w14:textId="33C51255"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984" w:type="dxa"/>
            <w:vAlign w:val="center"/>
          </w:tcPr>
          <w:p w14:paraId="643A1B59" w14:textId="2F7FC0C6"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1E382ECD" w14:textId="77777777" w:rsidTr="00326706">
        <w:tc>
          <w:tcPr>
            <w:tcW w:w="2836" w:type="dxa"/>
            <w:shd w:val="clear" w:color="auto" w:fill="auto"/>
          </w:tcPr>
          <w:p w14:paraId="7F11857A" w14:textId="22B0E435" w:rsidR="00CF4DF0" w:rsidRPr="00E0236E" w:rsidRDefault="00CF4DF0" w:rsidP="00242207">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t>Baltijas jūras reģiona pielāgošanās stratēģija un rīcības plāna mērķu un pasākumu īstenošana</w:t>
            </w:r>
          </w:p>
        </w:tc>
        <w:tc>
          <w:tcPr>
            <w:tcW w:w="2551" w:type="dxa"/>
          </w:tcPr>
          <w:p w14:paraId="6C0759C6" w14:textId="77777777" w:rsidR="00CF4DF0"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59AFDC8D" w14:textId="77777777" w:rsidR="00CF4DF0" w:rsidRDefault="00CF4DF0" w:rsidP="00FF058F">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Vētras, viesuļi</w:t>
            </w:r>
          </w:p>
          <w:p w14:paraId="2ACA1DCD" w14:textId="77777777" w:rsidR="00CF4DF0" w:rsidRDefault="00CF4DF0" w:rsidP="00FF058F">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p w14:paraId="5E3A9C38" w14:textId="27E5FF1A" w:rsidR="00CF4DF0" w:rsidRPr="00C85731"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36FE6DDB" w14:textId="348FCE75" w:rsidR="00CF4DF0" w:rsidRPr="00FF058F"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5B48220A" w14:textId="000766C6" w:rsidR="00CF4DF0" w:rsidRPr="00C85731" w:rsidRDefault="00CF4DF0" w:rsidP="00045549">
            <w:pPr>
              <w:spacing w:after="0" w:line="240" w:lineRule="auto"/>
              <w:jc w:val="center"/>
              <w:rPr>
                <w:rFonts w:ascii="Times New Roman" w:hAnsi="Times New Roman" w:cs="Times New Roman"/>
                <w:sz w:val="20"/>
                <w:szCs w:val="20"/>
              </w:rPr>
            </w:pPr>
            <w:r w:rsidRPr="00FF058F">
              <w:rPr>
                <w:rFonts w:ascii="Times New Roman" w:hAnsi="Times New Roman" w:cs="Times New Roman"/>
                <w:sz w:val="20"/>
                <w:szCs w:val="20"/>
              </w:rPr>
              <w:t>2020.-2027.gads</w:t>
            </w:r>
          </w:p>
        </w:tc>
        <w:tc>
          <w:tcPr>
            <w:tcW w:w="1418" w:type="dxa"/>
            <w:shd w:val="clear" w:color="auto" w:fill="auto"/>
            <w:vAlign w:val="center"/>
          </w:tcPr>
          <w:p w14:paraId="0987F6C6" w14:textId="3ACF8174"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559" w:type="dxa"/>
            <w:shd w:val="clear" w:color="auto" w:fill="auto"/>
            <w:vAlign w:val="center"/>
          </w:tcPr>
          <w:p w14:paraId="4012C905" w14:textId="36ED6A4D" w:rsidR="00CF4DF0" w:rsidRPr="00C85731" w:rsidRDefault="006A5601"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auto"/>
            <w:vAlign w:val="center"/>
          </w:tcPr>
          <w:p w14:paraId="2BB69C69" w14:textId="59790845"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shd w:val="clear" w:color="auto" w:fill="auto"/>
            <w:vAlign w:val="center"/>
          </w:tcPr>
          <w:p w14:paraId="179B2896" w14:textId="2A5D278A"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984" w:type="dxa"/>
            <w:vAlign w:val="center"/>
          </w:tcPr>
          <w:p w14:paraId="3670BE10" w14:textId="531335E2"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013167BF" w14:textId="77777777" w:rsidTr="00326706">
        <w:tc>
          <w:tcPr>
            <w:tcW w:w="2836" w:type="dxa"/>
            <w:shd w:val="clear" w:color="auto" w:fill="auto"/>
          </w:tcPr>
          <w:p w14:paraId="6BEBA175" w14:textId="2E111DC5" w:rsidR="00CF4DF0" w:rsidRPr="00E0236E" w:rsidRDefault="00CF4DF0" w:rsidP="00242207">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lastRenderedPageBreak/>
              <w:t xml:space="preserve">Kopīgas agrīnas (uz ietekmi vērstas) hidrometeoroloģisko brīdinājumu sagatavošanas un izplatīšanas sistēmas pilnveidošana, nodrošinot informāciju gan par gaidāmajām meteoroloģiskajām un hidroloģiskajām parādībām, gan to ietekmi un nepieciešamo rīcību </w:t>
            </w:r>
          </w:p>
        </w:tc>
        <w:tc>
          <w:tcPr>
            <w:tcW w:w="2551" w:type="dxa"/>
          </w:tcPr>
          <w:p w14:paraId="6D83A72A" w14:textId="77777777" w:rsidR="00CF4DF0"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3E30498A" w14:textId="77777777" w:rsidR="00CF4DF0" w:rsidRDefault="00CF4DF0" w:rsidP="00FF058F">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Lietusgāzes, ilgstošas lietavas, pērkona negaiss un krusa, sniegs un putenis, apledojums ...</w:t>
            </w:r>
          </w:p>
          <w:p w14:paraId="4585F6A8" w14:textId="77777777" w:rsidR="00CF4DF0" w:rsidRDefault="00CF4DF0" w:rsidP="00FF058F">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44A7266D" w14:textId="77777777" w:rsidR="00CF4DF0" w:rsidRDefault="00CF4DF0" w:rsidP="00FF058F">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p w14:paraId="6F24FE5D" w14:textId="77777777" w:rsidR="00CF4DF0"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Avārijas vai negadījumi ostu un jūras hidrotehniskajās inženierbūvēs</w:t>
            </w:r>
          </w:p>
          <w:p w14:paraId="499E04A8" w14:textId="21A87C12" w:rsidR="00CF4DF0" w:rsidRPr="00C85731"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189CC484" w14:textId="0BF022C4" w:rsidR="00CF4DF0" w:rsidRPr="00FF058F"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5FA62852" w14:textId="59C93FAD" w:rsidR="00CF4DF0" w:rsidRPr="00C85731" w:rsidRDefault="00CF4DF0" w:rsidP="00045549">
            <w:pPr>
              <w:spacing w:after="0" w:line="240" w:lineRule="auto"/>
              <w:jc w:val="center"/>
              <w:rPr>
                <w:rFonts w:ascii="Times New Roman" w:hAnsi="Times New Roman" w:cs="Times New Roman"/>
                <w:sz w:val="20"/>
                <w:szCs w:val="20"/>
              </w:rPr>
            </w:pPr>
            <w:r w:rsidRPr="00FF058F">
              <w:rPr>
                <w:rFonts w:ascii="Times New Roman" w:hAnsi="Times New Roman" w:cs="Times New Roman"/>
                <w:sz w:val="20"/>
                <w:szCs w:val="20"/>
              </w:rPr>
              <w:t>2020.-2022.gads</w:t>
            </w:r>
          </w:p>
        </w:tc>
        <w:tc>
          <w:tcPr>
            <w:tcW w:w="1418" w:type="dxa"/>
            <w:shd w:val="clear" w:color="auto" w:fill="auto"/>
            <w:vAlign w:val="center"/>
          </w:tcPr>
          <w:p w14:paraId="4E258450" w14:textId="2F878F8F"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559" w:type="dxa"/>
            <w:shd w:val="clear" w:color="auto" w:fill="auto"/>
            <w:vAlign w:val="center"/>
          </w:tcPr>
          <w:p w14:paraId="1051BE64" w14:textId="4D13EE6E" w:rsidR="00CF4DF0" w:rsidRPr="00C85731" w:rsidRDefault="006A5601"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auto"/>
            <w:vAlign w:val="center"/>
          </w:tcPr>
          <w:p w14:paraId="2B01C730" w14:textId="133F1C81"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shd w:val="clear" w:color="auto" w:fill="auto"/>
            <w:vAlign w:val="center"/>
          </w:tcPr>
          <w:p w14:paraId="7E435380" w14:textId="52C298BF" w:rsidR="00CF4DF0" w:rsidRPr="00C85731" w:rsidRDefault="00476F7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984" w:type="dxa"/>
            <w:vAlign w:val="center"/>
          </w:tcPr>
          <w:p w14:paraId="77E7583F" w14:textId="230703A8" w:rsidR="00CF4DF0" w:rsidRPr="00C85731" w:rsidRDefault="00F74234" w:rsidP="00045549">
            <w:pPr>
              <w:spacing w:after="0" w:line="240" w:lineRule="auto"/>
              <w:jc w:val="center"/>
              <w:rPr>
                <w:rFonts w:ascii="Times New Roman" w:hAnsi="Times New Roman" w:cs="Times New Roman"/>
                <w:sz w:val="20"/>
                <w:szCs w:val="20"/>
              </w:rPr>
            </w:pPr>
            <w:r w:rsidRPr="00BF4965">
              <w:rPr>
                <w:rFonts w:ascii="Times New Roman" w:hAnsi="Times New Roman" w:cs="Times New Roman"/>
                <w:sz w:val="20"/>
                <w:szCs w:val="20"/>
              </w:rPr>
              <w:t>Esošā budžeta ietvaros, ES fondi, piesaistot papildus finansējumu</w:t>
            </w:r>
          </w:p>
        </w:tc>
      </w:tr>
      <w:tr w:rsidR="00CF4DF0" w:rsidRPr="00045549" w14:paraId="2D3057B4" w14:textId="77777777" w:rsidTr="00326706">
        <w:tc>
          <w:tcPr>
            <w:tcW w:w="2836" w:type="dxa"/>
            <w:shd w:val="clear" w:color="auto" w:fill="auto"/>
          </w:tcPr>
          <w:p w14:paraId="1389ACC9" w14:textId="3457592D" w:rsidR="00CF4DF0" w:rsidRPr="00E0236E" w:rsidRDefault="00CF4DF0" w:rsidP="00242207">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t>Hidrometeoroloģiskā monitoringa tehnisko iekārtu un plūdu riska informācijas sistēmas (PRIS) uzturēšana</w:t>
            </w:r>
          </w:p>
        </w:tc>
        <w:tc>
          <w:tcPr>
            <w:tcW w:w="2551" w:type="dxa"/>
          </w:tcPr>
          <w:p w14:paraId="3DAB3794" w14:textId="77777777" w:rsidR="00CF4DF0"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p w14:paraId="15F24308" w14:textId="77777777" w:rsidR="00CF4DF0" w:rsidRDefault="00CF4DF0" w:rsidP="00FF058F">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Lietusgāzes, ilgstošas lietavas, pērkona negaiss un krusa, sniegs un putenis, apledojums ...</w:t>
            </w:r>
          </w:p>
          <w:p w14:paraId="6EEA7AAF" w14:textId="77777777" w:rsidR="00CF4DF0" w:rsidRDefault="00CF4DF0" w:rsidP="00FF058F">
            <w:pPr>
              <w:spacing w:after="0" w:line="240" w:lineRule="auto"/>
              <w:rPr>
                <w:rFonts w:ascii="Times New Roman" w:hAnsi="Times New Roman" w:cs="Times New Roman"/>
                <w:sz w:val="20"/>
                <w:szCs w:val="20"/>
              </w:rPr>
            </w:pPr>
            <w:r w:rsidRPr="009350F7">
              <w:rPr>
                <w:rFonts w:ascii="Times New Roman" w:hAnsi="Times New Roman" w:cs="Times New Roman"/>
                <w:sz w:val="20"/>
                <w:szCs w:val="20"/>
              </w:rPr>
              <w:t>Vētras, viesuļi</w:t>
            </w:r>
          </w:p>
          <w:p w14:paraId="23B66833" w14:textId="7946FB82" w:rsidR="00CF4DF0" w:rsidRPr="00C85731" w:rsidRDefault="00CF4DF0" w:rsidP="00FF058F">
            <w:pPr>
              <w:spacing w:after="0" w:line="240" w:lineRule="auto"/>
              <w:rPr>
                <w:rFonts w:ascii="Times New Roman" w:hAnsi="Times New Roman" w:cs="Times New Roman"/>
                <w:sz w:val="20"/>
                <w:szCs w:val="20"/>
              </w:rPr>
            </w:pPr>
            <w:r w:rsidRPr="003619E8">
              <w:rPr>
                <w:rFonts w:ascii="Times New Roman" w:hAnsi="Times New Roman" w:cs="Times New Roman"/>
                <w:sz w:val="20"/>
                <w:szCs w:val="20"/>
              </w:rPr>
              <w:t>Dambju un citu hidrotehnisko būvju pārrāvumi – Daugavas hidroelektrostaciju kaskādes hidrobūve</w:t>
            </w:r>
          </w:p>
        </w:tc>
        <w:tc>
          <w:tcPr>
            <w:tcW w:w="1587" w:type="dxa"/>
          </w:tcPr>
          <w:p w14:paraId="12E4CCEC" w14:textId="16727EE4" w:rsidR="00CF4DF0"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4CA103B6" w14:textId="512BA84F" w:rsidR="00CF4DF0" w:rsidRPr="00C85731" w:rsidRDefault="00CF4DF0"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Katru gadu</w:t>
            </w:r>
          </w:p>
        </w:tc>
        <w:tc>
          <w:tcPr>
            <w:tcW w:w="1418" w:type="dxa"/>
            <w:shd w:val="clear" w:color="auto" w:fill="auto"/>
            <w:vAlign w:val="center"/>
          </w:tcPr>
          <w:p w14:paraId="27C82374" w14:textId="27A4B57A"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559" w:type="dxa"/>
            <w:shd w:val="clear" w:color="auto" w:fill="auto"/>
            <w:vAlign w:val="center"/>
          </w:tcPr>
          <w:p w14:paraId="4404D216" w14:textId="27C2764F"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auto"/>
            <w:vAlign w:val="center"/>
          </w:tcPr>
          <w:p w14:paraId="07FC71A2" w14:textId="6A416CBE"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7AA00CF2" w14:textId="6AF5B021"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91D897C" w14:textId="1BEB37AE"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Esošā budžeta ietvaros</w:t>
            </w:r>
          </w:p>
        </w:tc>
      </w:tr>
      <w:tr w:rsidR="00CF4DF0" w:rsidRPr="00045549" w14:paraId="75A3DDF0" w14:textId="77777777" w:rsidTr="00326706">
        <w:tc>
          <w:tcPr>
            <w:tcW w:w="2836" w:type="dxa"/>
            <w:shd w:val="clear" w:color="auto" w:fill="auto"/>
            <w:vAlign w:val="center"/>
          </w:tcPr>
          <w:p w14:paraId="178EA084" w14:textId="7149582D" w:rsidR="00CF4DF0" w:rsidRPr="00E0236E" w:rsidRDefault="00CF4DF0" w:rsidP="00242207">
            <w:pPr>
              <w:spacing w:after="0" w:line="240" w:lineRule="auto"/>
              <w:jc w:val="both"/>
              <w:rPr>
                <w:rFonts w:ascii="Times New Roman" w:hAnsi="Times New Roman" w:cs="Times New Roman"/>
                <w:sz w:val="20"/>
                <w:szCs w:val="20"/>
              </w:rPr>
            </w:pPr>
            <w:r w:rsidRPr="00E0236E">
              <w:rPr>
                <w:rFonts w:ascii="Times New Roman" w:hAnsi="Times New Roman" w:cs="Times New Roman"/>
                <w:sz w:val="20"/>
                <w:szCs w:val="20"/>
              </w:rPr>
              <w:t>Vadlīnijas jūras krasta erozijas seku mazināšanai ieviešana, balstoties uz erozijas klasēm, un dažāda veida krasta preterozijas risinājumu īstenošana</w:t>
            </w:r>
          </w:p>
        </w:tc>
        <w:tc>
          <w:tcPr>
            <w:tcW w:w="2551" w:type="dxa"/>
          </w:tcPr>
          <w:p w14:paraId="55B09F40" w14:textId="65058171" w:rsidR="00CF4DF0" w:rsidRPr="00C85731" w:rsidRDefault="00CF4DF0" w:rsidP="00FF058F">
            <w:pPr>
              <w:spacing w:after="0" w:line="240" w:lineRule="auto"/>
              <w:rPr>
                <w:rFonts w:ascii="Times New Roman" w:hAnsi="Times New Roman" w:cs="Times New Roman"/>
                <w:sz w:val="20"/>
                <w:szCs w:val="20"/>
              </w:rPr>
            </w:pPr>
            <w:r w:rsidRPr="00FF058F">
              <w:rPr>
                <w:rFonts w:ascii="Times New Roman" w:hAnsi="Times New Roman" w:cs="Times New Roman"/>
                <w:sz w:val="20"/>
                <w:szCs w:val="20"/>
              </w:rPr>
              <w:t xml:space="preserve">Pali, plūdi un </w:t>
            </w:r>
            <w:proofErr w:type="spellStart"/>
            <w:r w:rsidRPr="00FF058F">
              <w:rPr>
                <w:rFonts w:ascii="Times New Roman" w:hAnsi="Times New Roman" w:cs="Times New Roman"/>
                <w:sz w:val="20"/>
                <w:szCs w:val="20"/>
              </w:rPr>
              <w:t>vējuzplūdi</w:t>
            </w:r>
            <w:proofErr w:type="spellEnd"/>
          </w:p>
        </w:tc>
        <w:tc>
          <w:tcPr>
            <w:tcW w:w="1587" w:type="dxa"/>
          </w:tcPr>
          <w:p w14:paraId="136DD57D" w14:textId="417AA175" w:rsidR="00CF4DF0" w:rsidRPr="00613B14"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32F2F2D5" w14:textId="6E9634A0" w:rsidR="00CF4DF0" w:rsidRPr="00C85731" w:rsidRDefault="00CF4DF0" w:rsidP="00045549">
            <w:pPr>
              <w:spacing w:after="0" w:line="240" w:lineRule="auto"/>
              <w:jc w:val="center"/>
              <w:rPr>
                <w:rFonts w:ascii="Times New Roman" w:hAnsi="Times New Roman" w:cs="Times New Roman"/>
                <w:sz w:val="20"/>
                <w:szCs w:val="20"/>
              </w:rPr>
            </w:pPr>
            <w:r w:rsidRPr="00613B14">
              <w:rPr>
                <w:rFonts w:ascii="Times New Roman" w:hAnsi="Times New Roman" w:cs="Times New Roman"/>
                <w:sz w:val="20"/>
                <w:szCs w:val="20"/>
              </w:rPr>
              <w:t>2020.-2027.gads</w:t>
            </w:r>
          </w:p>
        </w:tc>
        <w:tc>
          <w:tcPr>
            <w:tcW w:w="1418" w:type="dxa"/>
            <w:shd w:val="clear" w:color="auto" w:fill="auto"/>
            <w:vAlign w:val="center"/>
          </w:tcPr>
          <w:p w14:paraId="73DA3609" w14:textId="33B3A3EB"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shd w:val="clear" w:color="auto" w:fill="auto"/>
            <w:vAlign w:val="center"/>
          </w:tcPr>
          <w:p w14:paraId="1557E4AB" w14:textId="0DA43EEC"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auto"/>
            <w:vAlign w:val="center"/>
          </w:tcPr>
          <w:p w14:paraId="67EC2F16" w14:textId="585B8AE6"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6AD75D52" w14:textId="4AEC787D"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6323F611" w14:textId="6657FB96" w:rsidR="00CF4DF0" w:rsidRPr="00C85731" w:rsidRDefault="00C73F46" w:rsidP="00C73F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Esošā budžeta ietvaros</w:t>
            </w:r>
          </w:p>
        </w:tc>
      </w:tr>
      <w:tr w:rsidR="00CF4DF0" w:rsidRPr="00045549" w14:paraId="56CEDF73" w14:textId="77777777" w:rsidTr="00326706">
        <w:tc>
          <w:tcPr>
            <w:tcW w:w="2836" w:type="dxa"/>
            <w:shd w:val="clear" w:color="auto" w:fill="auto"/>
            <w:vAlign w:val="center"/>
          </w:tcPr>
          <w:p w14:paraId="4D278123" w14:textId="3A8C0C5B" w:rsidR="00CF4DF0" w:rsidRPr="00E0236E" w:rsidRDefault="00CF4DF0" w:rsidP="00242207">
            <w:pPr>
              <w:spacing w:after="0" w:line="240" w:lineRule="auto"/>
              <w:jc w:val="both"/>
              <w:rPr>
                <w:rFonts w:ascii="Times New Roman" w:hAnsi="Times New Roman" w:cs="Times New Roman"/>
                <w:sz w:val="20"/>
                <w:szCs w:val="20"/>
              </w:rPr>
            </w:pPr>
            <w:proofErr w:type="spellStart"/>
            <w:r w:rsidRPr="00E12147">
              <w:rPr>
                <w:rFonts w:ascii="Times New Roman" w:hAnsi="Times New Roman" w:cs="Times New Roman"/>
                <w:sz w:val="20"/>
                <w:szCs w:val="20"/>
              </w:rPr>
              <w:t>Mazproduktīvo</w:t>
            </w:r>
            <w:proofErr w:type="spellEnd"/>
            <w:r w:rsidRPr="00E12147">
              <w:rPr>
                <w:rFonts w:ascii="Times New Roman" w:hAnsi="Times New Roman" w:cs="Times New Roman"/>
                <w:sz w:val="20"/>
                <w:szCs w:val="20"/>
              </w:rPr>
              <w:t xml:space="preserve"> l</w:t>
            </w:r>
            <w:r>
              <w:rPr>
                <w:rFonts w:ascii="Times New Roman" w:hAnsi="Times New Roman" w:cs="Times New Roman"/>
                <w:sz w:val="20"/>
                <w:szCs w:val="20"/>
              </w:rPr>
              <w:t>auksaimniecības zemju apmežošana</w:t>
            </w:r>
            <w:r w:rsidRPr="00E12147">
              <w:rPr>
                <w:rFonts w:ascii="Times New Roman" w:hAnsi="Times New Roman" w:cs="Times New Roman"/>
                <w:sz w:val="20"/>
                <w:szCs w:val="20"/>
              </w:rPr>
              <w:t xml:space="preserve"> ar augsnes un augšanas tipam atbilstošām sugām, veidojot </w:t>
            </w:r>
            <w:proofErr w:type="spellStart"/>
            <w:r w:rsidRPr="00E12147">
              <w:rPr>
                <w:rFonts w:ascii="Times New Roman" w:hAnsi="Times New Roman" w:cs="Times New Roman"/>
                <w:sz w:val="20"/>
                <w:szCs w:val="20"/>
              </w:rPr>
              <w:t>vējnoturīgas</w:t>
            </w:r>
            <w:proofErr w:type="spellEnd"/>
            <w:r w:rsidRPr="00E12147">
              <w:rPr>
                <w:rFonts w:ascii="Times New Roman" w:hAnsi="Times New Roman" w:cs="Times New Roman"/>
                <w:sz w:val="20"/>
                <w:szCs w:val="20"/>
              </w:rPr>
              <w:t xml:space="preserve"> audzes, un mazākas biezības noturīgus stādījumus </w:t>
            </w:r>
          </w:p>
        </w:tc>
        <w:tc>
          <w:tcPr>
            <w:tcW w:w="2551" w:type="dxa"/>
          </w:tcPr>
          <w:p w14:paraId="7F91E870" w14:textId="3843350E" w:rsidR="00CF4DF0" w:rsidRPr="00C85731" w:rsidRDefault="00CF4DF0" w:rsidP="009350F7">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Vētras, viesuļi</w:t>
            </w:r>
          </w:p>
        </w:tc>
        <w:tc>
          <w:tcPr>
            <w:tcW w:w="1587" w:type="dxa"/>
          </w:tcPr>
          <w:p w14:paraId="64763199" w14:textId="1890DAED" w:rsidR="00CF4DF0" w:rsidRPr="00350D22" w:rsidRDefault="0046252D"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34A0CBBC" w14:textId="77A3DD85" w:rsidR="00CF4DF0" w:rsidRPr="00C85731" w:rsidRDefault="00CF4DF0" w:rsidP="00045549">
            <w:pPr>
              <w:spacing w:after="0" w:line="240" w:lineRule="auto"/>
              <w:jc w:val="center"/>
              <w:rPr>
                <w:rFonts w:ascii="Times New Roman" w:hAnsi="Times New Roman" w:cs="Times New Roman"/>
                <w:sz w:val="20"/>
                <w:szCs w:val="20"/>
              </w:rPr>
            </w:pPr>
            <w:r w:rsidRPr="00350D22">
              <w:rPr>
                <w:rFonts w:ascii="Times New Roman" w:hAnsi="Times New Roman" w:cs="Times New Roman"/>
                <w:sz w:val="20"/>
                <w:szCs w:val="20"/>
              </w:rPr>
              <w:t>2022.gads</w:t>
            </w:r>
          </w:p>
        </w:tc>
        <w:tc>
          <w:tcPr>
            <w:tcW w:w="1418" w:type="dxa"/>
            <w:shd w:val="clear" w:color="auto" w:fill="auto"/>
            <w:vAlign w:val="center"/>
          </w:tcPr>
          <w:p w14:paraId="1B8F10E4" w14:textId="299243D4"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shd w:val="clear" w:color="auto" w:fill="auto"/>
            <w:vAlign w:val="center"/>
          </w:tcPr>
          <w:p w14:paraId="5A87CC93" w14:textId="6B40E30C"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vAlign w:val="center"/>
          </w:tcPr>
          <w:p w14:paraId="26C003C3" w14:textId="335324B1"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2F5D19F2" w14:textId="17B37258" w:rsidR="00CF4DF0" w:rsidRPr="00C85731" w:rsidRDefault="00C73F46" w:rsidP="00045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21B9250B" w14:textId="72BB63C3" w:rsidR="00CF4DF0" w:rsidRPr="00C85731" w:rsidRDefault="00C73F46" w:rsidP="00045549">
            <w:pPr>
              <w:spacing w:after="0" w:line="240" w:lineRule="auto"/>
              <w:jc w:val="center"/>
              <w:rPr>
                <w:rFonts w:ascii="Times New Roman" w:hAnsi="Times New Roman" w:cs="Times New Roman"/>
                <w:sz w:val="20"/>
                <w:szCs w:val="20"/>
              </w:rPr>
            </w:pPr>
            <w:r w:rsidRPr="00200746">
              <w:rPr>
                <w:rFonts w:ascii="Times New Roman" w:hAnsi="Times New Roman" w:cs="Times New Roman"/>
                <w:sz w:val="20"/>
                <w:szCs w:val="20"/>
              </w:rPr>
              <w:t>Esošā budžeta ietvaros</w:t>
            </w:r>
          </w:p>
        </w:tc>
      </w:tr>
      <w:tr w:rsidR="00AF4286" w:rsidRPr="00045549" w14:paraId="6F6F7D91" w14:textId="77777777" w:rsidTr="00326706">
        <w:tc>
          <w:tcPr>
            <w:tcW w:w="2836" w:type="dxa"/>
            <w:shd w:val="clear" w:color="auto" w:fill="auto"/>
            <w:vAlign w:val="center"/>
          </w:tcPr>
          <w:p w14:paraId="13DFBF36" w14:textId="1CC77570" w:rsidR="00AF4286" w:rsidRPr="00E0236E" w:rsidRDefault="00AF4286" w:rsidP="00AF4286">
            <w:pPr>
              <w:spacing w:after="0" w:line="240" w:lineRule="auto"/>
              <w:jc w:val="both"/>
              <w:rPr>
                <w:rFonts w:ascii="Times New Roman" w:hAnsi="Times New Roman" w:cs="Times New Roman"/>
                <w:sz w:val="20"/>
                <w:szCs w:val="20"/>
              </w:rPr>
            </w:pPr>
            <w:r w:rsidRPr="00E12147">
              <w:rPr>
                <w:rFonts w:ascii="Times New Roman" w:hAnsi="Times New Roman" w:cs="Times New Roman"/>
                <w:sz w:val="20"/>
                <w:szCs w:val="20"/>
              </w:rPr>
              <w:t xml:space="preserve">Meža mineralizēto joslu ierīkošana un uzturēšana </w:t>
            </w:r>
            <w:r w:rsidRPr="00E12147">
              <w:rPr>
                <w:rFonts w:ascii="Times New Roman" w:hAnsi="Times New Roman" w:cs="Times New Roman"/>
                <w:sz w:val="20"/>
                <w:szCs w:val="20"/>
              </w:rPr>
              <w:lastRenderedPageBreak/>
              <w:t>ugunsgrēku izcelšanos un izplatības ierobežošanai</w:t>
            </w:r>
          </w:p>
        </w:tc>
        <w:tc>
          <w:tcPr>
            <w:tcW w:w="2551" w:type="dxa"/>
          </w:tcPr>
          <w:p w14:paraId="09B747CC" w14:textId="28817D3D" w:rsidR="00AF4286" w:rsidRPr="00C85731" w:rsidRDefault="00AF4286" w:rsidP="00AF4286">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lastRenderedPageBreak/>
              <w:t>Meža un kūdras purvu ugunsgrēki</w:t>
            </w:r>
          </w:p>
        </w:tc>
        <w:tc>
          <w:tcPr>
            <w:tcW w:w="1587" w:type="dxa"/>
          </w:tcPr>
          <w:p w14:paraId="7B23A7EF" w14:textId="082B6C46" w:rsidR="00AF4286" w:rsidRPr="00350D22"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Atbilstoši apdraudējumam </w:t>
            </w:r>
            <w:r>
              <w:rPr>
                <w:rFonts w:ascii="Times New Roman" w:hAnsi="Times New Roman" w:cs="Times New Roman"/>
                <w:sz w:val="20"/>
                <w:szCs w:val="20"/>
              </w:rPr>
              <w:lastRenderedPageBreak/>
              <w:t>plānā norādītā institūcija</w:t>
            </w:r>
          </w:p>
        </w:tc>
        <w:tc>
          <w:tcPr>
            <w:tcW w:w="1106" w:type="dxa"/>
          </w:tcPr>
          <w:p w14:paraId="09248D9F" w14:textId="2559A535" w:rsidR="00AF4286" w:rsidRPr="00C85731" w:rsidRDefault="00AF4286" w:rsidP="00AF4286">
            <w:pPr>
              <w:spacing w:after="0" w:line="240" w:lineRule="auto"/>
              <w:jc w:val="center"/>
              <w:rPr>
                <w:rFonts w:ascii="Times New Roman" w:hAnsi="Times New Roman" w:cs="Times New Roman"/>
                <w:sz w:val="20"/>
                <w:szCs w:val="20"/>
              </w:rPr>
            </w:pPr>
            <w:r w:rsidRPr="00350D22">
              <w:rPr>
                <w:rFonts w:ascii="Times New Roman" w:hAnsi="Times New Roman" w:cs="Times New Roman"/>
                <w:sz w:val="20"/>
                <w:szCs w:val="20"/>
              </w:rPr>
              <w:lastRenderedPageBreak/>
              <w:t xml:space="preserve">Katru gadu pēc </w:t>
            </w:r>
            <w:r w:rsidRPr="00350D22">
              <w:rPr>
                <w:rFonts w:ascii="Times New Roman" w:hAnsi="Times New Roman" w:cs="Times New Roman"/>
                <w:sz w:val="20"/>
                <w:szCs w:val="20"/>
              </w:rPr>
              <w:lastRenderedPageBreak/>
              <w:t>nepieciešamības</w:t>
            </w:r>
          </w:p>
        </w:tc>
        <w:tc>
          <w:tcPr>
            <w:tcW w:w="1418" w:type="dxa"/>
            <w:shd w:val="clear" w:color="auto" w:fill="auto"/>
            <w:vAlign w:val="center"/>
          </w:tcPr>
          <w:p w14:paraId="574A1408" w14:textId="5148C9C1"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559" w:type="dxa"/>
            <w:shd w:val="clear" w:color="auto" w:fill="auto"/>
            <w:vAlign w:val="center"/>
          </w:tcPr>
          <w:p w14:paraId="4FEF5637" w14:textId="1B6F34D3"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auto"/>
            <w:vAlign w:val="center"/>
          </w:tcPr>
          <w:p w14:paraId="2BCB579F" w14:textId="33BC1214"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32ED27DC" w14:textId="510E5D1C"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Pr>
          <w:p w14:paraId="4F1EE622" w14:textId="6875845D" w:rsidR="00AF4286" w:rsidRPr="00C85731" w:rsidRDefault="00AF4286" w:rsidP="00AF4286">
            <w:pPr>
              <w:spacing w:after="0" w:line="240" w:lineRule="auto"/>
              <w:jc w:val="center"/>
              <w:rPr>
                <w:rFonts w:ascii="Times New Roman" w:hAnsi="Times New Roman" w:cs="Times New Roman"/>
                <w:sz w:val="20"/>
                <w:szCs w:val="20"/>
              </w:rPr>
            </w:pPr>
            <w:r w:rsidRPr="00200746">
              <w:rPr>
                <w:rFonts w:ascii="Times New Roman" w:hAnsi="Times New Roman" w:cs="Times New Roman"/>
                <w:sz w:val="20"/>
                <w:szCs w:val="20"/>
              </w:rPr>
              <w:t>Esošā budžeta ietvaros, ES fondi</w:t>
            </w:r>
          </w:p>
        </w:tc>
      </w:tr>
      <w:tr w:rsidR="00AF4286" w:rsidRPr="00045549" w14:paraId="74F3B84F" w14:textId="77777777" w:rsidTr="00326706">
        <w:tc>
          <w:tcPr>
            <w:tcW w:w="2836" w:type="dxa"/>
            <w:shd w:val="clear" w:color="auto" w:fill="auto"/>
            <w:vAlign w:val="center"/>
          </w:tcPr>
          <w:p w14:paraId="1E43FB58" w14:textId="323D06D5" w:rsidR="00AF4286" w:rsidRPr="00E0236E" w:rsidRDefault="00AF4286" w:rsidP="00AF4286">
            <w:pPr>
              <w:spacing w:after="0" w:line="240" w:lineRule="auto"/>
              <w:jc w:val="both"/>
              <w:rPr>
                <w:rFonts w:ascii="Times New Roman" w:hAnsi="Times New Roman" w:cs="Times New Roman"/>
                <w:sz w:val="20"/>
                <w:szCs w:val="20"/>
              </w:rPr>
            </w:pPr>
            <w:r w:rsidRPr="00E12147">
              <w:rPr>
                <w:rFonts w:ascii="Times New Roman" w:hAnsi="Times New Roman" w:cs="Times New Roman"/>
                <w:sz w:val="20"/>
                <w:szCs w:val="20"/>
              </w:rPr>
              <w:t xml:space="preserve">Apauguma un pielūžņojuma novākšana  un risu izlīdzināšana kas dziļākas par 0,25 metriem dabiskajās brauktuvēs mežā, kvartālstigās un grāvju </w:t>
            </w:r>
            <w:proofErr w:type="spellStart"/>
            <w:r w:rsidRPr="00E12147">
              <w:rPr>
                <w:rFonts w:ascii="Times New Roman" w:hAnsi="Times New Roman" w:cs="Times New Roman"/>
                <w:sz w:val="20"/>
                <w:szCs w:val="20"/>
              </w:rPr>
              <w:t>atbērtnēs</w:t>
            </w:r>
            <w:proofErr w:type="spellEnd"/>
            <w:r w:rsidRPr="00E12147">
              <w:rPr>
                <w:rFonts w:ascii="Times New Roman" w:hAnsi="Times New Roman" w:cs="Times New Roman"/>
                <w:sz w:val="20"/>
                <w:szCs w:val="20"/>
              </w:rPr>
              <w:t>, kas var tikt izmantotas ugunsdzēsības vajadzībām</w:t>
            </w:r>
          </w:p>
        </w:tc>
        <w:tc>
          <w:tcPr>
            <w:tcW w:w="2551" w:type="dxa"/>
          </w:tcPr>
          <w:p w14:paraId="310E13DF" w14:textId="03158EF4" w:rsidR="00AF4286" w:rsidRPr="00C85731" w:rsidRDefault="00AF4286" w:rsidP="00AF4286">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tc>
        <w:tc>
          <w:tcPr>
            <w:tcW w:w="1587" w:type="dxa"/>
          </w:tcPr>
          <w:p w14:paraId="54ABAF34" w14:textId="56DF9E4C" w:rsidR="00AF4286"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3E9E47F0" w14:textId="21EE792E"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350D22">
              <w:rPr>
                <w:rFonts w:ascii="Times New Roman" w:hAnsi="Times New Roman" w:cs="Times New Roman"/>
                <w:sz w:val="20"/>
                <w:szCs w:val="20"/>
              </w:rPr>
              <w:t>atru gadu līdz 1.maijam</w:t>
            </w:r>
          </w:p>
        </w:tc>
        <w:tc>
          <w:tcPr>
            <w:tcW w:w="1418" w:type="dxa"/>
            <w:shd w:val="clear" w:color="auto" w:fill="auto"/>
            <w:vAlign w:val="center"/>
          </w:tcPr>
          <w:p w14:paraId="041D0EA2" w14:textId="69B34921"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59" w:type="dxa"/>
            <w:shd w:val="clear" w:color="auto" w:fill="auto"/>
            <w:vAlign w:val="center"/>
          </w:tcPr>
          <w:p w14:paraId="69C70E4D" w14:textId="7D8FC738"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auto"/>
            <w:vAlign w:val="center"/>
          </w:tcPr>
          <w:p w14:paraId="147C9BAF" w14:textId="69CA2004"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0B6D37C8" w14:textId="0A3B34A4"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801B7C3" w14:textId="1C5F1C5F"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Esošā budžeta ietvaros</w:t>
            </w:r>
          </w:p>
        </w:tc>
      </w:tr>
      <w:tr w:rsidR="00AF4286" w:rsidRPr="00045549" w14:paraId="30B00384" w14:textId="77777777" w:rsidTr="00326706">
        <w:tc>
          <w:tcPr>
            <w:tcW w:w="2836" w:type="dxa"/>
            <w:shd w:val="clear" w:color="auto" w:fill="auto"/>
            <w:vAlign w:val="center"/>
          </w:tcPr>
          <w:p w14:paraId="38AD4EED" w14:textId="39D6F34E" w:rsidR="00AF4286" w:rsidRPr="00E0236E" w:rsidRDefault="00AF4286" w:rsidP="00AF4286">
            <w:pPr>
              <w:spacing w:after="0" w:line="240" w:lineRule="auto"/>
              <w:jc w:val="both"/>
              <w:rPr>
                <w:rFonts w:ascii="Times New Roman" w:hAnsi="Times New Roman" w:cs="Times New Roman"/>
                <w:sz w:val="20"/>
                <w:szCs w:val="20"/>
              </w:rPr>
            </w:pPr>
            <w:r w:rsidRPr="00E12147">
              <w:rPr>
                <w:rFonts w:ascii="Times New Roman" w:hAnsi="Times New Roman" w:cs="Times New Roman"/>
                <w:sz w:val="20"/>
                <w:szCs w:val="20"/>
              </w:rPr>
              <w:t>Mežu šķērsojošo ceļu risu izlīdzināšana, kas dziļākas par 0,25 metriem</w:t>
            </w:r>
          </w:p>
        </w:tc>
        <w:tc>
          <w:tcPr>
            <w:tcW w:w="2551" w:type="dxa"/>
          </w:tcPr>
          <w:p w14:paraId="6BB9A8B2" w14:textId="45C3F055" w:rsidR="00AF4286" w:rsidRPr="00C85731" w:rsidRDefault="00AF4286" w:rsidP="00AF4286">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tc>
        <w:tc>
          <w:tcPr>
            <w:tcW w:w="1587" w:type="dxa"/>
          </w:tcPr>
          <w:p w14:paraId="4F72A1EC" w14:textId="04E5796C" w:rsidR="00AF4286"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38A8C868" w14:textId="596D4165"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w:t>
            </w:r>
            <w:r w:rsidRPr="00350D22">
              <w:rPr>
                <w:rFonts w:ascii="Times New Roman" w:hAnsi="Times New Roman" w:cs="Times New Roman"/>
                <w:sz w:val="20"/>
                <w:szCs w:val="20"/>
              </w:rPr>
              <w:t>atru gadu līdz 1.maijam</w:t>
            </w:r>
          </w:p>
        </w:tc>
        <w:tc>
          <w:tcPr>
            <w:tcW w:w="1418" w:type="dxa"/>
            <w:shd w:val="clear" w:color="auto" w:fill="auto"/>
            <w:vAlign w:val="center"/>
          </w:tcPr>
          <w:p w14:paraId="4C89A342" w14:textId="0048C6A7"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559" w:type="dxa"/>
            <w:shd w:val="clear" w:color="auto" w:fill="auto"/>
            <w:vAlign w:val="center"/>
          </w:tcPr>
          <w:p w14:paraId="5748F8B6" w14:textId="514B99AD"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auto"/>
            <w:vAlign w:val="center"/>
          </w:tcPr>
          <w:p w14:paraId="257A40E0" w14:textId="4544A3BE"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5E179449" w14:textId="754A965F"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9A0963A" w14:textId="4977BF5C"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Esošā budžeta ietvaros</w:t>
            </w:r>
          </w:p>
        </w:tc>
      </w:tr>
      <w:tr w:rsidR="00AF4286" w:rsidRPr="00045549" w14:paraId="315B7F7C" w14:textId="77777777" w:rsidTr="00326706">
        <w:tc>
          <w:tcPr>
            <w:tcW w:w="2836" w:type="dxa"/>
            <w:shd w:val="clear" w:color="auto" w:fill="auto"/>
            <w:vAlign w:val="center"/>
          </w:tcPr>
          <w:p w14:paraId="7B65A7DB" w14:textId="798289BF" w:rsidR="00AF4286" w:rsidRPr="00E0236E" w:rsidRDefault="00AF4286" w:rsidP="00AF4286">
            <w:pPr>
              <w:spacing w:after="0" w:line="240" w:lineRule="auto"/>
              <w:jc w:val="both"/>
              <w:rPr>
                <w:rFonts w:ascii="Times New Roman" w:hAnsi="Times New Roman" w:cs="Times New Roman"/>
                <w:sz w:val="20"/>
                <w:szCs w:val="20"/>
              </w:rPr>
            </w:pPr>
            <w:r w:rsidRPr="00E12147">
              <w:rPr>
                <w:rFonts w:ascii="Times New Roman" w:hAnsi="Times New Roman" w:cs="Times New Roman"/>
                <w:sz w:val="20"/>
                <w:szCs w:val="20"/>
              </w:rPr>
              <w:t>Ceļu un piebrauktuvju sakārtošana ugunsdzēsības ūdens ņemšanas vietām un uzturēšana tādā stāvoklī, lai nodrošinātu ugunsdzēsības automobiļu piekļūšanu</w:t>
            </w:r>
          </w:p>
        </w:tc>
        <w:tc>
          <w:tcPr>
            <w:tcW w:w="2551" w:type="dxa"/>
          </w:tcPr>
          <w:p w14:paraId="05E585AE" w14:textId="55FA655B" w:rsidR="00AF4286" w:rsidRPr="00C85731" w:rsidRDefault="00AF4286" w:rsidP="00AF4286">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tc>
        <w:tc>
          <w:tcPr>
            <w:tcW w:w="1587" w:type="dxa"/>
          </w:tcPr>
          <w:p w14:paraId="456ED469" w14:textId="726FDC5A" w:rsidR="00AF4286" w:rsidRPr="00350D22"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7A292293" w14:textId="7BBAB997" w:rsidR="00AF4286" w:rsidRPr="00C85731" w:rsidRDefault="00AF4286" w:rsidP="00AF4286">
            <w:pPr>
              <w:spacing w:after="0" w:line="240" w:lineRule="auto"/>
              <w:jc w:val="center"/>
              <w:rPr>
                <w:rFonts w:ascii="Times New Roman" w:hAnsi="Times New Roman" w:cs="Times New Roman"/>
                <w:sz w:val="20"/>
                <w:szCs w:val="20"/>
              </w:rPr>
            </w:pPr>
            <w:r w:rsidRPr="00350D22">
              <w:rPr>
                <w:rFonts w:ascii="Times New Roman" w:hAnsi="Times New Roman" w:cs="Times New Roman"/>
                <w:sz w:val="20"/>
                <w:szCs w:val="20"/>
              </w:rPr>
              <w:t>Katru gadu līdz 1.maijam</w:t>
            </w:r>
          </w:p>
        </w:tc>
        <w:tc>
          <w:tcPr>
            <w:tcW w:w="1418" w:type="dxa"/>
            <w:shd w:val="clear" w:color="auto" w:fill="auto"/>
            <w:vAlign w:val="center"/>
          </w:tcPr>
          <w:p w14:paraId="51462745" w14:textId="0E7634B7"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shd w:val="clear" w:color="auto" w:fill="auto"/>
            <w:vAlign w:val="center"/>
          </w:tcPr>
          <w:p w14:paraId="0B5D71B7" w14:textId="049DE45D"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auto"/>
            <w:vAlign w:val="center"/>
          </w:tcPr>
          <w:p w14:paraId="1AE01F52" w14:textId="5777EC59"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231E5C37" w14:textId="2EB2FFF4"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EC47223" w14:textId="621DAA8E"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Esošā budžeta ietvaros</w:t>
            </w:r>
          </w:p>
        </w:tc>
      </w:tr>
      <w:tr w:rsidR="00AF4286" w:rsidRPr="00045549" w14:paraId="55CF3CF7" w14:textId="77777777" w:rsidTr="00326706">
        <w:tc>
          <w:tcPr>
            <w:tcW w:w="2836" w:type="dxa"/>
            <w:shd w:val="clear" w:color="auto" w:fill="auto"/>
            <w:vAlign w:val="center"/>
          </w:tcPr>
          <w:p w14:paraId="2489A489" w14:textId="547A0563" w:rsidR="00AF4286" w:rsidRPr="00E0236E" w:rsidRDefault="00AF4286" w:rsidP="00AF4286">
            <w:pPr>
              <w:spacing w:after="0" w:line="240" w:lineRule="auto"/>
              <w:jc w:val="both"/>
              <w:rPr>
                <w:rFonts w:ascii="Times New Roman" w:hAnsi="Times New Roman" w:cs="Times New Roman"/>
                <w:sz w:val="20"/>
                <w:szCs w:val="20"/>
              </w:rPr>
            </w:pPr>
            <w:r w:rsidRPr="00E12147">
              <w:rPr>
                <w:rFonts w:ascii="Times New Roman" w:hAnsi="Times New Roman" w:cs="Times New Roman"/>
                <w:sz w:val="20"/>
                <w:szCs w:val="20"/>
              </w:rPr>
              <w:t>Ūdens ņemšanas vietas ierīkošana un atjaunošana</w:t>
            </w:r>
          </w:p>
        </w:tc>
        <w:tc>
          <w:tcPr>
            <w:tcW w:w="2551" w:type="dxa"/>
          </w:tcPr>
          <w:p w14:paraId="4F79D2EB" w14:textId="26A55E5C" w:rsidR="00AF4286" w:rsidRPr="00C85731" w:rsidRDefault="00AF4286" w:rsidP="00AF4286">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tc>
        <w:tc>
          <w:tcPr>
            <w:tcW w:w="1587" w:type="dxa"/>
          </w:tcPr>
          <w:p w14:paraId="340A77EE" w14:textId="48656AC5" w:rsidR="00AF4286" w:rsidRPr="00350D22"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4C8D3440" w14:textId="47D7920A" w:rsidR="00AF4286" w:rsidRPr="00C85731" w:rsidRDefault="00AF4286" w:rsidP="00AF4286">
            <w:pPr>
              <w:spacing w:after="0" w:line="240" w:lineRule="auto"/>
              <w:jc w:val="center"/>
              <w:rPr>
                <w:rFonts w:ascii="Times New Roman" w:hAnsi="Times New Roman" w:cs="Times New Roman"/>
                <w:sz w:val="20"/>
                <w:szCs w:val="20"/>
              </w:rPr>
            </w:pPr>
            <w:r w:rsidRPr="00350D22">
              <w:rPr>
                <w:rFonts w:ascii="Times New Roman" w:hAnsi="Times New Roman" w:cs="Times New Roman"/>
                <w:sz w:val="20"/>
                <w:szCs w:val="20"/>
              </w:rPr>
              <w:t>Katru gadu līdz 1.maijam</w:t>
            </w:r>
          </w:p>
        </w:tc>
        <w:tc>
          <w:tcPr>
            <w:tcW w:w="1418" w:type="dxa"/>
            <w:shd w:val="clear" w:color="auto" w:fill="auto"/>
            <w:vAlign w:val="center"/>
          </w:tcPr>
          <w:p w14:paraId="0F9D4F3A" w14:textId="42D231F7"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shd w:val="clear" w:color="auto" w:fill="auto"/>
            <w:vAlign w:val="center"/>
          </w:tcPr>
          <w:p w14:paraId="20F50CFC" w14:textId="14D3B583"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vAlign w:val="center"/>
          </w:tcPr>
          <w:p w14:paraId="73FFD9C3" w14:textId="18E721D5"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39521337" w14:textId="7609A78A"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CB7E4BF" w14:textId="07874C44"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Esošā budžeta ietvaros</w:t>
            </w:r>
          </w:p>
        </w:tc>
      </w:tr>
      <w:tr w:rsidR="00AF4286" w:rsidRPr="00045549" w14:paraId="25722897" w14:textId="77777777" w:rsidTr="00326706">
        <w:tc>
          <w:tcPr>
            <w:tcW w:w="2836" w:type="dxa"/>
            <w:shd w:val="clear" w:color="auto" w:fill="auto"/>
            <w:vAlign w:val="center"/>
          </w:tcPr>
          <w:p w14:paraId="2F91E9D6" w14:textId="69384A6E" w:rsidR="00AF4286" w:rsidRPr="007419BB" w:rsidRDefault="00AF4286" w:rsidP="00AF4286">
            <w:pPr>
              <w:spacing w:after="0" w:line="240" w:lineRule="auto"/>
              <w:jc w:val="both"/>
              <w:rPr>
                <w:rFonts w:ascii="Times New Roman" w:hAnsi="Times New Roman" w:cs="Times New Roman"/>
                <w:sz w:val="20"/>
                <w:szCs w:val="20"/>
              </w:rPr>
            </w:pPr>
            <w:r w:rsidRPr="00E12147">
              <w:rPr>
                <w:rFonts w:ascii="Times New Roman" w:hAnsi="Times New Roman" w:cs="Times New Roman"/>
                <w:sz w:val="20"/>
                <w:szCs w:val="20"/>
              </w:rPr>
              <w:t>Meža ugunsdrošības profilaktisko pasākumu pilnveidošana un attīstīšana (ugunsnovērošanas torņu būvniecība, pārbūve un atjaunošana; meža ugunsdrošības sakaru aprīkojuma izveidošana un pilnveidošana; novērošanas iekārtu tīkla izveidošana un pilnveidošana)</w:t>
            </w:r>
          </w:p>
        </w:tc>
        <w:tc>
          <w:tcPr>
            <w:tcW w:w="2551" w:type="dxa"/>
          </w:tcPr>
          <w:p w14:paraId="0BC489B1" w14:textId="2152457C" w:rsidR="00AF4286" w:rsidRPr="00C85731" w:rsidRDefault="00AF4286" w:rsidP="00AF4286">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tc>
        <w:tc>
          <w:tcPr>
            <w:tcW w:w="1587" w:type="dxa"/>
          </w:tcPr>
          <w:p w14:paraId="0ACAE808" w14:textId="75BDEDFE" w:rsidR="00AF4286" w:rsidRPr="00350D22"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6D8701CB" w14:textId="10A7A753" w:rsidR="00AF4286" w:rsidRPr="00C85731" w:rsidRDefault="00AF4286" w:rsidP="00AF4286">
            <w:pPr>
              <w:spacing w:after="0" w:line="240" w:lineRule="auto"/>
              <w:jc w:val="center"/>
              <w:rPr>
                <w:rFonts w:ascii="Times New Roman" w:hAnsi="Times New Roman" w:cs="Times New Roman"/>
                <w:sz w:val="20"/>
                <w:szCs w:val="20"/>
              </w:rPr>
            </w:pPr>
            <w:r w:rsidRPr="00350D22">
              <w:rPr>
                <w:rFonts w:ascii="Times New Roman" w:hAnsi="Times New Roman" w:cs="Times New Roman"/>
                <w:sz w:val="20"/>
                <w:szCs w:val="20"/>
              </w:rPr>
              <w:t>Katru gadu</w:t>
            </w:r>
          </w:p>
        </w:tc>
        <w:tc>
          <w:tcPr>
            <w:tcW w:w="1418" w:type="dxa"/>
            <w:shd w:val="clear" w:color="auto" w:fill="auto"/>
            <w:vAlign w:val="center"/>
          </w:tcPr>
          <w:p w14:paraId="0DE301B4" w14:textId="0F082D7B"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shd w:val="clear" w:color="auto" w:fill="auto"/>
            <w:vAlign w:val="center"/>
          </w:tcPr>
          <w:p w14:paraId="58C504EB" w14:textId="47C580C7"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vAlign w:val="center"/>
          </w:tcPr>
          <w:p w14:paraId="195AA3DC" w14:textId="7EEA3BDD"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454CE565" w14:textId="7B078ADD"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Pr>
          <w:p w14:paraId="32092F8E" w14:textId="2DBDC73C" w:rsidR="00AF4286" w:rsidRPr="00200746" w:rsidRDefault="00AF4286" w:rsidP="00AF4286">
            <w:pPr>
              <w:spacing w:after="0" w:line="240" w:lineRule="auto"/>
              <w:jc w:val="center"/>
              <w:rPr>
                <w:rFonts w:ascii="Times New Roman" w:hAnsi="Times New Roman" w:cs="Times New Roman"/>
                <w:sz w:val="20"/>
                <w:szCs w:val="20"/>
              </w:rPr>
            </w:pPr>
            <w:r w:rsidRPr="00200746">
              <w:rPr>
                <w:rFonts w:ascii="Times New Roman" w:hAnsi="Times New Roman" w:cs="Times New Roman"/>
                <w:sz w:val="20"/>
                <w:szCs w:val="20"/>
              </w:rPr>
              <w:t>Esošā budžeta ietvaros, ES fondi</w:t>
            </w:r>
          </w:p>
        </w:tc>
      </w:tr>
      <w:tr w:rsidR="00AF4286" w:rsidRPr="00045549" w14:paraId="11BC4387" w14:textId="77777777" w:rsidTr="00326706">
        <w:tc>
          <w:tcPr>
            <w:tcW w:w="2836" w:type="dxa"/>
            <w:shd w:val="clear" w:color="auto" w:fill="auto"/>
            <w:vAlign w:val="center"/>
          </w:tcPr>
          <w:p w14:paraId="6F1D0312" w14:textId="2F6C8FB6" w:rsidR="00AF4286" w:rsidRPr="00E12147" w:rsidRDefault="00AF4286" w:rsidP="00AF4286">
            <w:pPr>
              <w:spacing w:after="0" w:line="240" w:lineRule="auto"/>
              <w:jc w:val="both"/>
              <w:rPr>
                <w:rFonts w:ascii="Times New Roman" w:hAnsi="Times New Roman" w:cs="Times New Roman"/>
                <w:sz w:val="20"/>
                <w:szCs w:val="20"/>
              </w:rPr>
            </w:pPr>
            <w:r w:rsidRPr="00E12147">
              <w:rPr>
                <w:rFonts w:ascii="Times New Roman" w:hAnsi="Times New Roman" w:cs="Times New Roman"/>
                <w:sz w:val="20"/>
                <w:szCs w:val="20"/>
              </w:rPr>
              <w:t xml:space="preserve">Valsts meža dienesta speciālo ugunsdzēsības un glābšanas transportlīdzekļu, speciālo tehniku un materiāltehnisko (aprīkojuma) iegāde un uzturēšana, meža un kūdras purvu ugunsgrēku klimatu </w:t>
            </w:r>
            <w:r w:rsidRPr="00E12147">
              <w:rPr>
                <w:rFonts w:ascii="Times New Roman" w:hAnsi="Times New Roman" w:cs="Times New Roman"/>
                <w:sz w:val="20"/>
                <w:szCs w:val="20"/>
              </w:rPr>
              <w:lastRenderedPageBreak/>
              <w:t>pārmaiņu un ietekmes uz vidi radīto seku likvidēšanai</w:t>
            </w:r>
          </w:p>
        </w:tc>
        <w:tc>
          <w:tcPr>
            <w:tcW w:w="2551" w:type="dxa"/>
          </w:tcPr>
          <w:p w14:paraId="470BBC8E" w14:textId="18DD953F" w:rsidR="00AF4286" w:rsidRPr="00C85731" w:rsidRDefault="00AF4286" w:rsidP="00AF4286">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lastRenderedPageBreak/>
              <w:t>Meža un kūdras purvu ugunsgrēki</w:t>
            </w:r>
          </w:p>
        </w:tc>
        <w:tc>
          <w:tcPr>
            <w:tcW w:w="1587" w:type="dxa"/>
          </w:tcPr>
          <w:p w14:paraId="5FFADF38" w14:textId="12600EBB" w:rsidR="00AF4286" w:rsidRPr="00350D22"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5193B245" w14:textId="25343C52" w:rsidR="00AF4286" w:rsidRPr="00C85731" w:rsidRDefault="00AF4286" w:rsidP="00AF4286">
            <w:pPr>
              <w:spacing w:after="0" w:line="240" w:lineRule="auto"/>
              <w:jc w:val="center"/>
              <w:rPr>
                <w:rFonts w:ascii="Times New Roman" w:hAnsi="Times New Roman" w:cs="Times New Roman"/>
                <w:sz w:val="20"/>
                <w:szCs w:val="20"/>
              </w:rPr>
            </w:pPr>
            <w:r w:rsidRPr="00350D22">
              <w:rPr>
                <w:rFonts w:ascii="Times New Roman" w:hAnsi="Times New Roman" w:cs="Times New Roman"/>
                <w:sz w:val="20"/>
                <w:szCs w:val="20"/>
              </w:rPr>
              <w:t>2020.-2027.gads</w:t>
            </w:r>
          </w:p>
        </w:tc>
        <w:tc>
          <w:tcPr>
            <w:tcW w:w="1418" w:type="dxa"/>
            <w:shd w:val="clear" w:color="auto" w:fill="auto"/>
            <w:vAlign w:val="center"/>
          </w:tcPr>
          <w:p w14:paraId="284D6689" w14:textId="5136F1B4"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shd w:val="clear" w:color="auto" w:fill="auto"/>
            <w:vAlign w:val="center"/>
          </w:tcPr>
          <w:p w14:paraId="3C634C2B" w14:textId="43E367DF"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vAlign w:val="center"/>
          </w:tcPr>
          <w:p w14:paraId="486DE284" w14:textId="0614BBEB"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3A97B413" w14:textId="6479DB0B"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Pr>
          <w:p w14:paraId="68E419BC" w14:textId="58BE1D4A" w:rsidR="00AF4286" w:rsidRPr="00200746" w:rsidRDefault="00AF4286" w:rsidP="00AF4286">
            <w:pPr>
              <w:spacing w:after="0" w:line="240" w:lineRule="auto"/>
              <w:jc w:val="center"/>
              <w:rPr>
                <w:rFonts w:ascii="Times New Roman" w:hAnsi="Times New Roman" w:cs="Times New Roman"/>
                <w:sz w:val="20"/>
                <w:szCs w:val="20"/>
              </w:rPr>
            </w:pPr>
            <w:r w:rsidRPr="00200746">
              <w:rPr>
                <w:rFonts w:ascii="Times New Roman" w:hAnsi="Times New Roman" w:cs="Times New Roman"/>
                <w:sz w:val="20"/>
                <w:szCs w:val="20"/>
              </w:rPr>
              <w:t>Esošā budžeta ietvaros, ES fondi</w:t>
            </w:r>
          </w:p>
        </w:tc>
      </w:tr>
      <w:tr w:rsidR="00AF4286" w:rsidRPr="00045549" w14:paraId="3366BE6C" w14:textId="77777777" w:rsidTr="00326706">
        <w:tc>
          <w:tcPr>
            <w:tcW w:w="2836" w:type="dxa"/>
            <w:shd w:val="clear" w:color="auto" w:fill="auto"/>
            <w:vAlign w:val="center"/>
          </w:tcPr>
          <w:p w14:paraId="56248EC6" w14:textId="3E51781D" w:rsidR="00AF4286" w:rsidRPr="00E12147" w:rsidRDefault="00AF4286" w:rsidP="00AF4286">
            <w:pPr>
              <w:spacing w:after="0" w:line="240" w:lineRule="auto"/>
              <w:jc w:val="both"/>
              <w:rPr>
                <w:rFonts w:ascii="Times New Roman" w:hAnsi="Times New Roman" w:cs="Times New Roman"/>
                <w:sz w:val="20"/>
                <w:szCs w:val="20"/>
              </w:rPr>
            </w:pPr>
            <w:r w:rsidRPr="00E12147">
              <w:rPr>
                <w:rFonts w:ascii="Times New Roman" w:hAnsi="Times New Roman" w:cs="Times New Roman"/>
                <w:sz w:val="20"/>
                <w:szCs w:val="20"/>
              </w:rPr>
              <w:t>Valsts meža dienesta struktūrvienību tīklu (ugunsdzēsības depo) būvniecība, renovācija un rekonstrukcija</w:t>
            </w:r>
          </w:p>
        </w:tc>
        <w:tc>
          <w:tcPr>
            <w:tcW w:w="2551" w:type="dxa"/>
          </w:tcPr>
          <w:p w14:paraId="538613FA" w14:textId="0A9C96F2" w:rsidR="00AF4286" w:rsidRPr="00C85731" w:rsidRDefault="00AF4286" w:rsidP="00AF4286">
            <w:pPr>
              <w:spacing w:after="0" w:line="240" w:lineRule="auto"/>
              <w:rPr>
                <w:rFonts w:ascii="Times New Roman" w:hAnsi="Times New Roman" w:cs="Times New Roman"/>
                <w:sz w:val="20"/>
                <w:szCs w:val="20"/>
              </w:rPr>
            </w:pPr>
            <w:r w:rsidRPr="00350D22">
              <w:rPr>
                <w:rFonts w:ascii="Times New Roman" w:hAnsi="Times New Roman" w:cs="Times New Roman"/>
                <w:sz w:val="20"/>
                <w:szCs w:val="20"/>
              </w:rPr>
              <w:t>Meža un kūdras purvu ugunsgrēki</w:t>
            </w:r>
          </w:p>
        </w:tc>
        <w:tc>
          <w:tcPr>
            <w:tcW w:w="1587" w:type="dxa"/>
          </w:tcPr>
          <w:p w14:paraId="0CA6F93B" w14:textId="0A21CD51" w:rsidR="00AF4286" w:rsidRPr="00350D22"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4767DB9C" w14:textId="3652417C" w:rsidR="00AF4286" w:rsidRPr="00C85731" w:rsidRDefault="00AF4286" w:rsidP="00AF4286">
            <w:pPr>
              <w:spacing w:after="0" w:line="240" w:lineRule="auto"/>
              <w:jc w:val="center"/>
              <w:rPr>
                <w:rFonts w:ascii="Times New Roman" w:hAnsi="Times New Roman" w:cs="Times New Roman"/>
                <w:sz w:val="20"/>
                <w:szCs w:val="20"/>
              </w:rPr>
            </w:pPr>
            <w:r w:rsidRPr="00350D22">
              <w:rPr>
                <w:rFonts w:ascii="Times New Roman" w:hAnsi="Times New Roman" w:cs="Times New Roman"/>
                <w:sz w:val="20"/>
                <w:szCs w:val="20"/>
              </w:rPr>
              <w:t>2020.-2027.gads</w:t>
            </w:r>
          </w:p>
        </w:tc>
        <w:tc>
          <w:tcPr>
            <w:tcW w:w="1418" w:type="dxa"/>
            <w:shd w:val="clear" w:color="auto" w:fill="auto"/>
            <w:vAlign w:val="center"/>
          </w:tcPr>
          <w:p w14:paraId="59B933B0" w14:textId="22A68ECE"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shd w:val="clear" w:color="auto" w:fill="auto"/>
            <w:vAlign w:val="center"/>
          </w:tcPr>
          <w:p w14:paraId="3100C6EC" w14:textId="6AC12E3B"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vAlign w:val="center"/>
          </w:tcPr>
          <w:p w14:paraId="05DC195D" w14:textId="10176C85"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67C5BF27" w14:textId="6DAAF10C"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Pr>
          <w:p w14:paraId="2843281E" w14:textId="73800F8E" w:rsidR="00AF4286" w:rsidRPr="00C85731" w:rsidRDefault="00AF4286" w:rsidP="00AF4286">
            <w:pPr>
              <w:spacing w:after="0" w:line="240" w:lineRule="auto"/>
              <w:jc w:val="center"/>
              <w:rPr>
                <w:rFonts w:ascii="Times New Roman" w:hAnsi="Times New Roman" w:cs="Times New Roman"/>
                <w:sz w:val="20"/>
                <w:szCs w:val="20"/>
              </w:rPr>
            </w:pPr>
            <w:r w:rsidRPr="00200746">
              <w:rPr>
                <w:rFonts w:ascii="Times New Roman" w:hAnsi="Times New Roman" w:cs="Times New Roman"/>
                <w:sz w:val="20"/>
                <w:szCs w:val="20"/>
              </w:rPr>
              <w:t>Esošā budžeta ietvaros, ES fondi</w:t>
            </w:r>
          </w:p>
        </w:tc>
      </w:tr>
      <w:tr w:rsidR="00AF4286" w:rsidRPr="00045549" w14:paraId="125E703E" w14:textId="77777777" w:rsidTr="00326706">
        <w:tc>
          <w:tcPr>
            <w:tcW w:w="2836" w:type="dxa"/>
            <w:shd w:val="clear" w:color="auto" w:fill="auto"/>
          </w:tcPr>
          <w:p w14:paraId="4022B2C1" w14:textId="750EDBFD" w:rsidR="00AF4286" w:rsidRPr="00E12147" w:rsidRDefault="00AF4286" w:rsidP="00AF4286">
            <w:pPr>
              <w:spacing w:after="0" w:line="240" w:lineRule="auto"/>
              <w:jc w:val="both"/>
              <w:rPr>
                <w:rFonts w:ascii="Times New Roman" w:hAnsi="Times New Roman" w:cs="Times New Roman"/>
                <w:sz w:val="20"/>
                <w:szCs w:val="20"/>
              </w:rPr>
            </w:pPr>
            <w:r w:rsidRPr="00E12147">
              <w:rPr>
                <w:rFonts w:ascii="Times New Roman" w:hAnsi="Times New Roman" w:cs="Times New Roman"/>
                <w:sz w:val="20"/>
                <w:szCs w:val="20"/>
              </w:rPr>
              <w:t>Apkārtējās vides objektu (t.sk. gaisa, ūdeņu, augsnes, bīstamo ķīmisko vielu u.c.) paraugu ņemšanas un vides mērījumu pilnveidošana, kā arī laboratorijas analītisko spēju un testēšanas analīžu uzlabošana un pilnveidošana (t.sk. cilvēkresursu apmācība), lai nodrošinātu avārijas rezultātā vides piesārņojumu noteikšanu un monitoringu</w:t>
            </w:r>
          </w:p>
        </w:tc>
        <w:tc>
          <w:tcPr>
            <w:tcW w:w="2551" w:type="dxa"/>
          </w:tcPr>
          <w:p w14:paraId="26C902F7" w14:textId="77777777" w:rsidR="00AF4286" w:rsidRDefault="00AF4286" w:rsidP="00AF428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Meža un kūdras purvu ugunsgrēki</w:t>
            </w:r>
          </w:p>
          <w:p w14:paraId="3FD0D207" w14:textId="77777777" w:rsidR="00AF4286" w:rsidRDefault="00AF4286" w:rsidP="00AF4286">
            <w:pPr>
              <w:spacing w:after="0" w:line="240" w:lineRule="auto"/>
              <w:rPr>
                <w:rFonts w:ascii="Times New Roman" w:hAnsi="Times New Roman" w:cs="Times New Roman"/>
                <w:sz w:val="20"/>
                <w:szCs w:val="20"/>
              </w:rPr>
            </w:pPr>
            <w:r w:rsidRPr="00D2377B">
              <w:rPr>
                <w:rFonts w:ascii="Times New Roman" w:hAnsi="Times New Roman" w:cs="Times New Roman"/>
                <w:sz w:val="20"/>
                <w:szCs w:val="20"/>
              </w:rPr>
              <w:t>Bīstamo ķīmisko vielu noplūde objektā</w:t>
            </w:r>
          </w:p>
          <w:p w14:paraId="683781F5" w14:textId="77777777" w:rsidR="00AF4286" w:rsidRDefault="00AF4286" w:rsidP="00AF428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naftas produktu cauruļvada transporta infrastruktūrā</w:t>
            </w:r>
          </w:p>
          <w:p w14:paraId="1A83D77F" w14:textId="77777777" w:rsidR="00AF4286" w:rsidRDefault="00AF4286" w:rsidP="00AF4286">
            <w:pPr>
              <w:spacing w:after="0" w:line="240" w:lineRule="auto"/>
              <w:rPr>
                <w:rFonts w:ascii="Times New Roman" w:hAnsi="Times New Roman" w:cs="Times New Roman"/>
                <w:sz w:val="20"/>
                <w:szCs w:val="20"/>
              </w:rPr>
            </w:pPr>
            <w:r w:rsidRPr="00CF267B">
              <w:rPr>
                <w:rFonts w:ascii="Times New Roman" w:hAnsi="Times New Roman" w:cs="Times New Roman"/>
                <w:sz w:val="20"/>
                <w:szCs w:val="20"/>
              </w:rPr>
              <w:t>Avārija dabasgāzes apgādes sistēmā</w:t>
            </w:r>
          </w:p>
          <w:p w14:paraId="47E9DF08" w14:textId="77777777" w:rsidR="00AF4286" w:rsidRDefault="00AF4286" w:rsidP="00AF428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Bīstamo ķīmisko vielu noplūde no kuģiem ...</w:t>
            </w:r>
          </w:p>
          <w:p w14:paraId="0E306F82" w14:textId="66715041" w:rsidR="00AF4286" w:rsidRPr="00C85731" w:rsidRDefault="00AF4286" w:rsidP="00AF4286">
            <w:pPr>
              <w:spacing w:after="0" w:line="240" w:lineRule="auto"/>
              <w:rPr>
                <w:rFonts w:ascii="Times New Roman" w:hAnsi="Times New Roman" w:cs="Times New Roman"/>
                <w:sz w:val="20"/>
                <w:szCs w:val="20"/>
              </w:rPr>
            </w:pPr>
            <w:r w:rsidRPr="004B0100">
              <w:rPr>
                <w:rFonts w:ascii="Times New Roman" w:hAnsi="Times New Roman" w:cs="Times New Roman"/>
                <w:sz w:val="20"/>
                <w:szCs w:val="20"/>
              </w:rPr>
              <w:t>Autotransporta avārija</w:t>
            </w:r>
          </w:p>
        </w:tc>
        <w:tc>
          <w:tcPr>
            <w:tcW w:w="1587" w:type="dxa"/>
          </w:tcPr>
          <w:p w14:paraId="23A37A55" w14:textId="4DCE4470" w:rsidR="00AF4286" w:rsidRPr="00C52CF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7BF1234F" w14:textId="7CB41556" w:rsidR="00AF4286" w:rsidRPr="00C85731" w:rsidRDefault="00AF4286" w:rsidP="00AF4286">
            <w:pPr>
              <w:spacing w:after="0" w:line="240" w:lineRule="auto"/>
              <w:jc w:val="center"/>
              <w:rPr>
                <w:rFonts w:ascii="Times New Roman" w:hAnsi="Times New Roman" w:cs="Times New Roman"/>
                <w:sz w:val="20"/>
                <w:szCs w:val="20"/>
              </w:rPr>
            </w:pPr>
            <w:r w:rsidRPr="00C52CF1">
              <w:rPr>
                <w:rFonts w:ascii="Times New Roman" w:hAnsi="Times New Roman" w:cs="Times New Roman"/>
                <w:sz w:val="20"/>
                <w:szCs w:val="20"/>
              </w:rPr>
              <w:t>2020.-2027.gads</w:t>
            </w:r>
          </w:p>
        </w:tc>
        <w:tc>
          <w:tcPr>
            <w:tcW w:w="1418" w:type="dxa"/>
            <w:shd w:val="clear" w:color="auto" w:fill="auto"/>
            <w:vAlign w:val="center"/>
          </w:tcPr>
          <w:p w14:paraId="73327616" w14:textId="4CE8426A"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559" w:type="dxa"/>
            <w:shd w:val="clear" w:color="auto" w:fill="auto"/>
            <w:vAlign w:val="center"/>
          </w:tcPr>
          <w:p w14:paraId="71E91C1B" w14:textId="589D3B44"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auto"/>
            <w:vAlign w:val="center"/>
          </w:tcPr>
          <w:p w14:paraId="16E82A3A" w14:textId="3EE29B78"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shd w:val="clear" w:color="auto" w:fill="auto"/>
            <w:vAlign w:val="center"/>
          </w:tcPr>
          <w:p w14:paraId="63A8B4A1" w14:textId="22F77952"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984" w:type="dxa"/>
            <w:vAlign w:val="center"/>
          </w:tcPr>
          <w:p w14:paraId="5A268237" w14:textId="4A6674A7" w:rsidR="00AF4286" w:rsidRPr="00C85731" w:rsidRDefault="00AF4286" w:rsidP="00AF4286">
            <w:pPr>
              <w:spacing w:after="0" w:line="240" w:lineRule="auto"/>
              <w:jc w:val="center"/>
              <w:rPr>
                <w:rFonts w:ascii="Times New Roman" w:hAnsi="Times New Roman" w:cs="Times New Roman"/>
                <w:sz w:val="20"/>
                <w:szCs w:val="20"/>
              </w:rPr>
            </w:pPr>
            <w:r w:rsidRPr="00200746">
              <w:rPr>
                <w:rFonts w:ascii="Times New Roman" w:hAnsi="Times New Roman" w:cs="Times New Roman"/>
                <w:sz w:val="20"/>
                <w:szCs w:val="20"/>
              </w:rPr>
              <w:t>Esošā budžeta ietvaros, ES fondi</w:t>
            </w:r>
          </w:p>
        </w:tc>
      </w:tr>
      <w:tr w:rsidR="00AF4286" w:rsidRPr="00045549" w14:paraId="6C838119" w14:textId="77777777" w:rsidTr="00326706">
        <w:tc>
          <w:tcPr>
            <w:tcW w:w="2836" w:type="dxa"/>
            <w:shd w:val="clear" w:color="auto" w:fill="auto"/>
            <w:vAlign w:val="center"/>
          </w:tcPr>
          <w:p w14:paraId="6DF57DEC" w14:textId="6E2FD134" w:rsidR="00AF4286" w:rsidRPr="00E12147" w:rsidRDefault="00AF4286" w:rsidP="00AF4286">
            <w:pPr>
              <w:spacing w:after="0" w:line="240" w:lineRule="auto"/>
              <w:jc w:val="both"/>
              <w:rPr>
                <w:rFonts w:ascii="Times New Roman" w:hAnsi="Times New Roman" w:cs="Times New Roman"/>
                <w:sz w:val="20"/>
                <w:szCs w:val="20"/>
              </w:rPr>
            </w:pPr>
            <w:r w:rsidRPr="00E1414B">
              <w:rPr>
                <w:rFonts w:ascii="Times New Roman" w:hAnsi="Times New Roman" w:cs="Times New Roman"/>
                <w:sz w:val="20"/>
                <w:szCs w:val="20"/>
              </w:rPr>
              <w:t xml:space="preserve">Valsts ugunsdzēsības un glābšanas dienesta, Neatliekamās medicīniskās palīdzības dienesta  speciālo ugunsdzēsības un glābšanas transportlīdzekļu, operatīvo medicīnisko transportlīdzekļu, </w:t>
            </w:r>
            <w:r>
              <w:rPr>
                <w:rFonts w:ascii="Times New Roman" w:hAnsi="Times New Roman" w:cs="Times New Roman"/>
                <w:sz w:val="20"/>
                <w:szCs w:val="20"/>
              </w:rPr>
              <w:t>speciālās tehnikas</w:t>
            </w:r>
            <w:r w:rsidRPr="00E1414B">
              <w:rPr>
                <w:rFonts w:ascii="Times New Roman" w:hAnsi="Times New Roman" w:cs="Times New Roman"/>
                <w:sz w:val="20"/>
                <w:szCs w:val="20"/>
              </w:rPr>
              <w:t xml:space="preserve"> un materiāltehnisko (aprīkojuma) iegāde un uzturēšana bioloģisko vielu</w:t>
            </w:r>
            <w:r>
              <w:rPr>
                <w:rFonts w:ascii="Times New Roman" w:hAnsi="Times New Roman" w:cs="Times New Roman"/>
                <w:sz w:val="20"/>
                <w:szCs w:val="20"/>
              </w:rPr>
              <w:t xml:space="preserve"> noplūdes seku likvidēšanai</w:t>
            </w:r>
            <w:r w:rsidRPr="00E1414B">
              <w:rPr>
                <w:rFonts w:ascii="Times New Roman" w:hAnsi="Times New Roman" w:cs="Times New Roman"/>
                <w:sz w:val="20"/>
                <w:szCs w:val="20"/>
              </w:rPr>
              <w:t xml:space="preserve"> (t.sk. notikuma vietas dezinfekcijas un dekontaminācijas veikšanai, laboratorijas aprīkojums klīnisko izmeklējumu veikšanai u.c.)</w:t>
            </w:r>
          </w:p>
        </w:tc>
        <w:tc>
          <w:tcPr>
            <w:tcW w:w="2551" w:type="dxa"/>
          </w:tcPr>
          <w:p w14:paraId="7DECCA3B" w14:textId="69C79F4A" w:rsidR="00AF4286" w:rsidRPr="00C85731" w:rsidRDefault="00AF4286" w:rsidP="00AF4286">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CF267B">
              <w:rPr>
                <w:rFonts w:ascii="Times New Roman" w:hAnsi="Times New Roman" w:cs="Times New Roman"/>
                <w:sz w:val="20"/>
                <w:szCs w:val="20"/>
              </w:rPr>
              <w:t>ioloģisko vielu negadījumi</w:t>
            </w:r>
          </w:p>
        </w:tc>
        <w:tc>
          <w:tcPr>
            <w:tcW w:w="1587" w:type="dxa"/>
          </w:tcPr>
          <w:p w14:paraId="6DEBDD24" w14:textId="7D245660" w:rsidR="00AF4286" w:rsidRPr="00CF267B"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14C34416" w14:textId="5198CC8B" w:rsidR="00AF4286" w:rsidRPr="00C85731" w:rsidRDefault="00AF4286" w:rsidP="00AF4286">
            <w:pPr>
              <w:spacing w:after="0" w:line="240" w:lineRule="auto"/>
              <w:jc w:val="center"/>
              <w:rPr>
                <w:rFonts w:ascii="Times New Roman" w:hAnsi="Times New Roman" w:cs="Times New Roman"/>
                <w:sz w:val="20"/>
                <w:szCs w:val="20"/>
              </w:rPr>
            </w:pPr>
            <w:r w:rsidRPr="00CF267B">
              <w:rPr>
                <w:rFonts w:ascii="Times New Roman" w:hAnsi="Times New Roman" w:cs="Times New Roman"/>
                <w:sz w:val="20"/>
                <w:szCs w:val="20"/>
              </w:rPr>
              <w:t>2020.-2027.gads</w:t>
            </w:r>
          </w:p>
        </w:tc>
        <w:tc>
          <w:tcPr>
            <w:tcW w:w="1418" w:type="dxa"/>
            <w:shd w:val="clear" w:color="auto" w:fill="auto"/>
            <w:vAlign w:val="center"/>
          </w:tcPr>
          <w:p w14:paraId="00173140" w14:textId="23A683AA"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shd w:val="clear" w:color="auto" w:fill="auto"/>
            <w:vAlign w:val="center"/>
          </w:tcPr>
          <w:p w14:paraId="14C90273" w14:textId="4615E115"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vAlign w:val="center"/>
          </w:tcPr>
          <w:p w14:paraId="7E6FB0F8" w14:textId="5068B1AD"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1DE5149F" w14:textId="5B752BE3"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854E935" w14:textId="5796118B" w:rsidR="00AF4286" w:rsidRPr="00C85731" w:rsidRDefault="00AF4286" w:rsidP="00AF4286">
            <w:pPr>
              <w:spacing w:after="0" w:line="240" w:lineRule="auto"/>
              <w:jc w:val="center"/>
              <w:rPr>
                <w:rFonts w:ascii="Times New Roman" w:hAnsi="Times New Roman" w:cs="Times New Roman"/>
                <w:sz w:val="20"/>
                <w:szCs w:val="20"/>
              </w:rPr>
            </w:pPr>
            <w:r w:rsidRPr="00200746">
              <w:rPr>
                <w:rFonts w:ascii="Times New Roman" w:hAnsi="Times New Roman" w:cs="Times New Roman"/>
                <w:sz w:val="20"/>
                <w:szCs w:val="20"/>
              </w:rPr>
              <w:t>Esošā budžeta ietvaros, ES fondi</w:t>
            </w:r>
          </w:p>
        </w:tc>
      </w:tr>
      <w:tr w:rsidR="00AF4286" w:rsidRPr="00045549" w14:paraId="233FA010" w14:textId="77777777" w:rsidTr="00326706">
        <w:tc>
          <w:tcPr>
            <w:tcW w:w="2836" w:type="dxa"/>
            <w:shd w:val="clear" w:color="auto" w:fill="auto"/>
            <w:vAlign w:val="center"/>
          </w:tcPr>
          <w:p w14:paraId="7DCAE268" w14:textId="13F7C9B7" w:rsidR="00AF4286" w:rsidRPr="00E12147" w:rsidRDefault="00AF4286" w:rsidP="00AF4286">
            <w:pPr>
              <w:spacing w:after="0" w:line="240" w:lineRule="auto"/>
              <w:jc w:val="both"/>
              <w:rPr>
                <w:rFonts w:ascii="Times New Roman" w:hAnsi="Times New Roman" w:cs="Times New Roman"/>
                <w:sz w:val="20"/>
                <w:szCs w:val="20"/>
              </w:rPr>
            </w:pPr>
            <w:r w:rsidRPr="00442FD4">
              <w:rPr>
                <w:rFonts w:ascii="Times New Roman" w:hAnsi="Times New Roman" w:cs="Times New Roman"/>
                <w:sz w:val="20"/>
                <w:szCs w:val="20"/>
              </w:rPr>
              <w:t xml:space="preserve">Sadales tīkla </w:t>
            </w:r>
            <w:proofErr w:type="spellStart"/>
            <w:r w:rsidRPr="00442FD4">
              <w:rPr>
                <w:rFonts w:ascii="Times New Roman" w:hAnsi="Times New Roman" w:cs="Times New Roman"/>
                <w:sz w:val="20"/>
                <w:szCs w:val="20"/>
              </w:rPr>
              <w:t>kailvadu</w:t>
            </w:r>
            <w:proofErr w:type="spellEnd"/>
            <w:r w:rsidRPr="00442FD4">
              <w:rPr>
                <w:rFonts w:ascii="Times New Roman" w:hAnsi="Times New Roman" w:cs="Times New Roman"/>
                <w:sz w:val="20"/>
                <w:szCs w:val="20"/>
              </w:rPr>
              <w:t xml:space="preserve"> gaisvadu elektrotīkla īpatsvara pakāpenisku samazināšana, veicot elektrolīniju un elektroietaišu pārbūvi </w:t>
            </w:r>
          </w:p>
        </w:tc>
        <w:tc>
          <w:tcPr>
            <w:tcW w:w="2551" w:type="dxa"/>
          </w:tcPr>
          <w:p w14:paraId="6B5CB826" w14:textId="7FEAD456" w:rsidR="00AF4286" w:rsidRPr="00C85731" w:rsidRDefault="00AF4286" w:rsidP="00AF4286">
            <w:pPr>
              <w:spacing w:after="0" w:line="240" w:lineRule="auto"/>
              <w:rPr>
                <w:rFonts w:ascii="Times New Roman" w:hAnsi="Times New Roman" w:cs="Times New Roman"/>
                <w:sz w:val="20"/>
                <w:szCs w:val="20"/>
              </w:rPr>
            </w:pPr>
            <w:r>
              <w:rPr>
                <w:rFonts w:ascii="Times New Roman" w:hAnsi="Times New Roman" w:cs="Times New Roman"/>
                <w:sz w:val="20"/>
                <w:szCs w:val="20"/>
              </w:rPr>
              <w:t>P</w:t>
            </w:r>
            <w:r w:rsidRPr="003619E8">
              <w:rPr>
                <w:rFonts w:ascii="Times New Roman" w:hAnsi="Times New Roman" w:cs="Times New Roman"/>
                <w:sz w:val="20"/>
                <w:szCs w:val="20"/>
              </w:rPr>
              <w:t>ārvades un sadales elektrotīklu bojājumi</w:t>
            </w:r>
          </w:p>
        </w:tc>
        <w:tc>
          <w:tcPr>
            <w:tcW w:w="1587" w:type="dxa"/>
          </w:tcPr>
          <w:p w14:paraId="7B8BBB06" w14:textId="76128AF8" w:rsidR="00AF4286" w:rsidRPr="003619E8"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01FC57E4" w14:textId="0C8F9675" w:rsidR="00AF4286" w:rsidRPr="00C85731" w:rsidRDefault="00AF4286" w:rsidP="00AF4286">
            <w:pPr>
              <w:spacing w:after="0" w:line="240" w:lineRule="auto"/>
              <w:jc w:val="center"/>
              <w:rPr>
                <w:rFonts w:ascii="Times New Roman" w:hAnsi="Times New Roman" w:cs="Times New Roman"/>
                <w:sz w:val="20"/>
                <w:szCs w:val="20"/>
              </w:rPr>
            </w:pPr>
            <w:r w:rsidRPr="003619E8">
              <w:rPr>
                <w:rFonts w:ascii="Times New Roman" w:hAnsi="Times New Roman" w:cs="Times New Roman"/>
                <w:sz w:val="20"/>
                <w:szCs w:val="20"/>
              </w:rPr>
              <w:t>Pastāvīgi</w:t>
            </w:r>
          </w:p>
        </w:tc>
        <w:tc>
          <w:tcPr>
            <w:tcW w:w="1418" w:type="dxa"/>
            <w:shd w:val="clear" w:color="auto" w:fill="auto"/>
            <w:vAlign w:val="center"/>
          </w:tcPr>
          <w:p w14:paraId="5F117A1F" w14:textId="52928997"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shd w:val="clear" w:color="auto" w:fill="auto"/>
            <w:vAlign w:val="center"/>
          </w:tcPr>
          <w:p w14:paraId="3C86DBE4" w14:textId="5AB53D4C"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vAlign w:val="center"/>
          </w:tcPr>
          <w:p w14:paraId="1CAE917F" w14:textId="75FD6579"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70107C8A" w14:textId="152ABD22"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386BE4E" w14:textId="0030AD0A"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Esošā budžeta ietvaros</w:t>
            </w:r>
          </w:p>
        </w:tc>
      </w:tr>
      <w:tr w:rsidR="00AF4286" w:rsidRPr="00045549" w14:paraId="31087ABB" w14:textId="77777777" w:rsidTr="00326706">
        <w:tc>
          <w:tcPr>
            <w:tcW w:w="2836" w:type="dxa"/>
            <w:shd w:val="clear" w:color="auto" w:fill="auto"/>
            <w:vAlign w:val="center"/>
          </w:tcPr>
          <w:p w14:paraId="67F9EE8D" w14:textId="0B46E395" w:rsidR="00AF4286" w:rsidRPr="00E12147" w:rsidRDefault="00AF4286" w:rsidP="00AF4286">
            <w:pPr>
              <w:spacing w:after="0" w:line="240" w:lineRule="auto"/>
              <w:jc w:val="both"/>
              <w:rPr>
                <w:rFonts w:ascii="Times New Roman" w:hAnsi="Times New Roman" w:cs="Times New Roman"/>
                <w:sz w:val="20"/>
                <w:szCs w:val="20"/>
              </w:rPr>
            </w:pPr>
            <w:r w:rsidRPr="00442FD4">
              <w:rPr>
                <w:rFonts w:ascii="Times New Roman" w:hAnsi="Times New Roman" w:cs="Times New Roman"/>
                <w:sz w:val="20"/>
                <w:szCs w:val="20"/>
              </w:rPr>
              <w:lastRenderedPageBreak/>
              <w:t xml:space="preserve">Pilnveidot elektrotīkla vadības un automatizācijas risinājumus (vienota </w:t>
            </w:r>
            <w:proofErr w:type="spellStart"/>
            <w:r w:rsidRPr="00442FD4">
              <w:rPr>
                <w:rFonts w:ascii="Times New Roman" w:hAnsi="Times New Roman" w:cs="Times New Roman"/>
                <w:sz w:val="20"/>
                <w:szCs w:val="20"/>
              </w:rPr>
              <w:t>dispečervadības</w:t>
            </w:r>
            <w:proofErr w:type="spellEnd"/>
            <w:r w:rsidRPr="00442FD4">
              <w:rPr>
                <w:rFonts w:ascii="Times New Roman" w:hAnsi="Times New Roman" w:cs="Times New Roman"/>
                <w:sz w:val="20"/>
                <w:szCs w:val="20"/>
              </w:rPr>
              <w:t xml:space="preserve"> sistēma, bojājumu vietas noteicēji, attālināti vadāmi jaudas slēdži un citu tehniski risinājumi)</w:t>
            </w:r>
          </w:p>
        </w:tc>
        <w:tc>
          <w:tcPr>
            <w:tcW w:w="2551" w:type="dxa"/>
          </w:tcPr>
          <w:p w14:paraId="7A41832F" w14:textId="198375FA" w:rsidR="00AF4286" w:rsidRPr="00C85731" w:rsidRDefault="00AF4286" w:rsidP="00AF4286">
            <w:pPr>
              <w:spacing w:after="0" w:line="240" w:lineRule="auto"/>
              <w:rPr>
                <w:rFonts w:ascii="Times New Roman" w:hAnsi="Times New Roman" w:cs="Times New Roman"/>
                <w:sz w:val="20"/>
                <w:szCs w:val="20"/>
              </w:rPr>
            </w:pPr>
            <w:r>
              <w:rPr>
                <w:rFonts w:ascii="Times New Roman" w:hAnsi="Times New Roman" w:cs="Times New Roman"/>
                <w:sz w:val="20"/>
                <w:szCs w:val="20"/>
              </w:rPr>
              <w:t>P</w:t>
            </w:r>
            <w:r w:rsidRPr="003619E8">
              <w:rPr>
                <w:rFonts w:ascii="Times New Roman" w:hAnsi="Times New Roman" w:cs="Times New Roman"/>
                <w:sz w:val="20"/>
                <w:szCs w:val="20"/>
              </w:rPr>
              <w:t>ārvades un sadales elektrotīklu bojājumi</w:t>
            </w:r>
          </w:p>
        </w:tc>
        <w:tc>
          <w:tcPr>
            <w:tcW w:w="1587" w:type="dxa"/>
          </w:tcPr>
          <w:p w14:paraId="2FF6AC6B" w14:textId="406A5417" w:rsidR="00AF4286" w:rsidRPr="003619E8"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3468B745" w14:textId="3A92E20C" w:rsidR="00AF4286" w:rsidRPr="00C85731" w:rsidRDefault="00AF4286" w:rsidP="00AF4286">
            <w:pPr>
              <w:spacing w:after="0" w:line="240" w:lineRule="auto"/>
              <w:jc w:val="center"/>
              <w:rPr>
                <w:rFonts w:ascii="Times New Roman" w:hAnsi="Times New Roman" w:cs="Times New Roman"/>
                <w:sz w:val="20"/>
                <w:szCs w:val="20"/>
              </w:rPr>
            </w:pPr>
            <w:r w:rsidRPr="003619E8">
              <w:rPr>
                <w:rFonts w:ascii="Times New Roman" w:hAnsi="Times New Roman" w:cs="Times New Roman"/>
                <w:sz w:val="20"/>
                <w:szCs w:val="20"/>
              </w:rPr>
              <w:t>Pastāvīgi</w:t>
            </w:r>
          </w:p>
        </w:tc>
        <w:tc>
          <w:tcPr>
            <w:tcW w:w="1418" w:type="dxa"/>
            <w:shd w:val="clear" w:color="auto" w:fill="auto"/>
            <w:vAlign w:val="center"/>
          </w:tcPr>
          <w:p w14:paraId="3E52892D" w14:textId="63FF1CB2"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shd w:val="clear" w:color="auto" w:fill="auto"/>
            <w:vAlign w:val="center"/>
          </w:tcPr>
          <w:p w14:paraId="7F655AC9" w14:textId="4CFCD4D2"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vAlign w:val="center"/>
          </w:tcPr>
          <w:p w14:paraId="6E58D03F" w14:textId="1A7D554E"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vAlign w:val="center"/>
          </w:tcPr>
          <w:p w14:paraId="6039EB35" w14:textId="553E6315"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90146DE" w14:textId="34C7B3D2" w:rsidR="00AF4286" w:rsidRPr="00C85731" w:rsidRDefault="00AF4286" w:rsidP="00AF4286">
            <w:pPr>
              <w:spacing w:after="0" w:line="240" w:lineRule="auto"/>
              <w:jc w:val="center"/>
              <w:rPr>
                <w:rFonts w:ascii="Times New Roman" w:hAnsi="Times New Roman" w:cs="Times New Roman"/>
                <w:sz w:val="20"/>
                <w:szCs w:val="20"/>
              </w:rPr>
            </w:pPr>
            <w:r w:rsidRPr="00200746">
              <w:rPr>
                <w:rFonts w:ascii="Times New Roman" w:hAnsi="Times New Roman" w:cs="Times New Roman"/>
                <w:sz w:val="20"/>
                <w:szCs w:val="20"/>
              </w:rPr>
              <w:t>Esošā budžeta ietvaros</w:t>
            </w:r>
          </w:p>
        </w:tc>
      </w:tr>
      <w:tr w:rsidR="00AF4286" w:rsidRPr="00045549" w14:paraId="7C6DA7BF" w14:textId="77777777" w:rsidTr="00326706">
        <w:tc>
          <w:tcPr>
            <w:tcW w:w="2836" w:type="dxa"/>
            <w:shd w:val="clear" w:color="auto" w:fill="auto"/>
            <w:vAlign w:val="center"/>
          </w:tcPr>
          <w:p w14:paraId="300FC65B" w14:textId="07440DAA" w:rsidR="00AF4286" w:rsidRPr="00442FD4" w:rsidRDefault="00AF4286" w:rsidP="00AF428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Valsts drošības dienesta, Valsts policijas </w:t>
            </w:r>
            <w:r w:rsidRPr="00C52CF1">
              <w:rPr>
                <w:rFonts w:ascii="Times New Roman" w:hAnsi="Times New Roman" w:cs="Times New Roman"/>
                <w:sz w:val="20"/>
                <w:szCs w:val="20"/>
              </w:rPr>
              <w:t xml:space="preserve">speciālo transportlīdzekļu, </w:t>
            </w:r>
            <w:r>
              <w:rPr>
                <w:rFonts w:ascii="Times New Roman" w:hAnsi="Times New Roman" w:cs="Times New Roman"/>
                <w:sz w:val="20"/>
                <w:szCs w:val="20"/>
              </w:rPr>
              <w:t>speciālās tehnikas</w:t>
            </w:r>
            <w:r w:rsidRPr="00C52CF1">
              <w:rPr>
                <w:rFonts w:ascii="Times New Roman" w:hAnsi="Times New Roman" w:cs="Times New Roman"/>
                <w:sz w:val="20"/>
                <w:szCs w:val="20"/>
              </w:rPr>
              <w:t xml:space="preserve"> un materiāltehnisko (aprīkojuma) iegāde un uzturēšana</w:t>
            </w:r>
          </w:p>
        </w:tc>
        <w:tc>
          <w:tcPr>
            <w:tcW w:w="2551" w:type="dxa"/>
          </w:tcPr>
          <w:p w14:paraId="68396A4C" w14:textId="14C2D220" w:rsidR="00AF4286" w:rsidRPr="00C85731" w:rsidRDefault="00AF4286" w:rsidP="00AF4286">
            <w:pPr>
              <w:spacing w:after="0" w:line="240" w:lineRule="auto"/>
              <w:rPr>
                <w:rFonts w:ascii="Times New Roman" w:hAnsi="Times New Roman" w:cs="Times New Roman"/>
                <w:sz w:val="20"/>
                <w:szCs w:val="20"/>
              </w:rPr>
            </w:pPr>
            <w:r>
              <w:rPr>
                <w:rFonts w:ascii="Times New Roman" w:hAnsi="Times New Roman" w:cs="Times New Roman"/>
                <w:sz w:val="20"/>
                <w:szCs w:val="20"/>
              </w:rPr>
              <w:t>Terora akti</w:t>
            </w:r>
          </w:p>
        </w:tc>
        <w:tc>
          <w:tcPr>
            <w:tcW w:w="1587" w:type="dxa"/>
          </w:tcPr>
          <w:p w14:paraId="56E6E8C8" w14:textId="4A28C3E8" w:rsidR="00AF4286" w:rsidRPr="00C52CF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60EC6203" w14:textId="25415858" w:rsidR="00AF4286" w:rsidRPr="00C85731" w:rsidRDefault="00AF4286" w:rsidP="00AF4286">
            <w:pPr>
              <w:spacing w:after="0" w:line="240" w:lineRule="auto"/>
              <w:jc w:val="center"/>
              <w:rPr>
                <w:rFonts w:ascii="Times New Roman" w:hAnsi="Times New Roman" w:cs="Times New Roman"/>
                <w:sz w:val="20"/>
                <w:szCs w:val="20"/>
              </w:rPr>
            </w:pPr>
            <w:r w:rsidRPr="00C52CF1">
              <w:rPr>
                <w:rFonts w:ascii="Times New Roman" w:hAnsi="Times New Roman" w:cs="Times New Roman"/>
                <w:sz w:val="20"/>
                <w:szCs w:val="20"/>
              </w:rPr>
              <w:t>2020.-2027.gads</w:t>
            </w:r>
          </w:p>
        </w:tc>
        <w:tc>
          <w:tcPr>
            <w:tcW w:w="1418" w:type="dxa"/>
            <w:shd w:val="clear" w:color="auto" w:fill="auto"/>
          </w:tcPr>
          <w:p w14:paraId="7DAFCC42" w14:textId="44ADD845"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shd w:val="clear" w:color="auto" w:fill="auto"/>
          </w:tcPr>
          <w:p w14:paraId="5C3BFA55" w14:textId="5C4EA036"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tcPr>
          <w:p w14:paraId="03FF808D" w14:textId="043324BC"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tcPr>
          <w:p w14:paraId="7BF34363" w14:textId="72DBCFFB"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Pr>
          <w:p w14:paraId="3E6D2693" w14:textId="4D69C066" w:rsidR="00AF4286" w:rsidRPr="00C85731" w:rsidRDefault="00AF4286" w:rsidP="00AF4286">
            <w:pPr>
              <w:spacing w:after="0" w:line="240" w:lineRule="auto"/>
              <w:jc w:val="center"/>
              <w:rPr>
                <w:rFonts w:ascii="Times New Roman" w:hAnsi="Times New Roman" w:cs="Times New Roman"/>
                <w:sz w:val="20"/>
                <w:szCs w:val="20"/>
              </w:rPr>
            </w:pPr>
            <w:r w:rsidRPr="00246370">
              <w:rPr>
                <w:rFonts w:ascii="Times New Roman" w:hAnsi="Times New Roman" w:cs="Times New Roman"/>
                <w:sz w:val="20"/>
                <w:szCs w:val="20"/>
              </w:rPr>
              <w:t>Esošā budžeta ietvaros, ES fondi, piesaistot papildus finansējumu</w:t>
            </w:r>
          </w:p>
        </w:tc>
      </w:tr>
      <w:tr w:rsidR="00AF4286" w:rsidRPr="00045549" w14:paraId="05D3D3EB" w14:textId="77777777" w:rsidTr="00326706">
        <w:tc>
          <w:tcPr>
            <w:tcW w:w="2836" w:type="dxa"/>
            <w:shd w:val="clear" w:color="auto" w:fill="auto"/>
          </w:tcPr>
          <w:p w14:paraId="5E9873E4" w14:textId="745954E6" w:rsidR="00AF4286" w:rsidRPr="00442FD4" w:rsidRDefault="00AF4286" w:rsidP="00AF4286">
            <w:pPr>
              <w:spacing w:after="0" w:line="240" w:lineRule="auto"/>
              <w:jc w:val="both"/>
              <w:rPr>
                <w:rFonts w:ascii="Times New Roman" w:hAnsi="Times New Roman" w:cs="Times New Roman"/>
                <w:sz w:val="20"/>
                <w:szCs w:val="20"/>
              </w:rPr>
            </w:pPr>
            <w:r w:rsidRPr="00334904">
              <w:rPr>
                <w:rFonts w:ascii="Times New Roman" w:hAnsi="Times New Roman" w:cs="Times New Roman"/>
                <w:sz w:val="20"/>
                <w:szCs w:val="20"/>
              </w:rPr>
              <w:t>Valsts drošība</w:t>
            </w:r>
            <w:r>
              <w:rPr>
                <w:rFonts w:ascii="Times New Roman" w:hAnsi="Times New Roman" w:cs="Times New Roman"/>
                <w:sz w:val="20"/>
                <w:szCs w:val="20"/>
              </w:rPr>
              <w:t xml:space="preserve">s dienesta, Valsts policijas </w:t>
            </w:r>
            <w:r w:rsidRPr="00334904">
              <w:rPr>
                <w:rFonts w:ascii="Times New Roman" w:hAnsi="Times New Roman" w:cs="Times New Roman"/>
                <w:sz w:val="20"/>
                <w:szCs w:val="20"/>
              </w:rPr>
              <w:t>struktūrvienību tīklu būvniecība, renovācija un rekonstrukcija</w:t>
            </w:r>
          </w:p>
        </w:tc>
        <w:tc>
          <w:tcPr>
            <w:tcW w:w="2551" w:type="dxa"/>
          </w:tcPr>
          <w:p w14:paraId="19A2C7C6" w14:textId="57D1581E" w:rsidR="00AF4286" w:rsidRPr="00C85731" w:rsidRDefault="00AF4286" w:rsidP="00AF4286">
            <w:pPr>
              <w:spacing w:after="0" w:line="240" w:lineRule="auto"/>
              <w:rPr>
                <w:rFonts w:ascii="Times New Roman" w:hAnsi="Times New Roman" w:cs="Times New Roman"/>
                <w:sz w:val="20"/>
                <w:szCs w:val="20"/>
              </w:rPr>
            </w:pPr>
            <w:r>
              <w:rPr>
                <w:rFonts w:ascii="Times New Roman" w:hAnsi="Times New Roman" w:cs="Times New Roman"/>
                <w:sz w:val="20"/>
                <w:szCs w:val="20"/>
              </w:rPr>
              <w:t>Terora akti</w:t>
            </w:r>
          </w:p>
        </w:tc>
        <w:tc>
          <w:tcPr>
            <w:tcW w:w="1587" w:type="dxa"/>
          </w:tcPr>
          <w:p w14:paraId="221DA3EC" w14:textId="18F0750C" w:rsidR="00AF4286" w:rsidRPr="00C52CF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Atbilstoši apdraudējumam plānā norādītā institūcija</w:t>
            </w:r>
          </w:p>
        </w:tc>
        <w:tc>
          <w:tcPr>
            <w:tcW w:w="1106" w:type="dxa"/>
          </w:tcPr>
          <w:p w14:paraId="291132A7" w14:textId="737D1F10" w:rsidR="00AF4286" w:rsidRPr="00C85731" w:rsidRDefault="00AF4286" w:rsidP="00AF4286">
            <w:pPr>
              <w:spacing w:after="0" w:line="240" w:lineRule="auto"/>
              <w:jc w:val="center"/>
              <w:rPr>
                <w:rFonts w:ascii="Times New Roman" w:hAnsi="Times New Roman" w:cs="Times New Roman"/>
                <w:sz w:val="20"/>
                <w:szCs w:val="20"/>
              </w:rPr>
            </w:pPr>
            <w:r w:rsidRPr="00C52CF1">
              <w:rPr>
                <w:rFonts w:ascii="Times New Roman" w:hAnsi="Times New Roman" w:cs="Times New Roman"/>
                <w:sz w:val="20"/>
                <w:szCs w:val="20"/>
              </w:rPr>
              <w:t>2020.-2027.gads</w:t>
            </w:r>
          </w:p>
        </w:tc>
        <w:tc>
          <w:tcPr>
            <w:tcW w:w="1418" w:type="dxa"/>
            <w:shd w:val="clear" w:color="auto" w:fill="auto"/>
          </w:tcPr>
          <w:p w14:paraId="14D6B785" w14:textId="2540DEBE"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shd w:val="clear" w:color="auto" w:fill="auto"/>
          </w:tcPr>
          <w:p w14:paraId="0C4B32D3" w14:textId="4F652CF4"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auto"/>
          </w:tcPr>
          <w:p w14:paraId="3BE98366" w14:textId="3914ED2E"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shd w:val="clear" w:color="auto" w:fill="auto"/>
          </w:tcPr>
          <w:p w14:paraId="0862A31F" w14:textId="75C6BAF4" w:rsidR="00AF4286" w:rsidRPr="00C85731" w:rsidRDefault="00AF4286" w:rsidP="00AF42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Pr>
          <w:p w14:paraId="4B187F2E" w14:textId="6312FDE0" w:rsidR="00AF4286" w:rsidRPr="00C85731" w:rsidRDefault="00AF4286" w:rsidP="00AF4286">
            <w:pPr>
              <w:spacing w:after="0" w:line="240" w:lineRule="auto"/>
              <w:jc w:val="center"/>
              <w:rPr>
                <w:rFonts w:ascii="Times New Roman" w:hAnsi="Times New Roman" w:cs="Times New Roman"/>
                <w:sz w:val="20"/>
                <w:szCs w:val="20"/>
              </w:rPr>
            </w:pPr>
            <w:r w:rsidRPr="00246370">
              <w:rPr>
                <w:rFonts w:ascii="Times New Roman" w:hAnsi="Times New Roman" w:cs="Times New Roman"/>
                <w:sz w:val="20"/>
                <w:szCs w:val="20"/>
              </w:rPr>
              <w:t>Esošā budžeta ietvaros, ES fondi, piesaistot papildus finansējumu</w:t>
            </w:r>
          </w:p>
        </w:tc>
      </w:tr>
    </w:tbl>
    <w:p w14:paraId="307A9899" w14:textId="77777777" w:rsidR="004D4BEA" w:rsidRPr="00D12471" w:rsidRDefault="004D4BEA" w:rsidP="004D4BEA">
      <w:pPr>
        <w:spacing w:after="0" w:line="240" w:lineRule="auto"/>
        <w:jc w:val="both"/>
        <w:rPr>
          <w:rFonts w:ascii="Times New Roman" w:eastAsia="Times New Roman" w:hAnsi="Times New Roman" w:cs="Times New Roman"/>
          <w:sz w:val="28"/>
          <w:szCs w:val="28"/>
          <w:lang w:eastAsia="lv-LV"/>
        </w:rPr>
      </w:pPr>
    </w:p>
    <w:p w14:paraId="50EDEA50" w14:textId="77777777" w:rsidR="00D807E2" w:rsidRDefault="00D807E2" w:rsidP="00D12471">
      <w:pPr>
        <w:pStyle w:val="Body"/>
        <w:tabs>
          <w:tab w:val="left" w:pos="7230"/>
        </w:tabs>
        <w:spacing w:after="0" w:line="240" w:lineRule="auto"/>
        <w:ind w:firstLine="709"/>
        <w:jc w:val="both"/>
        <w:rPr>
          <w:rFonts w:ascii="Times New Roman" w:hAnsi="Times New Roman"/>
          <w:color w:val="auto"/>
          <w:sz w:val="28"/>
          <w:lang w:val="de-DE"/>
        </w:rPr>
      </w:pPr>
    </w:p>
    <w:p w14:paraId="5CD3A332" w14:textId="77777777" w:rsidR="00D807E2" w:rsidRDefault="00D807E2" w:rsidP="00D12471">
      <w:pPr>
        <w:pStyle w:val="Body"/>
        <w:tabs>
          <w:tab w:val="left" w:pos="7230"/>
        </w:tabs>
        <w:spacing w:after="0" w:line="240" w:lineRule="auto"/>
        <w:ind w:firstLine="709"/>
        <w:jc w:val="both"/>
        <w:rPr>
          <w:rFonts w:ascii="Times New Roman" w:hAnsi="Times New Roman"/>
          <w:color w:val="auto"/>
          <w:sz w:val="28"/>
          <w:lang w:val="de-DE"/>
        </w:rPr>
      </w:pPr>
    </w:p>
    <w:p w14:paraId="31F9932A" w14:textId="77777777" w:rsidR="00D807E2" w:rsidRDefault="00D807E2" w:rsidP="00D12471">
      <w:pPr>
        <w:pStyle w:val="Body"/>
        <w:tabs>
          <w:tab w:val="left" w:pos="7230"/>
        </w:tabs>
        <w:spacing w:after="0" w:line="240" w:lineRule="auto"/>
        <w:ind w:firstLine="709"/>
        <w:jc w:val="both"/>
        <w:rPr>
          <w:rFonts w:ascii="Times New Roman" w:hAnsi="Times New Roman"/>
          <w:color w:val="auto"/>
          <w:sz w:val="28"/>
          <w:lang w:val="de-DE"/>
        </w:rPr>
      </w:pPr>
    </w:p>
    <w:p w14:paraId="445C8830" w14:textId="77777777" w:rsidR="00FE052D" w:rsidRPr="00FE052D" w:rsidRDefault="00FE052D" w:rsidP="00FE052D">
      <w:pPr>
        <w:pStyle w:val="Body"/>
        <w:tabs>
          <w:tab w:val="left" w:pos="7230"/>
        </w:tabs>
        <w:spacing w:after="0" w:line="240" w:lineRule="auto"/>
        <w:ind w:firstLine="709"/>
        <w:jc w:val="both"/>
        <w:rPr>
          <w:rFonts w:ascii="Times New Roman" w:hAnsi="Times New Roman"/>
          <w:color w:val="auto"/>
          <w:sz w:val="28"/>
          <w:lang w:val="de-DE"/>
        </w:rPr>
      </w:pPr>
      <w:r w:rsidRPr="00FE052D">
        <w:rPr>
          <w:rFonts w:ascii="Times New Roman" w:hAnsi="Times New Roman"/>
          <w:color w:val="auto"/>
          <w:sz w:val="28"/>
          <w:lang w:val="de-DE"/>
        </w:rPr>
        <w:t>Ministru prezidents</w:t>
      </w:r>
      <w:r w:rsidRPr="00FE052D">
        <w:rPr>
          <w:rFonts w:ascii="Times New Roman" w:hAnsi="Times New Roman"/>
          <w:color w:val="auto"/>
          <w:sz w:val="28"/>
          <w:lang w:val="de-DE"/>
        </w:rPr>
        <w:tab/>
        <w:t xml:space="preserve">   </w:t>
      </w:r>
      <w:r w:rsidRPr="00FE052D">
        <w:rPr>
          <w:rFonts w:ascii="Times New Roman" w:hAnsi="Times New Roman"/>
          <w:color w:val="auto"/>
          <w:sz w:val="28"/>
          <w:lang w:val="de-DE"/>
        </w:rPr>
        <w:tab/>
      </w:r>
      <w:r w:rsidRPr="00FE052D">
        <w:rPr>
          <w:rFonts w:ascii="Times New Roman" w:hAnsi="Times New Roman"/>
          <w:color w:val="auto"/>
          <w:sz w:val="28"/>
          <w:lang w:val="de-DE"/>
        </w:rPr>
        <w:tab/>
      </w:r>
      <w:r w:rsidRPr="00FE052D">
        <w:rPr>
          <w:rFonts w:ascii="Times New Roman" w:hAnsi="Times New Roman"/>
          <w:color w:val="auto"/>
          <w:sz w:val="28"/>
          <w:lang w:val="de-DE"/>
        </w:rPr>
        <w:tab/>
        <w:t xml:space="preserve">         Arturs Krišjānis Kariņš</w:t>
      </w:r>
    </w:p>
    <w:p w14:paraId="2CE16FD5" w14:textId="77777777" w:rsidR="00FE052D" w:rsidRPr="00FE052D" w:rsidRDefault="00FE052D" w:rsidP="00FE052D">
      <w:pPr>
        <w:pStyle w:val="Body"/>
        <w:tabs>
          <w:tab w:val="left" w:pos="7230"/>
        </w:tabs>
        <w:spacing w:after="0" w:line="240" w:lineRule="auto"/>
        <w:ind w:firstLine="709"/>
        <w:jc w:val="both"/>
        <w:rPr>
          <w:rFonts w:ascii="Times New Roman" w:hAnsi="Times New Roman"/>
          <w:color w:val="auto"/>
          <w:sz w:val="28"/>
          <w:lang w:val="de-DE"/>
        </w:rPr>
      </w:pPr>
    </w:p>
    <w:p w14:paraId="5F8C026A" w14:textId="77777777" w:rsidR="00FE052D" w:rsidRPr="00FE052D" w:rsidRDefault="00FE052D" w:rsidP="00FE052D">
      <w:pPr>
        <w:pStyle w:val="Body"/>
        <w:tabs>
          <w:tab w:val="left" w:pos="7230"/>
        </w:tabs>
        <w:spacing w:after="0" w:line="240" w:lineRule="auto"/>
        <w:ind w:firstLine="709"/>
        <w:jc w:val="both"/>
        <w:rPr>
          <w:rFonts w:ascii="Times New Roman" w:hAnsi="Times New Roman"/>
          <w:color w:val="auto"/>
          <w:sz w:val="28"/>
          <w:lang w:val="de-DE"/>
        </w:rPr>
      </w:pPr>
    </w:p>
    <w:p w14:paraId="194573A7" w14:textId="278D5ED0" w:rsidR="00FE052D" w:rsidRPr="00FE052D" w:rsidRDefault="00FE052D" w:rsidP="00FE052D">
      <w:pPr>
        <w:pStyle w:val="Body"/>
        <w:tabs>
          <w:tab w:val="left" w:pos="7230"/>
        </w:tabs>
        <w:spacing w:after="0" w:line="240" w:lineRule="auto"/>
        <w:ind w:firstLine="709"/>
        <w:jc w:val="both"/>
        <w:rPr>
          <w:rFonts w:ascii="Times New Roman" w:hAnsi="Times New Roman"/>
          <w:color w:val="auto"/>
          <w:sz w:val="28"/>
          <w:lang w:val="de-DE"/>
        </w:rPr>
      </w:pPr>
      <w:r w:rsidRPr="00FE052D">
        <w:rPr>
          <w:rFonts w:ascii="Times New Roman" w:hAnsi="Times New Roman"/>
          <w:color w:val="auto"/>
          <w:sz w:val="28"/>
          <w:lang w:val="de-DE"/>
        </w:rPr>
        <w:t xml:space="preserve">Iekšlietu ministrs </w:t>
      </w:r>
      <w:r w:rsidRPr="00FE052D">
        <w:rPr>
          <w:rFonts w:ascii="Times New Roman" w:hAnsi="Times New Roman"/>
          <w:color w:val="auto"/>
          <w:sz w:val="28"/>
          <w:lang w:val="de-DE"/>
        </w:rPr>
        <w:tab/>
      </w:r>
      <w:r w:rsidRPr="00FE052D">
        <w:rPr>
          <w:rFonts w:ascii="Times New Roman" w:hAnsi="Times New Roman"/>
          <w:color w:val="auto"/>
          <w:sz w:val="28"/>
          <w:lang w:val="de-DE"/>
        </w:rPr>
        <w:tab/>
      </w:r>
      <w:r w:rsidRPr="00FE052D">
        <w:rPr>
          <w:rFonts w:ascii="Times New Roman" w:hAnsi="Times New Roman"/>
          <w:color w:val="auto"/>
          <w:sz w:val="28"/>
          <w:lang w:val="de-DE"/>
        </w:rPr>
        <w:tab/>
        <w:t xml:space="preserve">  </w:t>
      </w:r>
      <w:r w:rsidRPr="00FE052D">
        <w:rPr>
          <w:rFonts w:ascii="Times New Roman" w:hAnsi="Times New Roman"/>
          <w:color w:val="auto"/>
          <w:sz w:val="28"/>
          <w:lang w:val="de-DE"/>
        </w:rPr>
        <w:tab/>
      </w:r>
      <w:r w:rsidRPr="00FE052D">
        <w:rPr>
          <w:rFonts w:ascii="Times New Roman" w:hAnsi="Times New Roman"/>
          <w:color w:val="auto"/>
          <w:sz w:val="28"/>
          <w:lang w:val="de-DE"/>
        </w:rPr>
        <w:tab/>
        <w:t>Sandis Ģirģens</w:t>
      </w:r>
    </w:p>
    <w:p w14:paraId="18728AAA" w14:textId="77777777" w:rsidR="00FE052D" w:rsidRPr="00FE052D" w:rsidRDefault="00FE052D" w:rsidP="00FE052D">
      <w:pPr>
        <w:pStyle w:val="Body"/>
        <w:tabs>
          <w:tab w:val="left" w:pos="7230"/>
        </w:tabs>
        <w:spacing w:after="0" w:line="240" w:lineRule="auto"/>
        <w:ind w:firstLine="709"/>
        <w:jc w:val="both"/>
        <w:rPr>
          <w:rFonts w:ascii="Times New Roman" w:hAnsi="Times New Roman"/>
          <w:color w:val="auto"/>
          <w:sz w:val="28"/>
          <w:lang w:val="de-DE"/>
        </w:rPr>
      </w:pPr>
    </w:p>
    <w:p w14:paraId="7D3E49AF" w14:textId="77777777" w:rsidR="00FE052D" w:rsidRPr="00FE052D" w:rsidRDefault="00FE052D" w:rsidP="00FE052D">
      <w:pPr>
        <w:pStyle w:val="Body"/>
        <w:tabs>
          <w:tab w:val="left" w:pos="7230"/>
        </w:tabs>
        <w:spacing w:after="0" w:line="240" w:lineRule="auto"/>
        <w:ind w:firstLine="709"/>
        <w:jc w:val="both"/>
        <w:rPr>
          <w:rFonts w:ascii="Times New Roman" w:hAnsi="Times New Roman"/>
          <w:color w:val="auto"/>
          <w:sz w:val="28"/>
          <w:lang w:val="de-DE"/>
        </w:rPr>
      </w:pPr>
    </w:p>
    <w:p w14:paraId="599DCC0A" w14:textId="106DE968" w:rsidR="00FE052D" w:rsidRPr="00FE052D" w:rsidRDefault="00FE052D" w:rsidP="00FE052D">
      <w:pPr>
        <w:pStyle w:val="Body"/>
        <w:tabs>
          <w:tab w:val="left" w:pos="7230"/>
        </w:tabs>
        <w:spacing w:after="0" w:line="240" w:lineRule="auto"/>
        <w:ind w:firstLine="709"/>
        <w:jc w:val="both"/>
        <w:rPr>
          <w:rFonts w:ascii="Times New Roman" w:hAnsi="Times New Roman"/>
          <w:color w:val="auto"/>
          <w:sz w:val="28"/>
          <w:lang w:val="de-DE"/>
        </w:rPr>
      </w:pPr>
      <w:r w:rsidRPr="00FE052D">
        <w:rPr>
          <w:rFonts w:ascii="Times New Roman" w:hAnsi="Times New Roman"/>
          <w:color w:val="auto"/>
          <w:sz w:val="28"/>
          <w:lang w:val="de-DE"/>
        </w:rPr>
        <w:t>Iesniedzējs: Iekšlietu ministrs</w:t>
      </w:r>
      <w:r w:rsidRPr="00FE052D">
        <w:rPr>
          <w:rFonts w:ascii="Times New Roman" w:hAnsi="Times New Roman"/>
          <w:color w:val="auto"/>
          <w:sz w:val="28"/>
          <w:lang w:val="de-DE"/>
        </w:rPr>
        <w:tab/>
        <w:t xml:space="preserve">     </w:t>
      </w:r>
      <w:r w:rsidRPr="00FE052D">
        <w:rPr>
          <w:rFonts w:ascii="Times New Roman" w:hAnsi="Times New Roman"/>
          <w:color w:val="auto"/>
          <w:sz w:val="28"/>
          <w:lang w:val="de-DE"/>
        </w:rPr>
        <w:tab/>
        <w:t xml:space="preserve">  </w:t>
      </w:r>
      <w:r w:rsidRPr="00FE052D">
        <w:rPr>
          <w:rFonts w:ascii="Times New Roman" w:hAnsi="Times New Roman"/>
          <w:color w:val="auto"/>
          <w:sz w:val="28"/>
          <w:lang w:val="de-DE"/>
        </w:rPr>
        <w:tab/>
      </w:r>
      <w:r w:rsidRPr="00FE052D">
        <w:rPr>
          <w:rFonts w:ascii="Times New Roman" w:hAnsi="Times New Roman"/>
          <w:color w:val="auto"/>
          <w:sz w:val="28"/>
          <w:lang w:val="de-DE"/>
        </w:rPr>
        <w:tab/>
      </w:r>
      <w:r w:rsidRPr="00FE052D">
        <w:rPr>
          <w:rFonts w:ascii="Times New Roman" w:hAnsi="Times New Roman"/>
          <w:color w:val="auto"/>
          <w:sz w:val="28"/>
          <w:lang w:val="de-DE"/>
        </w:rPr>
        <w:tab/>
        <w:t>Sandis Ģirģens</w:t>
      </w:r>
    </w:p>
    <w:p w14:paraId="15A97314" w14:textId="77777777" w:rsidR="00FE052D" w:rsidRPr="00FE052D" w:rsidRDefault="00FE052D" w:rsidP="00FE052D">
      <w:pPr>
        <w:pStyle w:val="Body"/>
        <w:tabs>
          <w:tab w:val="left" w:pos="7230"/>
        </w:tabs>
        <w:spacing w:after="0" w:line="240" w:lineRule="auto"/>
        <w:ind w:firstLine="709"/>
        <w:jc w:val="both"/>
        <w:rPr>
          <w:rFonts w:ascii="Times New Roman" w:hAnsi="Times New Roman"/>
          <w:color w:val="auto"/>
          <w:sz w:val="28"/>
          <w:lang w:val="de-DE"/>
        </w:rPr>
      </w:pPr>
    </w:p>
    <w:p w14:paraId="20B078C5" w14:textId="651A9680" w:rsidR="00FE052D" w:rsidRPr="00FE052D" w:rsidRDefault="00FE052D" w:rsidP="00FE052D">
      <w:pPr>
        <w:pStyle w:val="Body"/>
        <w:tabs>
          <w:tab w:val="left" w:pos="7230"/>
        </w:tabs>
        <w:spacing w:after="0" w:line="240" w:lineRule="auto"/>
        <w:ind w:firstLine="709"/>
        <w:jc w:val="both"/>
        <w:rPr>
          <w:rFonts w:ascii="Times New Roman" w:hAnsi="Times New Roman"/>
          <w:color w:val="auto"/>
          <w:sz w:val="28"/>
          <w:lang w:val="de-DE"/>
        </w:rPr>
      </w:pPr>
      <w:r w:rsidRPr="00FE052D">
        <w:rPr>
          <w:rFonts w:ascii="Times New Roman" w:hAnsi="Times New Roman"/>
          <w:color w:val="auto"/>
          <w:sz w:val="28"/>
          <w:lang w:val="de-DE"/>
        </w:rPr>
        <w:t>Vīza: Valsts sekretārs</w:t>
      </w:r>
      <w:r w:rsidRPr="00FE052D">
        <w:rPr>
          <w:rFonts w:ascii="Times New Roman" w:hAnsi="Times New Roman"/>
          <w:color w:val="auto"/>
          <w:sz w:val="28"/>
          <w:lang w:val="de-DE"/>
        </w:rPr>
        <w:tab/>
        <w:t xml:space="preserve">    </w:t>
      </w:r>
      <w:r w:rsidRPr="00FE052D">
        <w:rPr>
          <w:rFonts w:ascii="Times New Roman" w:hAnsi="Times New Roman"/>
          <w:color w:val="auto"/>
          <w:sz w:val="28"/>
          <w:lang w:val="de-DE"/>
        </w:rPr>
        <w:tab/>
      </w:r>
      <w:r w:rsidRPr="00FE052D">
        <w:rPr>
          <w:rFonts w:ascii="Times New Roman" w:hAnsi="Times New Roman"/>
          <w:color w:val="auto"/>
          <w:sz w:val="28"/>
          <w:lang w:val="de-DE"/>
        </w:rPr>
        <w:tab/>
      </w:r>
      <w:r w:rsidRPr="00FE052D">
        <w:rPr>
          <w:rFonts w:ascii="Times New Roman" w:hAnsi="Times New Roman"/>
          <w:color w:val="auto"/>
          <w:sz w:val="28"/>
          <w:lang w:val="de-DE"/>
        </w:rPr>
        <w:tab/>
      </w:r>
      <w:r w:rsidRPr="00FE052D">
        <w:rPr>
          <w:rFonts w:ascii="Times New Roman" w:hAnsi="Times New Roman"/>
          <w:color w:val="auto"/>
          <w:sz w:val="28"/>
          <w:lang w:val="de-DE"/>
        </w:rPr>
        <w:tab/>
        <w:t>Dimitrijs Trofimovs</w:t>
      </w:r>
    </w:p>
    <w:p w14:paraId="417F2156" w14:textId="6E260A0D" w:rsidR="00D12471" w:rsidRPr="00DE283C" w:rsidRDefault="00D12471" w:rsidP="00FE052D">
      <w:pPr>
        <w:pStyle w:val="Body"/>
        <w:tabs>
          <w:tab w:val="left" w:pos="7230"/>
        </w:tabs>
        <w:spacing w:after="0" w:line="240" w:lineRule="auto"/>
        <w:ind w:firstLine="709"/>
        <w:jc w:val="both"/>
        <w:rPr>
          <w:rFonts w:ascii="Times New Roman" w:hAnsi="Times New Roman"/>
          <w:color w:val="auto"/>
          <w:sz w:val="28"/>
          <w:lang w:val="de-DE"/>
        </w:rPr>
      </w:pPr>
    </w:p>
    <w:sectPr w:rsidR="00D12471" w:rsidRPr="00DE283C" w:rsidSect="00045549">
      <w:pgSz w:w="16838" w:h="11906" w:orient="landscape" w:code="9"/>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43EAD" w14:textId="77777777" w:rsidR="00C90B59" w:rsidRDefault="00C90B59" w:rsidP="00B36D11">
      <w:pPr>
        <w:spacing w:after="0" w:line="240" w:lineRule="auto"/>
      </w:pPr>
      <w:r>
        <w:separator/>
      </w:r>
    </w:p>
  </w:endnote>
  <w:endnote w:type="continuationSeparator" w:id="0">
    <w:p w14:paraId="6234B816" w14:textId="77777777" w:rsidR="00C90B59" w:rsidRDefault="00C90B59" w:rsidP="00B3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62E7A" w14:textId="77777777" w:rsidR="00D02DBA" w:rsidRPr="00D02DBA" w:rsidRDefault="00D02DBA" w:rsidP="00D02DBA">
    <w:pPr>
      <w:pStyle w:val="Footer"/>
    </w:pPr>
    <w:r>
      <w:rPr>
        <w:rFonts w:ascii="Times New Roman" w:hAnsi="Times New Roman" w:cs="Times New Roman"/>
        <w:sz w:val="16"/>
        <w:szCs w:val="16"/>
      </w:rPr>
      <w:t>IEMRikp4</w:t>
    </w:r>
    <w:r w:rsidRPr="00D02DBA">
      <w:rPr>
        <w:rFonts w:ascii="Times New Roman" w:hAnsi="Times New Roman" w:cs="Times New Roman"/>
        <w:sz w:val="16"/>
        <w:szCs w:val="16"/>
      </w:rPr>
      <w:t>_090421_Grozijumi VCAP; Ministru kabineta rīkojuma projekts ”Grozījumi Valsts civilās aizsardzības plānā”</w:t>
    </w:r>
  </w:p>
  <w:p w14:paraId="4C2DB429" w14:textId="77777777" w:rsidR="00D02DBA" w:rsidRDefault="00D02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477AA" w14:textId="0331A10D" w:rsidR="00326706" w:rsidRPr="00D02DBA" w:rsidRDefault="00D02DBA" w:rsidP="00D02DBA">
    <w:pPr>
      <w:pStyle w:val="Footer"/>
    </w:pPr>
    <w:r>
      <w:rPr>
        <w:rFonts w:ascii="Times New Roman" w:hAnsi="Times New Roman" w:cs="Times New Roman"/>
        <w:sz w:val="16"/>
        <w:szCs w:val="16"/>
      </w:rPr>
      <w:t>IEMRikp4</w:t>
    </w:r>
    <w:r w:rsidRPr="00D02DBA">
      <w:rPr>
        <w:rFonts w:ascii="Times New Roman" w:hAnsi="Times New Roman" w:cs="Times New Roman"/>
        <w:sz w:val="16"/>
        <w:szCs w:val="16"/>
      </w:rPr>
      <w:t>_090421_Grozijumi VCAP; Ministru kabineta rīkojuma projekts ”Grozījumi Valsts civilās aizsardzības plānā”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77C7F" w14:textId="77777777" w:rsidR="00C90B59" w:rsidRDefault="00C90B59" w:rsidP="00B36D11">
      <w:pPr>
        <w:spacing w:after="0" w:line="240" w:lineRule="auto"/>
      </w:pPr>
      <w:r>
        <w:separator/>
      </w:r>
    </w:p>
  </w:footnote>
  <w:footnote w:type="continuationSeparator" w:id="0">
    <w:p w14:paraId="68731091" w14:textId="77777777" w:rsidR="00C90B59" w:rsidRDefault="00C90B59" w:rsidP="00B36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40782"/>
      <w:docPartObj>
        <w:docPartGallery w:val="Page Numbers (Top of Page)"/>
        <w:docPartUnique/>
      </w:docPartObj>
    </w:sdtPr>
    <w:sdtEndPr>
      <w:rPr>
        <w:rFonts w:ascii="Times New Roman" w:hAnsi="Times New Roman" w:cs="Times New Roman"/>
        <w:sz w:val="20"/>
        <w:szCs w:val="20"/>
      </w:rPr>
    </w:sdtEndPr>
    <w:sdtContent>
      <w:p w14:paraId="7C395A64" w14:textId="1CBCCF0D" w:rsidR="00326706" w:rsidRPr="004D4BEA" w:rsidRDefault="00326706">
        <w:pPr>
          <w:pStyle w:val="Header"/>
          <w:jc w:val="center"/>
          <w:rPr>
            <w:rFonts w:ascii="Times New Roman" w:hAnsi="Times New Roman" w:cs="Times New Roman"/>
            <w:sz w:val="20"/>
            <w:szCs w:val="20"/>
          </w:rPr>
        </w:pPr>
        <w:r w:rsidRPr="004D4BEA">
          <w:rPr>
            <w:rFonts w:ascii="Times New Roman" w:hAnsi="Times New Roman" w:cs="Times New Roman"/>
            <w:sz w:val="20"/>
            <w:szCs w:val="20"/>
          </w:rPr>
          <w:fldChar w:fldCharType="begin"/>
        </w:r>
        <w:r w:rsidRPr="004D4BEA">
          <w:rPr>
            <w:rFonts w:ascii="Times New Roman" w:hAnsi="Times New Roman" w:cs="Times New Roman"/>
            <w:sz w:val="20"/>
            <w:szCs w:val="20"/>
          </w:rPr>
          <w:instrText>PAGE   \* MERGEFORMAT</w:instrText>
        </w:r>
        <w:r w:rsidRPr="004D4BEA">
          <w:rPr>
            <w:rFonts w:ascii="Times New Roman" w:hAnsi="Times New Roman" w:cs="Times New Roman"/>
            <w:sz w:val="20"/>
            <w:szCs w:val="20"/>
          </w:rPr>
          <w:fldChar w:fldCharType="separate"/>
        </w:r>
        <w:r w:rsidR="006C71C0">
          <w:rPr>
            <w:rFonts w:ascii="Times New Roman" w:hAnsi="Times New Roman" w:cs="Times New Roman"/>
            <w:noProof/>
            <w:sz w:val="20"/>
            <w:szCs w:val="20"/>
          </w:rPr>
          <w:t>19</w:t>
        </w:r>
        <w:r w:rsidRPr="004D4BEA">
          <w:rPr>
            <w:rFonts w:ascii="Times New Roman" w:hAnsi="Times New Roman" w:cs="Times New Roman"/>
            <w:sz w:val="20"/>
            <w:szCs w:val="20"/>
          </w:rPr>
          <w:fldChar w:fldCharType="end"/>
        </w:r>
      </w:p>
    </w:sdtContent>
  </w:sdt>
  <w:p w14:paraId="3F4DABFC" w14:textId="77777777" w:rsidR="00326706" w:rsidRDefault="00326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1C75"/>
    <w:multiLevelType w:val="hybridMultilevel"/>
    <w:tmpl w:val="8D348A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2A3400"/>
    <w:multiLevelType w:val="hybridMultilevel"/>
    <w:tmpl w:val="51988F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E01153"/>
    <w:multiLevelType w:val="hybridMultilevel"/>
    <w:tmpl w:val="72CA36CA"/>
    <w:lvl w:ilvl="0" w:tplc="51A46E1A">
      <w:start w:val="1"/>
      <w:numFmt w:val="decimal"/>
      <w:lvlText w:val="%1."/>
      <w:lvlJc w:val="left"/>
      <w:pPr>
        <w:ind w:left="720" w:hanging="360"/>
      </w:pPr>
      <w:rPr>
        <w:rFonts w:ascii="Times New Roman" w:eastAsiaTheme="minorHAnsi" w:hAnsi="Times New Roman"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A8"/>
    <w:rsid w:val="00000B37"/>
    <w:rsid w:val="00000ED1"/>
    <w:rsid w:val="00001E58"/>
    <w:rsid w:val="000021AB"/>
    <w:rsid w:val="000048D7"/>
    <w:rsid w:val="00005B4D"/>
    <w:rsid w:val="00006971"/>
    <w:rsid w:val="00007724"/>
    <w:rsid w:val="00010F8A"/>
    <w:rsid w:val="00012B04"/>
    <w:rsid w:val="00014563"/>
    <w:rsid w:val="00014B64"/>
    <w:rsid w:val="00014CD8"/>
    <w:rsid w:val="00015735"/>
    <w:rsid w:val="000160BC"/>
    <w:rsid w:val="00020080"/>
    <w:rsid w:val="00020D9F"/>
    <w:rsid w:val="0002225F"/>
    <w:rsid w:val="0002231B"/>
    <w:rsid w:val="00022A94"/>
    <w:rsid w:val="00022C42"/>
    <w:rsid w:val="00023809"/>
    <w:rsid w:val="000301E6"/>
    <w:rsid w:val="000307B9"/>
    <w:rsid w:val="00030EF3"/>
    <w:rsid w:val="00031862"/>
    <w:rsid w:val="00032195"/>
    <w:rsid w:val="00034336"/>
    <w:rsid w:val="00034E87"/>
    <w:rsid w:val="000351CF"/>
    <w:rsid w:val="00036BA8"/>
    <w:rsid w:val="000405EF"/>
    <w:rsid w:val="0004273F"/>
    <w:rsid w:val="00043942"/>
    <w:rsid w:val="00045549"/>
    <w:rsid w:val="00045A45"/>
    <w:rsid w:val="00046554"/>
    <w:rsid w:val="00050687"/>
    <w:rsid w:val="0005099E"/>
    <w:rsid w:val="0005319D"/>
    <w:rsid w:val="00053D24"/>
    <w:rsid w:val="000549D8"/>
    <w:rsid w:val="00055B87"/>
    <w:rsid w:val="000576D8"/>
    <w:rsid w:val="000601CE"/>
    <w:rsid w:val="00062E81"/>
    <w:rsid w:val="00063313"/>
    <w:rsid w:val="00064ADB"/>
    <w:rsid w:val="00064FE7"/>
    <w:rsid w:val="000650F8"/>
    <w:rsid w:val="000659AE"/>
    <w:rsid w:val="00065B22"/>
    <w:rsid w:val="00065EAB"/>
    <w:rsid w:val="000703F1"/>
    <w:rsid w:val="000714F3"/>
    <w:rsid w:val="0007371C"/>
    <w:rsid w:val="00073C0B"/>
    <w:rsid w:val="00074C98"/>
    <w:rsid w:val="00075392"/>
    <w:rsid w:val="000756AA"/>
    <w:rsid w:val="00076199"/>
    <w:rsid w:val="000764A4"/>
    <w:rsid w:val="00076D54"/>
    <w:rsid w:val="00080965"/>
    <w:rsid w:val="00080BB5"/>
    <w:rsid w:val="000819D8"/>
    <w:rsid w:val="000823AD"/>
    <w:rsid w:val="00082A75"/>
    <w:rsid w:val="00084B18"/>
    <w:rsid w:val="00085836"/>
    <w:rsid w:val="00092E5B"/>
    <w:rsid w:val="0009756C"/>
    <w:rsid w:val="00097E7A"/>
    <w:rsid w:val="000A03FA"/>
    <w:rsid w:val="000A1489"/>
    <w:rsid w:val="000A446B"/>
    <w:rsid w:val="000A52F4"/>
    <w:rsid w:val="000A59DC"/>
    <w:rsid w:val="000A6AE8"/>
    <w:rsid w:val="000B0209"/>
    <w:rsid w:val="000B1C07"/>
    <w:rsid w:val="000B29D2"/>
    <w:rsid w:val="000B31CC"/>
    <w:rsid w:val="000B482C"/>
    <w:rsid w:val="000B5569"/>
    <w:rsid w:val="000B78D2"/>
    <w:rsid w:val="000B7CBE"/>
    <w:rsid w:val="000C0232"/>
    <w:rsid w:val="000C1425"/>
    <w:rsid w:val="000C166A"/>
    <w:rsid w:val="000C17A3"/>
    <w:rsid w:val="000C1B9C"/>
    <w:rsid w:val="000C28D8"/>
    <w:rsid w:val="000C2AB8"/>
    <w:rsid w:val="000C3A0B"/>
    <w:rsid w:val="000C6544"/>
    <w:rsid w:val="000C72D9"/>
    <w:rsid w:val="000C7642"/>
    <w:rsid w:val="000D0319"/>
    <w:rsid w:val="000D1397"/>
    <w:rsid w:val="000D1CED"/>
    <w:rsid w:val="000D1E5C"/>
    <w:rsid w:val="000D29B8"/>
    <w:rsid w:val="000D2D86"/>
    <w:rsid w:val="000D3C29"/>
    <w:rsid w:val="000D3FC4"/>
    <w:rsid w:val="000D6E68"/>
    <w:rsid w:val="000E0D55"/>
    <w:rsid w:val="000E0E8C"/>
    <w:rsid w:val="000E16FB"/>
    <w:rsid w:val="000E2A82"/>
    <w:rsid w:val="000E5961"/>
    <w:rsid w:val="000E62B0"/>
    <w:rsid w:val="000F02E1"/>
    <w:rsid w:val="000F0567"/>
    <w:rsid w:val="000F0DC3"/>
    <w:rsid w:val="000F22D5"/>
    <w:rsid w:val="000F45B0"/>
    <w:rsid w:val="000F59F2"/>
    <w:rsid w:val="000F6D44"/>
    <w:rsid w:val="000F7456"/>
    <w:rsid w:val="000F7D7B"/>
    <w:rsid w:val="00101CF9"/>
    <w:rsid w:val="001024A6"/>
    <w:rsid w:val="00102FA3"/>
    <w:rsid w:val="00103136"/>
    <w:rsid w:val="001035F7"/>
    <w:rsid w:val="00104AA0"/>
    <w:rsid w:val="001077F6"/>
    <w:rsid w:val="00110983"/>
    <w:rsid w:val="00110E7E"/>
    <w:rsid w:val="00114504"/>
    <w:rsid w:val="0011517D"/>
    <w:rsid w:val="001154C0"/>
    <w:rsid w:val="0012032F"/>
    <w:rsid w:val="0012061C"/>
    <w:rsid w:val="00120875"/>
    <w:rsid w:val="001235F2"/>
    <w:rsid w:val="00125DD5"/>
    <w:rsid w:val="00126436"/>
    <w:rsid w:val="00126B3E"/>
    <w:rsid w:val="001304DF"/>
    <w:rsid w:val="00132346"/>
    <w:rsid w:val="00134384"/>
    <w:rsid w:val="00134AA3"/>
    <w:rsid w:val="00136178"/>
    <w:rsid w:val="00136A59"/>
    <w:rsid w:val="0013748D"/>
    <w:rsid w:val="00140AC9"/>
    <w:rsid w:val="00141207"/>
    <w:rsid w:val="00141C66"/>
    <w:rsid w:val="001439B2"/>
    <w:rsid w:val="00144DB9"/>
    <w:rsid w:val="00145617"/>
    <w:rsid w:val="00145893"/>
    <w:rsid w:val="00147726"/>
    <w:rsid w:val="00151E30"/>
    <w:rsid w:val="00152690"/>
    <w:rsid w:val="00153557"/>
    <w:rsid w:val="001548F4"/>
    <w:rsid w:val="00155B9E"/>
    <w:rsid w:val="001564AF"/>
    <w:rsid w:val="001604F5"/>
    <w:rsid w:val="00162569"/>
    <w:rsid w:val="00164514"/>
    <w:rsid w:val="001664BE"/>
    <w:rsid w:val="001669D0"/>
    <w:rsid w:val="0017063B"/>
    <w:rsid w:val="00170D83"/>
    <w:rsid w:val="00171EEF"/>
    <w:rsid w:val="001725C0"/>
    <w:rsid w:val="00174C30"/>
    <w:rsid w:val="00175B18"/>
    <w:rsid w:val="00177E70"/>
    <w:rsid w:val="001803E0"/>
    <w:rsid w:val="00181490"/>
    <w:rsid w:val="001846A3"/>
    <w:rsid w:val="0018612E"/>
    <w:rsid w:val="00186BB8"/>
    <w:rsid w:val="0018744D"/>
    <w:rsid w:val="0019037F"/>
    <w:rsid w:val="00192F32"/>
    <w:rsid w:val="0019306E"/>
    <w:rsid w:val="001946B2"/>
    <w:rsid w:val="00194C02"/>
    <w:rsid w:val="00195B55"/>
    <w:rsid w:val="00196B0B"/>
    <w:rsid w:val="001A10C9"/>
    <w:rsid w:val="001A3F40"/>
    <w:rsid w:val="001A4CD8"/>
    <w:rsid w:val="001A552E"/>
    <w:rsid w:val="001A7243"/>
    <w:rsid w:val="001A7CD1"/>
    <w:rsid w:val="001A7F5C"/>
    <w:rsid w:val="001B170A"/>
    <w:rsid w:val="001B3BBE"/>
    <w:rsid w:val="001B6857"/>
    <w:rsid w:val="001B6A41"/>
    <w:rsid w:val="001B7522"/>
    <w:rsid w:val="001B76A5"/>
    <w:rsid w:val="001C1EDA"/>
    <w:rsid w:val="001C21BD"/>
    <w:rsid w:val="001C40B7"/>
    <w:rsid w:val="001C5652"/>
    <w:rsid w:val="001C5FDF"/>
    <w:rsid w:val="001C7012"/>
    <w:rsid w:val="001D2C30"/>
    <w:rsid w:val="001D3A0C"/>
    <w:rsid w:val="001D467E"/>
    <w:rsid w:val="001D5ABA"/>
    <w:rsid w:val="001D67E8"/>
    <w:rsid w:val="001D751B"/>
    <w:rsid w:val="001D7C50"/>
    <w:rsid w:val="001D7F40"/>
    <w:rsid w:val="001E1EBF"/>
    <w:rsid w:val="001E22D8"/>
    <w:rsid w:val="001E2822"/>
    <w:rsid w:val="001E2CD3"/>
    <w:rsid w:val="001E2FE3"/>
    <w:rsid w:val="001E3A98"/>
    <w:rsid w:val="001E4FDB"/>
    <w:rsid w:val="001E5011"/>
    <w:rsid w:val="001F0E35"/>
    <w:rsid w:val="001F1EB4"/>
    <w:rsid w:val="001F2CC5"/>
    <w:rsid w:val="001F3EC9"/>
    <w:rsid w:val="001F5703"/>
    <w:rsid w:val="001F59B4"/>
    <w:rsid w:val="00200301"/>
    <w:rsid w:val="002006A0"/>
    <w:rsid w:val="00200746"/>
    <w:rsid w:val="00201049"/>
    <w:rsid w:val="00201230"/>
    <w:rsid w:val="002030C7"/>
    <w:rsid w:val="00210852"/>
    <w:rsid w:val="00222010"/>
    <w:rsid w:val="0022244F"/>
    <w:rsid w:val="00222CA3"/>
    <w:rsid w:val="002235E2"/>
    <w:rsid w:val="00223A0C"/>
    <w:rsid w:val="00223FCC"/>
    <w:rsid w:val="00225AC6"/>
    <w:rsid w:val="002315D9"/>
    <w:rsid w:val="002336DA"/>
    <w:rsid w:val="00233A38"/>
    <w:rsid w:val="0023474A"/>
    <w:rsid w:val="00234FDC"/>
    <w:rsid w:val="002351EC"/>
    <w:rsid w:val="002353B3"/>
    <w:rsid w:val="00236183"/>
    <w:rsid w:val="002368EE"/>
    <w:rsid w:val="0023741F"/>
    <w:rsid w:val="002406BE"/>
    <w:rsid w:val="002420BD"/>
    <w:rsid w:val="00242207"/>
    <w:rsid w:val="0024244F"/>
    <w:rsid w:val="0024309F"/>
    <w:rsid w:val="0024371E"/>
    <w:rsid w:val="002450CF"/>
    <w:rsid w:val="00245A3B"/>
    <w:rsid w:val="00246370"/>
    <w:rsid w:val="00246C54"/>
    <w:rsid w:val="0025007B"/>
    <w:rsid w:val="00252006"/>
    <w:rsid w:val="00252485"/>
    <w:rsid w:val="00252B21"/>
    <w:rsid w:val="00253044"/>
    <w:rsid w:val="002532CC"/>
    <w:rsid w:val="00253380"/>
    <w:rsid w:val="002539EC"/>
    <w:rsid w:val="00254CA6"/>
    <w:rsid w:val="002551E3"/>
    <w:rsid w:val="002557E1"/>
    <w:rsid w:val="00255D80"/>
    <w:rsid w:val="00262BB4"/>
    <w:rsid w:val="00262D65"/>
    <w:rsid w:val="00262E51"/>
    <w:rsid w:val="002640B0"/>
    <w:rsid w:val="00264246"/>
    <w:rsid w:val="0026541C"/>
    <w:rsid w:val="002659AC"/>
    <w:rsid w:val="00265E0C"/>
    <w:rsid w:val="00266A4F"/>
    <w:rsid w:val="0027358D"/>
    <w:rsid w:val="00273BCB"/>
    <w:rsid w:val="0027484B"/>
    <w:rsid w:val="00274C03"/>
    <w:rsid w:val="00275436"/>
    <w:rsid w:val="00276E9F"/>
    <w:rsid w:val="002777A4"/>
    <w:rsid w:val="002777A9"/>
    <w:rsid w:val="002779CF"/>
    <w:rsid w:val="00280649"/>
    <w:rsid w:val="0028364F"/>
    <w:rsid w:val="00284D20"/>
    <w:rsid w:val="00285323"/>
    <w:rsid w:val="00290847"/>
    <w:rsid w:val="002911E4"/>
    <w:rsid w:val="00295B79"/>
    <w:rsid w:val="002A2B57"/>
    <w:rsid w:val="002A433E"/>
    <w:rsid w:val="002A7BEA"/>
    <w:rsid w:val="002B2728"/>
    <w:rsid w:val="002B5E52"/>
    <w:rsid w:val="002B7A5F"/>
    <w:rsid w:val="002C0368"/>
    <w:rsid w:val="002C0EED"/>
    <w:rsid w:val="002C2F81"/>
    <w:rsid w:val="002C3A57"/>
    <w:rsid w:val="002C4590"/>
    <w:rsid w:val="002C4E1A"/>
    <w:rsid w:val="002C5103"/>
    <w:rsid w:val="002D0747"/>
    <w:rsid w:val="002D0C91"/>
    <w:rsid w:val="002D0CEE"/>
    <w:rsid w:val="002D17EF"/>
    <w:rsid w:val="002D1C23"/>
    <w:rsid w:val="002D22D3"/>
    <w:rsid w:val="002D380F"/>
    <w:rsid w:val="002D6B13"/>
    <w:rsid w:val="002D7044"/>
    <w:rsid w:val="002D782B"/>
    <w:rsid w:val="002E027C"/>
    <w:rsid w:val="002E15F9"/>
    <w:rsid w:val="002E166F"/>
    <w:rsid w:val="002E19A6"/>
    <w:rsid w:val="002E1B13"/>
    <w:rsid w:val="002E1CFC"/>
    <w:rsid w:val="002E3B59"/>
    <w:rsid w:val="002E4FD5"/>
    <w:rsid w:val="002E6262"/>
    <w:rsid w:val="002E626C"/>
    <w:rsid w:val="002F164C"/>
    <w:rsid w:val="002F2583"/>
    <w:rsid w:val="002F4E2D"/>
    <w:rsid w:val="002F76BD"/>
    <w:rsid w:val="00300FA0"/>
    <w:rsid w:val="0030197C"/>
    <w:rsid w:val="00301FD2"/>
    <w:rsid w:val="00306357"/>
    <w:rsid w:val="00311016"/>
    <w:rsid w:val="0031161F"/>
    <w:rsid w:val="00312D00"/>
    <w:rsid w:val="003132EC"/>
    <w:rsid w:val="0031408C"/>
    <w:rsid w:val="00314383"/>
    <w:rsid w:val="00315359"/>
    <w:rsid w:val="00315631"/>
    <w:rsid w:val="00315D35"/>
    <w:rsid w:val="003166DE"/>
    <w:rsid w:val="00320AEC"/>
    <w:rsid w:val="00321FB7"/>
    <w:rsid w:val="003220E3"/>
    <w:rsid w:val="0032234E"/>
    <w:rsid w:val="00322DF4"/>
    <w:rsid w:val="00323F31"/>
    <w:rsid w:val="00324D44"/>
    <w:rsid w:val="00324FEF"/>
    <w:rsid w:val="003254F3"/>
    <w:rsid w:val="00326706"/>
    <w:rsid w:val="00327D3D"/>
    <w:rsid w:val="00327E70"/>
    <w:rsid w:val="00331C1F"/>
    <w:rsid w:val="00331FF2"/>
    <w:rsid w:val="00332E63"/>
    <w:rsid w:val="003334E1"/>
    <w:rsid w:val="00334904"/>
    <w:rsid w:val="00334930"/>
    <w:rsid w:val="003361A7"/>
    <w:rsid w:val="0034031A"/>
    <w:rsid w:val="0034144B"/>
    <w:rsid w:val="0034280A"/>
    <w:rsid w:val="00342FF4"/>
    <w:rsid w:val="00344903"/>
    <w:rsid w:val="00344C0A"/>
    <w:rsid w:val="003458EB"/>
    <w:rsid w:val="00345FB5"/>
    <w:rsid w:val="003468A5"/>
    <w:rsid w:val="00347B98"/>
    <w:rsid w:val="00347D6F"/>
    <w:rsid w:val="00350D22"/>
    <w:rsid w:val="00351200"/>
    <w:rsid w:val="00351C1D"/>
    <w:rsid w:val="00354E0F"/>
    <w:rsid w:val="00355BBD"/>
    <w:rsid w:val="00357854"/>
    <w:rsid w:val="0036027A"/>
    <w:rsid w:val="0036041D"/>
    <w:rsid w:val="00360797"/>
    <w:rsid w:val="00361485"/>
    <w:rsid w:val="003619E8"/>
    <w:rsid w:val="003621E4"/>
    <w:rsid w:val="003647F1"/>
    <w:rsid w:val="00367321"/>
    <w:rsid w:val="003677BC"/>
    <w:rsid w:val="003715BE"/>
    <w:rsid w:val="00371972"/>
    <w:rsid w:val="003728F7"/>
    <w:rsid w:val="003729F8"/>
    <w:rsid w:val="00373100"/>
    <w:rsid w:val="003769B4"/>
    <w:rsid w:val="003769DF"/>
    <w:rsid w:val="00377126"/>
    <w:rsid w:val="00377F15"/>
    <w:rsid w:val="003801D2"/>
    <w:rsid w:val="003803B6"/>
    <w:rsid w:val="00380B38"/>
    <w:rsid w:val="00381D29"/>
    <w:rsid w:val="00381FDE"/>
    <w:rsid w:val="0038229D"/>
    <w:rsid w:val="003832AF"/>
    <w:rsid w:val="00384906"/>
    <w:rsid w:val="00384923"/>
    <w:rsid w:val="003853E4"/>
    <w:rsid w:val="0038573A"/>
    <w:rsid w:val="00385F13"/>
    <w:rsid w:val="00387A5E"/>
    <w:rsid w:val="00387E5A"/>
    <w:rsid w:val="003923ED"/>
    <w:rsid w:val="00393621"/>
    <w:rsid w:val="00393D25"/>
    <w:rsid w:val="00397613"/>
    <w:rsid w:val="003A052E"/>
    <w:rsid w:val="003A3837"/>
    <w:rsid w:val="003A4C52"/>
    <w:rsid w:val="003A53FE"/>
    <w:rsid w:val="003A5D7D"/>
    <w:rsid w:val="003B0A18"/>
    <w:rsid w:val="003B4448"/>
    <w:rsid w:val="003B4619"/>
    <w:rsid w:val="003B5353"/>
    <w:rsid w:val="003B5E90"/>
    <w:rsid w:val="003B6A33"/>
    <w:rsid w:val="003B761E"/>
    <w:rsid w:val="003B7FF1"/>
    <w:rsid w:val="003C03CF"/>
    <w:rsid w:val="003C0B91"/>
    <w:rsid w:val="003C234F"/>
    <w:rsid w:val="003C28ED"/>
    <w:rsid w:val="003C66CF"/>
    <w:rsid w:val="003C6AC5"/>
    <w:rsid w:val="003C7B5B"/>
    <w:rsid w:val="003D0658"/>
    <w:rsid w:val="003D09F3"/>
    <w:rsid w:val="003D0D0B"/>
    <w:rsid w:val="003D21CA"/>
    <w:rsid w:val="003D2708"/>
    <w:rsid w:val="003D381E"/>
    <w:rsid w:val="003D5065"/>
    <w:rsid w:val="003D5FFE"/>
    <w:rsid w:val="003D76AF"/>
    <w:rsid w:val="003D76E4"/>
    <w:rsid w:val="003E0185"/>
    <w:rsid w:val="003E206E"/>
    <w:rsid w:val="003E2094"/>
    <w:rsid w:val="003E209E"/>
    <w:rsid w:val="003E4673"/>
    <w:rsid w:val="003E55DA"/>
    <w:rsid w:val="003E6EBD"/>
    <w:rsid w:val="003E7E8A"/>
    <w:rsid w:val="003F14E6"/>
    <w:rsid w:val="003F188A"/>
    <w:rsid w:val="003F1A69"/>
    <w:rsid w:val="003F2135"/>
    <w:rsid w:val="003F2290"/>
    <w:rsid w:val="003F2E30"/>
    <w:rsid w:val="003F66CF"/>
    <w:rsid w:val="003F74AA"/>
    <w:rsid w:val="003F74F6"/>
    <w:rsid w:val="003F7A2A"/>
    <w:rsid w:val="004004DB"/>
    <w:rsid w:val="00401FA8"/>
    <w:rsid w:val="0040308D"/>
    <w:rsid w:val="00404E65"/>
    <w:rsid w:val="00405426"/>
    <w:rsid w:val="004054BB"/>
    <w:rsid w:val="00405E1B"/>
    <w:rsid w:val="004060FF"/>
    <w:rsid w:val="00416103"/>
    <w:rsid w:val="004178B7"/>
    <w:rsid w:val="004207FE"/>
    <w:rsid w:val="00420D59"/>
    <w:rsid w:val="0042206E"/>
    <w:rsid w:val="00424F68"/>
    <w:rsid w:val="00425428"/>
    <w:rsid w:val="00430A7E"/>
    <w:rsid w:val="00430FB4"/>
    <w:rsid w:val="00431B13"/>
    <w:rsid w:val="00431FFA"/>
    <w:rsid w:val="004326C9"/>
    <w:rsid w:val="004332E9"/>
    <w:rsid w:val="0043546B"/>
    <w:rsid w:val="004371BA"/>
    <w:rsid w:val="00437D5E"/>
    <w:rsid w:val="004423C3"/>
    <w:rsid w:val="00442CF8"/>
    <w:rsid w:val="00442FD4"/>
    <w:rsid w:val="00443D47"/>
    <w:rsid w:val="00445295"/>
    <w:rsid w:val="004503C0"/>
    <w:rsid w:val="00450A2C"/>
    <w:rsid w:val="00450F48"/>
    <w:rsid w:val="00452FFF"/>
    <w:rsid w:val="004536A8"/>
    <w:rsid w:val="004536A9"/>
    <w:rsid w:val="00453FC9"/>
    <w:rsid w:val="00454814"/>
    <w:rsid w:val="00454BD0"/>
    <w:rsid w:val="00456225"/>
    <w:rsid w:val="00456F66"/>
    <w:rsid w:val="0046001A"/>
    <w:rsid w:val="00460A22"/>
    <w:rsid w:val="0046252D"/>
    <w:rsid w:val="0046337E"/>
    <w:rsid w:val="00463502"/>
    <w:rsid w:val="00465A3D"/>
    <w:rsid w:val="00470DAD"/>
    <w:rsid w:val="00473477"/>
    <w:rsid w:val="00473528"/>
    <w:rsid w:val="00473F8E"/>
    <w:rsid w:val="00476F70"/>
    <w:rsid w:val="0047782F"/>
    <w:rsid w:val="00477F05"/>
    <w:rsid w:val="004812C2"/>
    <w:rsid w:val="00483349"/>
    <w:rsid w:val="00483BF7"/>
    <w:rsid w:val="00485997"/>
    <w:rsid w:val="004864F6"/>
    <w:rsid w:val="0049084E"/>
    <w:rsid w:val="0049193B"/>
    <w:rsid w:val="00491DF4"/>
    <w:rsid w:val="00492837"/>
    <w:rsid w:val="0049625F"/>
    <w:rsid w:val="00496FEE"/>
    <w:rsid w:val="004A065A"/>
    <w:rsid w:val="004A08D6"/>
    <w:rsid w:val="004A1105"/>
    <w:rsid w:val="004A2185"/>
    <w:rsid w:val="004A36DA"/>
    <w:rsid w:val="004A44E4"/>
    <w:rsid w:val="004A619C"/>
    <w:rsid w:val="004A6E91"/>
    <w:rsid w:val="004A740B"/>
    <w:rsid w:val="004A7A63"/>
    <w:rsid w:val="004B0100"/>
    <w:rsid w:val="004B2039"/>
    <w:rsid w:val="004B2866"/>
    <w:rsid w:val="004B324D"/>
    <w:rsid w:val="004B5F6F"/>
    <w:rsid w:val="004B6088"/>
    <w:rsid w:val="004C0411"/>
    <w:rsid w:val="004C1D63"/>
    <w:rsid w:val="004C22C4"/>
    <w:rsid w:val="004C3F31"/>
    <w:rsid w:val="004C5FB9"/>
    <w:rsid w:val="004D07FD"/>
    <w:rsid w:val="004D2041"/>
    <w:rsid w:val="004D3331"/>
    <w:rsid w:val="004D4BEA"/>
    <w:rsid w:val="004D54DA"/>
    <w:rsid w:val="004D6CE8"/>
    <w:rsid w:val="004E0971"/>
    <w:rsid w:val="004E0B21"/>
    <w:rsid w:val="004E198C"/>
    <w:rsid w:val="004E224F"/>
    <w:rsid w:val="004E319E"/>
    <w:rsid w:val="004E39CA"/>
    <w:rsid w:val="004E6673"/>
    <w:rsid w:val="004E6BB8"/>
    <w:rsid w:val="004F0694"/>
    <w:rsid w:val="004F12CB"/>
    <w:rsid w:val="004F3291"/>
    <w:rsid w:val="004F3D32"/>
    <w:rsid w:val="004F3FD9"/>
    <w:rsid w:val="004F4643"/>
    <w:rsid w:val="004F4B8A"/>
    <w:rsid w:val="004F5AAB"/>
    <w:rsid w:val="004F5EC2"/>
    <w:rsid w:val="00502EAC"/>
    <w:rsid w:val="0050441D"/>
    <w:rsid w:val="00510547"/>
    <w:rsid w:val="00511EA8"/>
    <w:rsid w:val="00516272"/>
    <w:rsid w:val="00520348"/>
    <w:rsid w:val="00522B7D"/>
    <w:rsid w:val="0052336B"/>
    <w:rsid w:val="00523521"/>
    <w:rsid w:val="00523740"/>
    <w:rsid w:val="00523897"/>
    <w:rsid w:val="00525FC0"/>
    <w:rsid w:val="00526706"/>
    <w:rsid w:val="00527657"/>
    <w:rsid w:val="00527772"/>
    <w:rsid w:val="00530DFF"/>
    <w:rsid w:val="005313A6"/>
    <w:rsid w:val="0053147A"/>
    <w:rsid w:val="00531713"/>
    <w:rsid w:val="00532C4D"/>
    <w:rsid w:val="0053406F"/>
    <w:rsid w:val="0053613D"/>
    <w:rsid w:val="00536593"/>
    <w:rsid w:val="005375AA"/>
    <w:rsid w:val="0054037C"/>
    <w:rsid w:val="00546440"/>
    <w:rsid w:val="00546967"/>
    <w:rsid w:val="00547D85"/>
    <w:rsid w:val="005504B1"/>
    <w:rsid w:val="005506F1"/>
    <w:rsid w:val="00550831"/>
    <w:rsid w:val="00551137"/>
    <w:rsid w:val="005511AC"/>
    <w:rsid w:val="005527DA"/>
    <w:rsid w:val="0055339C"/>
    <w:rsid w:val="0055579B"/>
    <w:rsid w:val="005557FA"/>
    <w:rsid w:val="0055591E"/>
    <w:rsid w:val="00557809"/>
    <w:rsid w:val="005609B0"/>
    <w:rsid w:val="00560AC4"/>
    <w:rsid w:val="00561BBE"/>
    <w:rsid w:val="005621A7"/>
    <w:rsid w:val="005646FC"/>
    <w:rsid w:val="00567557"/>
    <w:rsid w:val="005676FC"/>
    <w:rsid w:val="00567A47"/>
    <w:rsid w:val="005714C1"/>
    <w:rsid w:val="00572461"/>
    <w:rsid w:val="00572C0B"/>
    <w:rsid w:val="00572D2D"/>
    <w:rsid w:val="0057427D"/>
    <w:rsid w:val="0057432A"/>
    <w:rsid w:val="005747FE"/>
    <w:rsid w:val="00577271"/>
    <w:rsid w:val="00581D31"/>
    <w:rsid w:val="00582A7C"/>
    <w:rsid w:val="00582CC6"/>
    <w:rsid w:val="005830F3"/>
    <w:rsid w:val="0058460F"/>
    <w:rsid w:val="0058534B"/>
    <w:rsid w:val="0058566E"/>
    <w:rsid w:val="0058620C"/>
    <w:rsid w:val="00587148"/>
    <w:rsid w:val="00587D8A"/>
    <w:rsid w:val="00590FF9"/>
    <w:rsid w:val="00590FFF"/>
    <w:rsid w:val="00591258"/>
    <w:rsid w:val="00593501"/>
    <w:rsid w:val="00593554"/>
    <w:rsid w:val="0059377E"/>
    <w:rsid w:val="00594ABA"/>
    <w:rsid w:val="00595097"/>
    <w:rsid w:val="0059566F"/>
    <w:rsid w:val="005A235E"/>
    <w:rsid w:val="005A2D03"/>
    <w:rsid w:val="005A3331"/>
    <w:rsid w:val="005A400D"/>
    <w:rsid w:val="005A421E"/>
    <w:rsid w:val="005A431A"/>
    <w:rsid w:val="005A5538"/>
    <w:rsid w:val="005A5AE9"/>
    <w:rsid w:val="005A5B9F"/>
    <w:rsid w:val="005A679C"/>
    <w:rsid w:val="005A68A7"/>
    <w:rsid w:val="005A789F"/>
    <w:rsid w:val="005B2331"/>
    <w:rsid w:val="005B4EC0"/>
    <w:rsid w:val="005B51F6"/>
    <w:rsid w:val="005B6E51"/>
    <w:rsid w:val="005B6F48"/>
    <w:rsid w:val="005B75F1"/>
    <w:rsid w:val="005C2083"/>
    <w:rsid w:val="005C31B1"/>
    <w:rsid w:val="005C348D"/>
    <w:rsid w:val="005C40C6"/>
    <w:rsid w:val="005C57F8"/>
    <w:rsid w:val="005C7019"/>
    <w:rsid w:val="005C7F6A"/>
    <w:rsid w:val="005D034A"/>
    <w:rsid w:val="005D0F14"/>
    <w:rsid w:val="005D1330"/>
    <w:rsid w:val="005D1FB4"/>
    <w:rsid w:val="005D208A"/>
    <w:rsid w:val="005E02F1"/>
    <w:rsid w:val="005E1DF1"/>
    <w:rsid w:val="005E2BFF"/>
    <w:rsid w:val="005E462C"/>
    <w:rsid w:val="005E4FA5"/>
    <w:rsid w:val="005E7C6E"/>
    <w:rsid w:val="005E7F6B"/>
    <w:rsid w:val="005F004D"/>
    <w:rsid w:val="005F0697"/>
    <w:rsid w:val="005F17A1"/>
    <w:rsid w:val="005F1ED5"/>
    <w:rsid w:val="005F265A"/>
    <w:rsid w:val="005F4DC5"/>
    <w:rsid w:val="005F59C5"/>
    <w:rsid w:val="005F5B23"/>
    <w:rsid w:val="005F5F3E"/>
    <w:rsid w:val="005F5F89"/>
    <w:rsid w:val="005F6D3A"/>
    <w:rsid w:val="005F73F8"/>
    <w:rsid w:val="0060321A"/>
    <w:rsid w:val="006036C3"/>
    <w:rsid w:val="00606837"/>
    <w:rsid w:val="00611458"/>
    <w:rsid w:val="00611BE4"/>
    <w:rsid w:val="00612671"/>
    <w:rsid w:val="00613B14"/>
    <w:rsid w:val="00613D98"/>
    <w:rsid w:val="00614BE8"/>
    <w:rsid w:val="00616392"/>
    <w:rsid w:val="00616DD0"/>
    <w:rsid w:val="006172CC"/>
    <w:rsid w:val="006173DD"/>
    <w:rsid w:val="00617D7A"/>
    <w:rsid w:val="006201BB"/>
    <w:rsid w:val="00621C25"/>
    <w:rsid w:val="00622A43"/>
    <w:rsid w:val="00622CEF"/>
    <w:rsid w:val="00626027"/>
    <w:rsid w:val="00627E16"/>
    <w:rsid w:val="0063073C"/>
    <w:rsid w:val="0063778E"/>
    <w:rsid w:val="00640243"/>
    <w:rsid w:val="00640E14"/>
    <w:rsid w:val="0064175C"/>
    <w:rsid w:val="00644436"/>
    <w:rsid w:val="006456A2"/>
    <w:rsid w:val="00646414"/>
    <w:rsid w:val="00646EA5"/>
    <w:rsid w:val="00647674"/>
    <w:rsid w:val="00647AEA"/>
    <w:rsid w:val="006520DD"/>
    <w:rsid w:val="00652A3B"/>
    <w:rsid w:val="00653837"/>
    <w:rsid w:val="006539EE"/>
    <w:rsid w:val="00653B8F"/>
    <w:rsid w:val="00656753"/>
    <w:rsid w:val="00656D8E"/>
    <w:rsid w:val="006618E0"/>
    <w:rsid w:val="0066276B"/>
    <w:rsid w:val="00663351"/>
    <w:rsid w:val="0066488B"/>
    <w:rsid w:val="006657F1"/>
    <w:rsid w:val="00665CF1"/>
    <w:rsid w:val="00666617"/>
    <w:rsid w:val="00666961"/>
    <w:rsid w:val="00670178"/>
    <w:rsid w:val="0067088C"/>
    <w:rsid w:val="00671C63"/>
    <w:rsid w:val="00672870"/>
    <w:rsid w:val="006728E2"/>
    <w:rsid w:val="006730B7"/>
    <w:rsid w:val="006749D5"/>
    <w:rsid w:val="00676D2B"/>
    <w:rsid w:val="00677528"/>
    <w:rsid w:val="00680691"/>
    <w:rsid w:val="00680F65"/>
    <w:rsid w:val="00681F0A"/>
    <w:rsid w:val="00683F1E"/>
    <w:rsid w:val="006846C2"/>
    <w:rsid w:val="006865B4"/>
    <w:rsid w:val="0068732E"/>
    <w:rsid w:val="00687C54"/>
    <w:rsid w:val="00690E21"/>
    <w:rsid w:val="00691E41"/>
    <w:rsid w:val="0069410B"/>
    <w:rsid w:val="00694533"/>
    <w:rsid w:val="00697CDE"/>
    <w:rsid w:val="006A3856"/>
    <w:rsid w:val="006A3B45"/>
    <w:rsid w:val="006A4DFD"/>
    <w:rsid w:val="006A5601"/>
    <w:rsid w:val="006A5D8C"/>
    <w:rsid w:val="006A64C1"/>
    <w:rsid w:val="006B0AF0"/>
    <w:rsid w:val="006B1CE5"/>
    <w:rsid w:val="006B1E9B"/>
    <w:rsid w:val="006B1F28"/>
    <w:rsid w:val="006B25BF"/>
    <w:rsid w:val="006B25D1"/>
    <w:rsid w:val="006B25EF"/>
    <w:rsid w:val="006B2815"/>
    <w:rsid w:val="006B300C"/>
    <w:rsid w:val="006B302F"/>
    <w:rsid w:val="006B7A1B"/>
    <w:rsid w:val="006B7A7E"/>
    <w:rsid w:val="006C027E"/>
    <w:rsid w:val="006C0311"/>
    <w:rsid w:val="006C3592"/>
    <w:rsid w:val="006C50B4"/>
    <w:rsid w:val="006C50BD"/>
    <w:rsid w:val="006C510E"/>
    <w:rsid w:val="006C515B"/>
    <w:rsid w:val="006C69F7"/>
    <w:rsid w:val="006C71C0"/>
    <w:rsid w:val="006D0DF8"/>
    <w:rsid w:val="006D29F4"/>
    <w:rsid w:val="006D5ABB"/>
    <w:rsid w:val="006D5B1A"/>
    <w:rsid w:val="006D6A0F"/>
    <w:rsid w:val="006D6BCF"/>
    <w:rsid w:val="006E08AB"/>
    <w:rsid w:val="006E0E6F"/>
    <w:rsid w:val="006E25BD"/>
    <w:rsid w:val="006E5400"/>
    <w:rsid w:val="006E6952"/>
    <w:rsid w:val="006F1D9F"/>
    <w:rsid w:val="006F432D"/>
    <w:rsid w:val="006F5880"/>
    <w:rsid w:val="006F6414"/>
    <w:rsid w:val="0070165F"/>
    <w:rsid w:val="00702E54"/>
    <w:rsid w:val="007046DE"/>
    <w:rsid w:val="00705492"/>
    <w:rsid w:val="0070598D"/>
    <w:rsid w:val="00705A3E"/>
    <w:rsid w:val="00706AB1"/>
    <w:rsid w:val="0071028A"/>
    <w:rsid w:val="00712B4B"/>
    <w:rsid w:val="00714F37"/>
    <w:rsid w:val="0071584E"/>
    <w:rsid w:val="00715E93"/>
    <w:rsid w:val="00721377"/>
    <w:rsid w:val="007264CA"/>
    <w:rsid w:val="00726791"/>
    <w:rsid w:val="007267EF"/>
    <w:rsid w:val="007269E6"/>
    <w:rsid w:val="00730FF1"/>
    <w:rsid w:val="00732FA1"/>
    <w:rsid w:val="00735934"/>
    <w:rsid w:val="00735C99"/>
    <w:rsid w:val="007369CC"/>
    <w:rsid w:val="007404D3"/>
    <w:rsid w:val="00741980"/>
    <w:rsid w:val="007419BB"/>
    <w:rsid w:val="00743C53"/>
    <w:rsid w:val="00745421"/>
    <w:rsid w:val="0074615B"/>
    <w:rsid w:val="00746189"/>
    <w:rsid w:val="00746B84"/>
    <w:rsid w:val="00746F9B"/>
    <w:rsid w:val="007478DF"/>
    <w:rsid w:val="00747EE7"/>
    <w:rsid w:val="007508B5"/>
    <w:rsid w:val="00750B1D"/>
    <w:rsid w:val="00751404"/>
    <w:rsid w:val="00752A8E"/>
    <w:rsid w:val="00753EB9"/>
    <w:rsid w:val="0075471C"/>
    <w:rsid w:val="0075481C"/>
    <w:rsid w:val="007558A4"/>
    <w:rsid w:val="007606C4"/>
    <w:rsid w:val="0076148E"/>
    <w:rsid w:val="0076355A"/>
    <w:rsid w:val="007636AB"/>
    <w:rsid w:val="00764E3F"/>
    <w:rsid w:val="007660A3"/>
    <w:rsid w:val="007724B0"/>
    <w:rsid w:val="00774592"/>
    <w:rsid w:val="00774CD4"/>
    <w:rsid w:val="00775CE9"/>
    <w:rsid w:val="00775D16"/>
    <w:rsid w:val="00776D0A"/>
    <w:rsid w:val="007775F0"/>
    <w:rsid w:val="00777E2F"/>
    <w:rsid w:val="00777FFE"/>
    <w:rsid w:val="007800E7"/>
    <w:rsid w:val="00780895"/>
    <w:rsid w:val="0078248E"/>
    <w:rsid w:val="00782A18"/>
    <w:rsid w:val="00782AE1"/>
    <w:rsid w:val="0078343F"/>
    <w:rsid w:val="007856EF"/>
    <w:rsid w:val="007858DE"/>
    <w:rsid w:val="00792496"/>
    <w:rsid w:val="00794F6F"/>
    <w:rsid w:val="00795F39"/>
    <w:rsid w:val="007A052A"/>
    <w:rsid w:val="007A0A73"/>
    <w:rsid w:val="007A0F82"/>
    <w:rsid w:val="007A1918"/>
    <w:rsid w:val="007A2431"/>
    <w:rsid w:val="007A377B"/>
    <w:rsid w:val="007A6626"/>
    <w:rsid w:val="007A6825"/>
    <w:rsid w:val="007A725D"/>
    <w:rsid w:val="007B14A8"/>
    <w:rsid w:val="007B180F"/>
    <w:rsid w:val="007B18F3"/>
    <w:rsid w:val="007B2459"/>
    <w:rsid w:val="007B2AA1"/>
    <w:rsid w:val="007B48CF"/>
    <w:rsid w:val="007B4F54"/>
    <w:rsid w:val="007B538A"/>
    <w:rsid w:val="007C58A8"/>
    <w:rsid w:val="007C5BD8"/>
    <w:rsid w:val="007C6DAC"/>
    <w:rsid w:val="007C7419"/>
    <w:rsid w:val="007C74EF"/>
    <w:rsid w:val="007D1ED3"/>
    <w:rsid w:val="007D2697"/>
    <w:rsid w:val="007D3F58"/>
    <w:rsid w:val="007D48D9"/>
    <w:rsid w:val="007D6B78"/>
    <w:rsid w:val="007D6E72"/>
    <w:rsid w:val="007D73DB"/>
    <w:rsid w:val="007D7F82"/>
    <w:rsid w:val="007E063F"/>
    <w:rsid w:val="007E1AC6"/>
    <w:rsid w:val="007E4DA1"/>
    <w:rsid w:val="007E55E8"/>
    <w:rsid w:val="007E6659"/>
    <w:rsid w:val="007F0F9F"/>
    <w:rsid w:val="007F0FEC"/>
    <w:rsid w:val="007F1996"/>
    <w:rsid w:val="007F4FFA"/>
    <w:rsid w:val="007F626D"/>
    <w:rsid w:val="007F7B6B"/>
    <w:rsid w:val="00800275"/>
    <w:rsid w:val="008002C6"/>
    <w:rsid w:val="00800CBA"/>
    <w:rsid w:val="00801899"/>
    <w:rsid w:val="00801B29"/>
    <w:rsid w:val="00802700"/>
    <w:rsid w:val="008034CD"/>
    <w:rsid w:val="00804404"/>
    <w:rsid w:val="00804615"/>
    <w:rsid w:val="00806099"/>
    <w:rsid w:val="00806C7F"/>
    <w:rsid w:val="00807CA3"/>
    <w:rsid w:val="008102EA"/>
    <w:rsid w:val="00810D41"/>
    <w:rsid w:val="0081163D"/>
    <w:rsid w:val="008119A8"/>
    <w:rsid w:val="00811E01"/>
    <w:rsid w:val="00812BF0"/>
    <w:rsid w:val="00813460"/>
    <w:rsid w:val="00815167"/>
    <w:rsid w:val="008156A9"/>
    <w:rsid w:val="008162EA"/>
    <w:rsid w:val="0081675F"/>
    <w:rsid w:val="008174A8"/>
    <w:rsid w:val="008174D0"/>
    <w:rsid w:val="0082023A"/>
    <w:rsid w:val="00820420"/>
    <w:rsid w:val="00821E18"/>
    <w:rsid w:val="00823059"/>
    <w:rsid w:val="008234E0"/>
    <w:rsid w:val="00823ADD"/>
    <w:rsid w:val="00825136"/>
    <w:rsid w:val="008274CD"/>
    <w:rsid w:val="00827964"/>
    <w:rsid w:val="008305D8"/>
    <w:rsid w:val="0083290E"/>
    <w:rsid w:val="008329D5"/>
    <w:rsid w:val="008362C9"/>
    <w:rsid w:val="00837505"/>
    <w:rsid w:val="00840A82"/>
    <w:rsid w:val="008414FF"/>
    <w:rsid w:val="00842BB2"/>
    <w:rsid w:val="00842D03"/>
    <w:rsid w:val="00843B74"/>
    <w:rsid w:val="00844D3F"/>
    <w:rsid w:val="00844F4E"/>
    <w:rsid w:val="00847A2D"/>
    <w:rsid w:val="008508A0"/>
    <w:rsid w:val="0085099C"/>
    <w:rsid w:val="0085260B"/>
    <w:rsid w:val="008539A0"/>
    <w:rsid w:val="00853A6E"/>
    <w:rsid w:val="008546C2"/>
    <w:rsid w:val="008555BD"/>
    <w:rsid w:val="00857D19"/>
    <w:rsid w:val="00860141"/>
    <w:rsid w:val="0086048F"/>
    <w:rsid w:val="00860689"/>
    <w:rsid w:val="00860A61"/>
    <w:rsid w:val="00861574"/>
    <w:rsid w:val="008625B2"/>
    <w:rsid w:val="00863E30"/>
    <w:rsid w:val="0086574C"/>
    <w:rsid w:val="008658C4"/>
    <w:rsid w:val="008660CF"/>
    <w:rsid w:val="00867EC2"/>
    <w:rsid w:val="00870D41"/>
    <w:rsid w:val="00871FCB"/>
    <w:rsid w:val="00873C14"/>
    <w:rsid w:val="00873ED5"/>
    <w:rsid w:val="008751D5"/>
    <w:rsid w:val="00875596"/>
    <w:rsid w:val="00876DE6"/>
    <w:rsid w:val="008771F6"/>
    <w:rsid w:val="00880937"/>
    <w:rsid w:val="00880D19"/>
    <w:rsid w:val="0088190D"/>
    <w:rsid w:val="00881A95"/>
    <w:rsid w:val="00882B70"/>
    <w:rsid w:val="008848E8"/>
    <w:rsid w:val="00884934"/>
    <w:rsid w:val="00884D0B"/>
    <w:rsid w:val="00885282"/>
    <w:rsid w:val="00885878"/>
    <w:rsid w:val="00885B28"/>
    <w:rsid w:val="00886209"/>
    <w:rsid w:val="008872F8"/>
    <w:rsid w:val="00891DDC"/>
    <w:rsid w:val="00891F77"/>
    <w:rsid w:val="0089231E"/>
    <w:rsid w:val="00892395"/>
    <w:rsid w:val="008927C4"/>
    <w:rsid w:val="008930C4"/>
    <w:rsid w:val="00894094"/>
    <w:rsid w:val="008948D8"/>
    <w:rsid w:val="00895323"/>
    <w:rsid w:val="00897906"/>
    <w:rsid w:val="008A0069"/>
    <w:rsid w:val="008A4A77"/>
    <w:rsid w:val="008A609D"/>
    <w:rsid w:val="008A7383"/>
    <w:rsid w:val="008B03C2"/>
    <w:rsid w:val="008B2825"/>
    <w:rsid w:val="008B2F04"/>
    <w:rsid w:val="008B3ECE"/>
    <w:rsid w:val="008B4255"/>
    <w:rsid w:val="008B6050"/>
    <w:rsid w:val="008B6BFE"/>
    <w:rsid w:val="008B7393"/>
    <w:rsid w:val="008C14BF"/>
    <w:rsid w:val="008C3F24"/>
    <w:rsid w:val="008C51BD"/>
    <w:rsid w:val="008C762D"/>
    <w:rsid w:val="008C7717"/>
    <w:rsid w:val="008D18F7"/>
    <w:rsid w:val="008D1ADD"/>
    <w:rsid w:val="008D1D23"/>
    <w:rsid w:val="008D7896"/>
    <w:rsid w:val="008E0F26"/>
    <w:rsid w:val="008E0F70"/>
    <w:rsid w:val="008E104F"/>
    <w:rsid w:val="008E11F2"/>
    <w:rsid w:val="008E1BFE"/>
    <w:rsid w:val="008E20C1"/>
    <w:rsid w:val="008E3E7D"/>
    <w:rsid w:val="008E4AB8"/>
    <w:rsid w:val="008E6541"/>
    <w:rsid w:val="008E7488"/>
    <w:rsid w:val="008E78EF"/>
    <w:rsid w:val="008E7B06"/>
    <w:rsid w:val="008F17A3"/>
    <w:rsid w:val="008F3C1D"/>
    <w:rsid w:val="008F420E"/>
    <w:rsid w:val="008F42FB"/>
    <w:rsid w:val="008F5ED4"/>
    <w:rsid w:val="009001C4"/>
    <w:rsid w:val="00900350"/>
    <w:rsid w:val="00902F35"/>
    <w:rsid w:val="00906EE5"/>
    <w:rsid w:val="00907670"/>
    <w:rsid w:val="00907B66"/>
    <w:rsid w:val="0091065C"/>
    <w:rsid w:val="009108AA"/>
    <w:rsid w:val="00911344"/>
    <w:rsid w:val="009136BB"/>
    <w:rsid w:val="00913939"/>
    <w:rsid w:val="00913D2C"/>
    <w:rsid w:val="0091603E"/>
    <w:rsid w:val="00921380"/>
    <w:rsid w:val="00922175"/>
    <w:rsid w:val="00923AB5"/>
    <w:rsid w:val="00924F66"/>
    <w:rsid w:val="00926C90"/>
    <w:rsid w:val="00926FC4"/>
    <w:rsid w:val="00927E0A"/>
    <w:rsid w:val="00930A55"/>
    <w:rsid w:val="00933136"/>
    <w:rsid w:val="009331DF"/>
    <w:rsid w:val="009350F7"/>
    <w:rsid w:val="0093520F"/>
    <w:rsid w:val="00936883"/>
    <w:rsid w:val="0093750F"/>
    <w:rsid w:val="009378C4"/>
    <w:rsid w:val="00940596"/>
    <w:rsid w:val="00940745"/>
    <w:rsid w:val="009416DB"/>
    <w:rsid w:val="00942019"/>
    <w:rsid w:val="00942060"/>
    <w:rsid w:val="00942AD3"/>
    <w:rsid w:val="00944001"/>
    <w:rsid w:val="0094426F"/>
    <w:rsid w:val="00944A94"/>
    <w:rsid w:val="0094556B"/>
    <w:rsid w:val="009456CB"/>
    <w:rsid w:val="00947EDE"/>
    <w:rsid w:val="0095753D"/>
    <w:rsid w:val="00957D8C"/>
    <w:rsid w:val="009602B6"/>
    <w:rsid w:val="00962F48"/>
    <w:rsid w:val="009632CC"/>
    <w:rsid w:val="00966502"/>
    <w:rsid w:val="00966CE0"/>
    <w:rsid w:val="00967348"/>
    <w:rsid w:val="009673AE"/>
    <w:rsid w:val="00967A86"/>
    <w:rsid w:val="0097007D"/>
    <w:rsid w:val="00971683"/>
    <w:rsid w:val="00971EE0"/>
    <w:rsid w:val="0097287E"/>
    <w:rsid w:val="0097442E"/>
    <w:rsid w:val="00974C52"/>
    <w:rsid w:val="00975645"/>
    <w:rsid w:val="00975CF1"/>
    <w:rsid w:val="00976B28"/>
    <w:rsid w:val="00980374"/>
    <w:rsid w:val="0098219C"/>
    <w:rsid w:val="00982C24"/>
    <w:rsid w:val="0098435C"/>
    <w:rsid w:val="00986A7F"/>
    <w:rsid w:val="00987599"/>
    <w:rsid w:val="0099014D"/>
    <w:rsid w:val="0099040E"/>
    <w:rsid w:val="0099196C"/>
    <w:rsid w:val="009937C9"/>
    <w:rsid w:val="00993A0D"/>
    <w:rsid w:val="009941B8"/>
    <w:rsid w:val="00994776"/>
    <w:rsid w:val="0099590C"/>
    <w:rsid w:val="00996BAB"/>
    <w:rsid w:val="00997F33"/>
    <w:rsid w:val="00997F81"/>
    <w:rsid w:val="009A1668"/>
    <w:rsid w:val="009A2639"/>
    <w:rsid w:val="009A44B7"/>
    <w:rsid w:val="009A4655"/>
    <w:rsid w:val="009A7371"/>
    <w:rsid w:val="009A79D1"/>
    <w:rsid w:val="009B05E7"/>
    <w:rsid w:val="009B1519"/>
    <w:rsid w:val="009B1AD7"/>
    <w:rsid w:val="009B210B"/>
    <w:rsid w:val="009B2114"/>
    <w:rsid w:val="009B3200"/>
    <w:rsid w:val="009B3532"/>
    <w:rsid w:val="009B47D6"/>
    <w:rsid w:val="009B52D2"/>
    <w:rsid w:val="009B5EA5"/>
    <w:rsid w:val="009C0E05"/>
    <w:rsid w:val="009C13BD"/>
    <w:rsid w:val="009C166E"/>
    <w:rsid w:val="009C24EC"/>
    <w:rsid w:val="009C267B"/>
    <w:rsid w:val="009C2922"/>
    <w:rsid w:val="009C3B81"/>
    <w:rsid w:val="009C45A8"/>
    <w:rsid w:val="009D07B7"/>
    <w:rsid w:val="009D4B2A"/>
    <w:rsid w:val="009D5A9C"/>
    <w:rsid w:val="009D614B"/>
    <w:rsid w:val="009D6920"/>
    <w:rsid w:val="009D7A9F"/>
    <w:rsid w:val="009E00C1"/>
    <w:rsid w:val="009E0BC7"/>
    <w:rsid w:val="009E10F7"/>
    <w:rsid w:val="009E11B8"/>
    <w:rsid w:val="009E1C92"/>
    <w:rsid w:val="009E2603"/>
    <w:rsid w:val="009E6F0C"/>
    <w:rsid w:val="009F0CFA"/>
    <w:rsid w:val="009F3247"/>
    <w:rsid w:val="009F325F"/>
    <w:rsid w:val="009F3A7D"/>
    <w:rsid w:val="009F4CC2"/>
    <w:rsid w:val="009F64CD"/>
    <w:rsid w:val="009F65CB"/>
    <w:rsid w:val="00A005D0"/>
    <w:rsid w:val="00A016B9"/>
    <w:rsid w:val="00A0219B"/>
    <w:rsid w:val="00A03026"/>
    <w:rsid w:val="00A035CA"/>
    <w:rsid w:val="00A07F90"/>
    <w:rsid w:val="00A108D6"/>
    <w:rsid w:val="00A1135E"/>
    <w:rsid w:val="00A11868"/>
    <w:rsid w:val="00A1411B"/>
    <w:rsid w:val="00A15154"/>
    <w:rsid w:val="00A16499"/>
    <w:rsid w:val="00A17A6F"/>
    <w:rsid w:val="00A22A6A"/>
    <w:rsid w:val="00A23D3F"/>
    <w:rsid w:val="00A23EFB"/>
    <w:rsid w:val="00A26F5E"/>
    <w:rsid w:val="00A273B5"/>
    <w:rsid w:val="00A30C75"/>
    <w:rsid w:val="00A32028"/>
    <w:rsid w:val="00A330E6"/>
    <w:rsid w:val="00A331ED"/>
    <w:rsid w:val="00A33CC4"/>
    <w:rsid w:val="00A35BE9"/>
    <w:rsid w:val="00A374D9"/>
    <w:rsid w:val="00A37DCD"/>
    <w:rsid w:val="00A42921"/>
    <w:rsid w:val="00A42BC3"/>
    <w:rsid w:val="00A43D0A"/>
    <w:rsid w:val="00A43D2E"/>
    <w:rsid w:val="00A43F29"/>
    <w:rsid w:val="00A44FF2"/>
    <w:rsid w:val="00A45972"/>
    <w:rsid w:val="00A45A58"/>
    <w:rsid w:val="00A510ED"/>
    <w:rsid w:val="00A51714"/>
    <w:rsid w:val="00A51EFD"/>
    <w:rsid w:val="00A524E5"/>
    <w:rsid w:val="00A525A8"/>
    <w:rsid w:val="00A5287F"/>
    <w:rsid w:val="00A52915"/>
    <w:rsid w:val="00A53852"/>
    <w:rsid w:val="00A5711D"/>
    <w:rsid w:val="00A57ACC"/>
    <w:rsid w:val="00A57B67"/>
    <w:rsid w:val="00A6012F"/>
    <w:rsid w:val="00A62D02"/>
    <w:rsid w:val="00A63370"/>
    <w:rsid w:val="00A64AD0"/>
    <w:rsid w:val="00A673AB"/>
    <w:rsid w:val="00A67638"/>
    <w:rsid w:val="00A6788D"/>
    <w:rsid w:val="00A72D1D"/>
    <w:rsid w:val="00A73E2F"/>
    <w:rsid w:val="00A779D5"/>
    <w:rsid w:val="00A81144"/>
    <w:rsid w:val="00A82D53"/>
    <w:rsid w:val="00A834B3"/>
    <w:rsid w:val="00A83906"/>
    <w:rsid w:val="00A845FE"/>
    <w:rsid w:val="00A849F3"/>
    <w:rsid w:val="00A84A3F"/>
    <w:rsid w:val="00A85AC8"/>
    <w:rsid w:val="00A87DB3"/>
    <w:rsid w:val="00A9119D"/>
    <w:rsid w:val="00A9174B"/>
    <w:rsid w:val="00A92FC9"/>
    <w:rsid w:val="00A932E8"/>
    <w:rsid w:val="00A93AAD"/>
    <w:rsid w:val="00A946A6"/>
    <w:rsid w:val="00A94D49"/>
    <w:rsid w:val="00A9568E"/>
    <w:rsid w:val="00A95D29"/>
    <w:rsid w:val="00A976C2"/>
    <w:rsid w:val="00A977CD"/>
    <w:rsid w:val="00AA025A"/>
    <w:rsid w:val="00AA142B"/>
    <w:rsid w:val="00AA1706"/>
    <w:rsid w:val="00AA2DE6"/>
    <w:rsid w:val="00AA3321"/>
    <w:rsid w:val="00AA3357"/>
    <w:rsid w:val="00AA407F"/>
    <w:rsid w:val="00AA613D"/>
    <w:rsid w:val="00AB0874"/>
    <w:rsid w:val="00AB127D"/>
    <w:rsid w:val="00AB21C5"/>
    <w:rsid w:val="00AB6245"/>
    <w:rsid w:val="00AC0986"/>
    <w:rsid w:val="00AC140E"/>
    <w:rsid w:val="00AC3555"/>
    <w:rsid w:val="00AC4579"/>
    <w:rsid w:val="00AC5186"/>
    <w:rsid w:val="00AC5619"/>
    <w:rsid w:val="00AC6496"/>
    <w:rsid w:val="00AD06ED"/>
    <w:rsid w:val="00AD0F52"/>
    <w:rsid w:val="00AD5B9E"/>
    <w:rsid w:val="00AD63B2"/>
    <w:rsid w:val="00AD7777"/>
    <w:rsid w:val="00AE1D8D"/>
    <w:rsid w:val="00AE34C5"/>
    <w:rsid w:val="00AE3BDC"/>
    <w:rsid w:val="00AE3DA4"/>
    <w:rsid w:val="00AE42C6"/>
    <w:rsid w:val="00AE4623"/>
    <w:rsid w:val="00AE55CB"/>
    <w:rsid w:val="00AE5A28"/>
    <w:rsid w:val="00AE5CCA"/>
    <w:rsid w:val="00AE7028"/>
    <w:rsid w:val="00AE7765"/>
    <w:rsid w:val="00AF121B"/>
    <w:rsid w:val="00AF1305"/>
    <w:rsid w:val="00AF1A71"/>
    <w:rsid w:val="00AF316A"/>
    <w:rsid w:val="00AF3D7A"/>
    <w:rsid w:val="00AF418E"/>
    <w:rsid w:val="00AF4286"/>
    <w:rsid w:val="00AF4C00"/>
    <w:rsid w:val="00AF73CB"/>
    <w:rsid w:val="00B00520"/>
    <w:rsid w:val="00B01293"/>
    <w:rsid w:val="00B02DF1"/>
    <w:rsid w:val="00B031C7"/>
    <w:rsid w:val="00B0458A"/>
    <w:rsid w:val="00B065B7"/>
    <w:rsid w:val="00B07F16"/>
    <w:rsid w:val="00B10068"/>
    <w:rsid w:val="00B11A38"/>
    <w:rsid w:val="00B12EF0"/>
    <w:rsid w:val="00B22F5B"/>
    <w:rsid w:val="00B25593"/>
    <w:rsid w:val="00B25788"/>
    <w:rsid w:val="00B25993"/>
    <w:rsid w:val="00B2605B"/>
    <w:rsid w:val="00B268BF"/>
    <w:rsid w:val="00B30DC7"/>
    <w:rsid w:val="00B316F0"/>
    <w:rsid w:val="00B36D11"/>
    <w:rsid w:val="00B41EAD"/>
    <w:rsid w:val="00B42470"/>
    <w:rsid w:val="00B427AF"/>
    <w:rsid w:val="00B43762"/>
    <w:rsid w:val="00B43DAE"/>
    <w:rsid w:val="00B44938"/>
    <w:rsid w:val="00B44A9B"/>
    <w:rsid w:val="00B452B8"/>
    <w:rsid w:val="00B45390"/>
    <w:rsid w:val="00B46EDA"/>
    <w:rsid w:val="00B51AD0"/>
    <w:rsid w:val="00B51E75"/>
    <w:rsid w:val="00B52317"/>
    <w:rsid w:val="00B54043"/>
    <w:rsid w:val="00B5477F"/>
    <w:rsid w:val="00B55016"/>
    <w:rsid w:val="00B5761E"/>
    <w:rsid w:val="00B6004C"/>
    <w:rsid w:val="00B6065D"/>
    <w:rsid w:val="00B61FC6"/>
    <w:rsid w:val="00B63ADC"/>
    <w:rsid w:val="00B65AB3"/>
    <w:rsid w:val="00B704C0"/>
    <w:rsid w:val="00B70BCE"/>
    <w:rsid w:val="00B71CCC"/>
    <w:rsid w:val="00B720BD"/>
    <w:rsid w:val="00B72DA2"/>
    <w:rsid w:val="00B7325A"/>
    <w:rsid w:val="00B73D4D"/>
    <w:rsid w:val="00B74375"/>
    <w:rsid w:val="00B757CF"/>
    <w:rsid w:val="00B768CD"/>
    <w:rsid w:val="00B77C29"/>
    <w:rsid w:val="00B81477"/>
    <w:rsid w:val="00B815FC"/>
    <w:rsid w:val="00B81C25"/>
    <w:rsid w:val="00B82BD1"/>
    <w:rsid w:val="00B83FE6"/>
    <w:rsid w:val="00B86441"/>
    <w:rsid w:val="00B86D29"/>
    <w:rsid w:val="00B87A0A"/>
    <w:rsid w:val="00B9095D"/>
    <w:rsid w:val="00B91EC9"/>
    <w:rsid w:val="00B938C1"/>
    <w:rsid w:val="00B94B43"/>
    <w:rsid w:val="00BA065D"/>
    <w:rsid w:val="00BA2255"/>
    <w:rsid w:val="00BA2448"/>
    <w:rsid w:val="00BA27F2"/>
    <w:rsid w:val="00BA2C52"/>
    <w:rsid w:val="00BA3CEE"/>
    <w:rsid w:val="00BA4AB3"/>
    <w:rsid w:val="00BA4AB5"/>
    <w:rsid w:val="00BA52CE"/>
    <w:rsid w:val="00BA567C"/>
    <w:rsid w:val="00BA5B10"/>
    <w:rsid w:val="00BA62AA"/>
    <w:rsid w:val="00BA659B"/>
    <w:rsid w:val="00BA7A60"/>
    <w:rsid w:val="00BA7A6B"/>
    <w:rsid w:val="00BB0640"/>
    <w:rsid w:val="00BB248A"/>
    <w:rsid w:val="00BB3437"/>
    <w:rsid w:val="00BB411D"/>
    <w:rsid w:val="00BB7641"/>
    <w:rsid w:val="00BB7988"/>
    <w:rsid w:val="00BC0B61"/>
    <w:rsid w:val="00BC38E6"/>
    <w:rsid w:val="00BC3939"/>
    <w:rsid w:val="00BC3A7F"/>
    <w:rsid w:val="00BC3FDE"/>
    <w:rsid w:val="00BD13BF"/>
    <w:rsid w:val="00BD26A7"/>
    <w:rsid w:val="00BD43CD"/>
    <w:rsid w:val="00BD5156"/>
    <w:rsid w:val="00BD6265"/>
    <w:rsid w:val="00BE080C"/>
    <w:rsid w:val="00BE24CA"/>
    <w:rsid w:val="00BE3513"/>
    <w:rsid w:val="00BE3FCC"/>
    <w:rsid w:val="00BE7479"/>
    <w:rsid w:val="00BF0878"/>
    <w:rsid w:val="00BF1D98"/>
    <w:rsid w:val="00BF26D2"/>
    <w:rsid w:val="00BF2C2C"/>
    <w:rsid w:val="00BF4965"/>
    <w:rsid w:val="00BF5169"/>
    <w:rsid w:val="00BF65DC"/>
    <w:rsid w:val="00BF6E18"/>
    <w:rsid w:val="00BF737A"/>
    <w:rsid w:val="00C0144A"/>
    <w:rsid w:val="00C014E7"/>
    <w:rsid w:val="00C01DC4"/>
    <w:rsid w:val="00C0205B"/>
    <w:rsid w:val="00C0297B"/>
    <w:rsid w:val="00C06496"/>
    <w:rsid w:val="00C0656E"/>
    <w:rsid w:val="00C074CC"/>
    <w:rsid w:val="00C10C45"/>
    <w:rsid w:val="00C115E2"/>
    <w:rsid w:val="00C123C4"/>
    <w:rsid w:val="00C13C63"/>
    <w:rsid w:val="00C140F1"/>
    <w:rsid w:val="00C155D3"/>
    <w:rsid w:val="00C156E2"/>
    <w:rsid w:val="00C15D64"/>
    <w:rsid w:val="00C2082F"/>
    <w:rsid w:val="00C23333"/>
    <w:rsid w:val="00C25C6A"/>
    <w:rsid w:val="00C26523"/>
    <w:rsid w:val="00C27B54"/>
    <w:rsid w:val="00C306F9"/>
    <w:rsid w:val="00C32EEE"/>
    <w:rsid w:val="00C355ED"/>
    <w:rsid w:val="00C4012F"/>
    <w:rsid w:val="00C404DC"/>
    <w:rsid w:val="00C4052A"/>
    <w:rsid w:val="00C40B53"/>
    <w:rsid w:val="00C40FDC"/>
    <w:rsid w:val="00C41444"/>
    <w:rsid w:val="00C41C59"/>
    <w:rsid w:val="00C43FA3"/>
    <w:rsid w:val="00C45EB9"/>
    <w:rsid w:val="00C463FA"/>
    <w:rsid w:val="00C476F3"/>
    <w:rsid w:val="00C50C08"/>
    <w:rsid w:val="00C51740"/>
    <w:rsid w:val="00C5234B"/>
    <w:rsid w:val="00C52CF1"/>
    <w:rsid w:val="00C54601"/>
    <w:rsid w:val="00C553B3"/>
    <w:rsid w:val="00C557BD"/>
    <w:rsid w:val="00C56AFC"/>
    <w:rsid w:val="00C57617"/>
    <w:rsid w:val="00C577AF"/>
    <w:rsid w:val="00C624D4"/>
    <w:rsid w:val="00C633ED"/>
    <w:rsid w:val="00C647CA"/>
    <w:rsid w:val="00C66360"/>
    <w:rsid w:val="00C6714D"/>
    <w:rsid w:val="00C73658"/>
    <w:rsid w:val="00C73B50"/>
    <w:rsid w:val="00C73F46"/>
    <w:rsid w:val="00C74216"/>
    <w:rsid w:val="00C7439A"/>
    <w:rsid w:val="00C75E95"/>
    <w:rsid w:val="00C7605E"/>
    <w:rsid w:val="00C77AF9"/>
    <w:rsid w:val="00C80ED3"/>
    <w:rsid w:val="00C81D20"/>
    <w:rsid w:val="00C83372"/>
    <w:rsid w:val="00C83753"/>
    <w:rsid w:val="00C83D06"/>
    <w:rsid w:val="00C84D98"/>
    <w:rsid w:val="00C85731"/>
    <w:rsid w:val="00C85F1F"/>
    <w:rsid w:val="00C867E1"/>
    <w:rsid w:val="00C9044B"/>
    <w:rsid w:val="00C90ABF"/>
    <w:rsid w:val="00C90B59"/>
    <w:rsid w:val="00C931CE"/>
    <w:rsid w:val="00C93D9B"/>
    <w:rsid w:val="00C94CB5"/>
    <w:rsid w:val="00C95C72"/>
    <w:rsid w:val="00C95D16"/>
    <w:rsid w:val="00C95FA7"/>
    <w:rsid w:val="00C9761C"/>
    <w:rsid w:val="00C97C1C"/>
    <w:rsid w:val="00CA19B2"/>
    <w:rsid w:val="00CA1AFE"/>
    <w:rsid w:val="00CA3215"/>
    <w:rsid w:val="00CA4234"/>
    <w:rsid w:val="00CA45FD"/>
    <w:rsid w:val="00CA4BF4"/>
    <w:rsid w:val="00CA5777"/>
    <w:rsid w:val="00CA5D99"/>
    <w:rsid w:val="00CA72C5"/>
    <w:rsid w:val="00CB12FE"/>
    <w:rsid w:val="00CB1503"/>
    <w:rsid w:val="00CB273E"/>
    <w:rsid w:val="00CB3263"/>
    <w:rsid w:val="00CB401B"/>
    <w:rsid w:val="00CB483B"/>
    <w:rsid w:val="00CB4CCE"/>
    <w:rsid w:val="00CB7AFB"/>
    <w:rsid w:val="00CC06D4"/>
    <w:rsid w:val="00CC10EC"/>
    <w:rsid w:val="00CC193B"/>
    <w:rsid w:val="00CC1BB7"/>
    <w:rsid w:val="00CC50BE"/>
    <w:rsid w:val="00CD1142"/>
    <w:rsid w:val="00CD1DF8"/>
    <w:rsid w:val="00CD2255"/>
    <w:rsid w:val="00CD2E60"/>
    <w:rsid w:val="00CD363A"/>
    <w:rsid w:val="00CD40E4"/>
    <w:rsid w:val="00CD46CE"/>
    <w:rsid w:val="00CD6B7E"/>
    <w:rsid w:val="00CD6D89"/>
    <w:rsid w:val="00CE1382"/>
    <w:rsid w:val="00CE3D43"/>
    <w:rsid w:val="00CE5277"/>
    <w:rsid w:val="00CE52A9"/>
    <w:rsid w:val="00CE5472"/>
    <w:rsid w:val="00CE6646"/>
    <w:rsid w:val="00CE6847"/>
    <w:rsid w:val="00CE71AB"/>
    <w:rsid w:val="00CE7428"/>
    <w:rsid w:val="00CE7D3A"/>
    <w:rsid w:val="00CF0274"/>
    <w:rsid w:val="00CF06A2"/>
    <w:rsid w:val="00CF166C"/>
    <w:rsid w:val="00CF2371"/>
    <w:rsid w:val="00CF267B"/>
    <w:rsid w:val="00CF2FA3"/>
    <w:rsid w:val="00CF4DF0"/>
    <w:rsid w:val="00CF5332"/>
    <w:rsid w:val="00CF6E06"/>
    <w:rsid w:val="00D024AC"/>
    <w:rsid w:val="00D02DBA"/>
    <w:rsid w:val="00D0495E"/>
    <w:rsid w:val="00D04BA3"/>
    <w:rsid w:val="00D04CCF"/>
    <w:rsid w:val="00D0585E"/>
    <w:rsid w:val="00D05FE5"/>
    <w:rsid w:val="00D06854"/>
    <w:rsid w:val="00D072EF"/>
    <w:rsid w:val="00D10218"/>
    <w:rsid w:val="00D122BB"/>
    <w:rsid w:val="00D12471"/>
    <w:rsid w:val="00D125F0"/>
    <w:rsid w:val="00D13816"/>
    <w:rsid w:val="00D14E57"/>
    <w:rsid w:val="00D15866"/>
    <w:rsid w:val="00D17390"/>
    <w:rsid w:val="00D2196A"/>
    <w:rsid w:val="00D21DA4"/>
    <w:rsid w:val="00D22CC6"/>
    <w:rsid w:val="00D234E8"/>
    <w:rsid w:val="00D2377B"/>
    <w:rsid w:val="00D2394B"/>
    <w:rsid w:val="00D26387"/>
    <w:rsid w:val="00D309CE"/>
    <w:rsid w:val="00D3491B"/>
    <w:rsid w:val="00D34AB1"/>
    <w:rsid w:val="00D34C92"/>
    <w:rsid w:val="00D34FC7"/>
    <w:rsid w:val="00D357AA"/>
    <w:rsid w:val="00D35C3D"/>
    <w:rsid w:val="00D36BF8"/>
    <w:rsid w:val="00D402AA"/>
    <w:rsid w:val="00D41CD6"/>
    <w:rsid w:val="00D42D16"/>
    <w:rsid w:val="00D43125"/>
    <w:rsid w:val="00D44B0B"/>
    <w:rsid w:val="00D44FCE"/>
    <w:rsid w:val="00D45511"/>
    <w:rsid w:val="00D45DD3"/>
    <w:rsid w:val="00D46DC9"/>
    <w:rsid w:val="00D4730C"/>
    <w:rsid w:val="00D506B8"/>
    <w:rsid w:val="00D5104C"/>
    <w:rsid w:val="00D51483"/>
    <w:rsid w:val="00D522DE"/>
    <w:rsid w:val="00D525F9"/>
    <w:rsid w:val="00D52E3F"/>
    <w:rsid w:val="00D54567"/>
    <w:rsid w:val="00D5685F"/>
    <w:rsid w:val="00D56CDE"/>
    <w:rsid w:val="00D60C7B"/>
    <w:rsid w:val="00D61D09"/>
    <w:rsid w:val="00D671C1"/>
    <w:rsid w:val="00D672C5"/>
    <w:rsid w:val="00D67BEB"/>
    <w:rsid w:val="00D67E19"/>
    <w:rsid w:val="00D71A67"/>
    <w:rsid w:val="00D72F33"/>
    <w:rsid w:val="00D74122"/>
    <w:rsid w:val="00D763B9"/>
    <w:rsid w:val="00D76A88"/>
    <w:rsid w:val="00D773CC"/>
    <w:rsid w:val="00D807E2"/>
    <w:rsid w:val="00D81542"/>
    <w:rsid w:val="00D83097"/>
    <w:rsid w:val="00D8526D"/>
    <w:rsid w:val="00D860DC"/>
    <w:rsid w:val="00D86869"/>
    <w:rsid w:val="00D87FB4"/>
    <w:rsid w:val="00D91102"/>
    <w:rsid w:val="00D915EC"/>
    <w:rsid w:val="00D93107"/>
    <w:rsid w:val="00D9405F"/>
    <w:rsid w:val="00D96A04"/>
    <w:rsid w:val="00D9719B"/>
    <w:rsid w:val="00DA0D4A"/>
    <w:rsid w:val="00DA10E6"/>
    <w:rsid w:val="00DA1DE3"/>
    <w:rsid w:val="00DA38EA"/>
    <w:rsid w:val="00DA46C9"/>
    <w:rsid w:val="00DA5632"/>
    <w:rsid w:val="00DA5E07"/>
    <w:rsid w:val="00DA6203"/>
    <w:rsid w:val="00DA6776"/>
    <w:rsid w:val="00DA6E23"/>
    <w:rsid w:val="00DA70C0"/>
    <w:rsid w:val="00DA70CF"/>
    <w:rsid w:val="00DB1C80"/>
    <w:rsid w:val="00DB2D9F"/>
    <w:rsid w:val="00DB7CE2"/>
    <w:rsid w:val="00DB7F9E"/>
    <w:rsid w:val="00DC03FA"/>
    <w:rsid w:val="00DC14ED"/>
    <w:rsid w:val="00DC1C1E"/>
    <w:rsid w:val="00DC2217"/>
    <w:rsid w:val="00DC268E"/>
    <w:rsid w:val="00DC333E"/>
    <w:rsid w:val="00DC3421"/>
    <w:rsid w:val="00DC42DD"/>
    <w:rsid w:val="00DC6199"/>
    <w:rsid w:val="00DC623D"/>
    <w:rsid w:val="00DC6A19"/>
    <w:rsid w:val="00DC7273"/>
    <w:rsid w:val="00DD06E7"/>
    <w:rsid w:val="00DD2566"/>
    <w:rsid w:val="00DD2576"/>
    <w:rsid w:val="00DD35AD"/>
    <w:rsid w:val="00DD5A7F"/>
    <w:rsid w:val="00DE1DC2"/>
    <w:rsid w:val="00DE2424"/>
    <w:rsid w:val="00DE3A7E"/>
    <w:rsid w:val="00DE3CCB"/>
    <w:rsid w:val="00DE3E8C"/>
    <w:rsid w:val="00DE47C4"/>
    <w:rsid w:val="00DE620D"/>
    <w:rsid w:val="00DE728D"/>
    <w:rsid w:val="00DF0B2E"/>
    <w:rsid w:val="00DF0C68"/>
    <w:rsid w:val="00DF17A5"/>
    <w:rsid w:val="00DF3B46"/>
    <w:rsid w:val="00DF5913"/>
    <w:rsid w:val="00DF5E02"/>
    <w:rsid w:val="00DF6A15"/>
    <w:rsid w:val="00DF6C9B"/>
    <w:rsid w:val="00DF6D5E"/>
    <w:rsid w:val="00E001FD"/>
    <w:rsid w:val="00E00CD1"/>
    <w:rsid w:val="00E00FBA"/>
    <w:rsid w:val="00E0236E"/>
    <w:rsid w:val="00E02A11"/>
    <w:rsid w:val="00E02DD7"/>
    <w:rsid w:val="00E02EFC"/>
    <w:rsid w:val="00E038C6"/>
    <w:rsid w:val="00E04AAD"/>
    <w:rsid w:val="00E05544"/>
    <w:rsid w:val="00E07E2A"/>
    <w:rsid w:val="00E12147"/>
    <w:rsid w:val="00E12EEC"/>
    <w:rsid w:val="00E13768"/>
    <w:rsid w:val="00E13E63"/>
    <w:rsid w:val="00E1414B"/>
    <w:rsid w:val="00E14362"/>
    <w:rsid w:val="00E14665"/>
    <w:rsid w:val="00E14855"/>
    <w:rsid w:val="00E17C5A"/>
    <w:rsid w:val="00E225DB"/>
    <w:rsid w:val="00E22C39"/>
    <w:rsid w:val="00E233A5"/>
    <w:rsid w:val="00E2612F"/>
    <w:rsid w:val="00E26F94"/>
    <w:rsid w:val="00E325AA"/>
    <w:rsid w:val="00E3425F"/>
    <w:rsid w:val="00E36546"/>
    <w:rsid w:val="00E3750E"/>
    <w:rsid w:val="00E42233"/>
    <w:rsid w:val="00E4368C"/>
    <w:rsid w:val="00E452E5"/>
    <w:rsid w:val="00E46273"/>
    <w:rsid w:val="00E47527"/>
    <w:rsid w:val="00E47706"/>
    <w:rsid w:val="00E50891"/>
    <w:rsid w:val="00E52211"/>
    <w:rsid w:val="00E52770"/>
    <w:rsid w:val="00E52A67"/>
    <w:rsid w:val="00E5302D"/>
    <w:rsid w:val="00E53286"/>
    <w:rsid w:val="00E5661D"/>
    <w:rsid w:val="00E57327"/>
    <w:rsid w:val="00E6022E"/>
    <w:rsid w:val="00E61A80"/>
    <w:rsid w:val="00E62D76"/>
    <w:rsid w:val="00E63293"/>
    <w:rsid w:val="00E633E4"/>
    <w:rsid w:val="00E645D2"/>
    <w:rsid w:val="00E64698"/>
    <w:rsid w:val="00E64811"/>
    <w:rsid w:val="00E655A4"/>
    <w:rsid w:val="00E66107"/>
    <w:rsid w:val="00E7060A"/>
    <w:rsid w:val="00E708B2"/>
    <w:rsid w:val="00E728EF"/>
    <w:rsid w:val="00E7327D"/>
    <w:rsid w:val="00E73F2F"/>
    <w:rsid w:val="00E74938"/>
    <w:rsid w:val="00E7505D"/>
    <w:rsid w:val="00E75A7D"/>
    <w:rsid w:val="00E77D96"/>
    <w:rsid w:val="00E815E2"/>
    <w:rsid w:val="00E81B97"/>
    <w:rsid w:val="00E8258A"/>
    <w:rsid w:val="00E84CAA"/>
    <w:rsid w:val="00E870D3"/>
    <w:rsid w:val="00E90A78"/>
    <w:rsid w:val="00E90D09"/>
    <w:rsid w:val="00E9128D"/>
    <w:rsid w:val="00E92DE9"/>
    <w:rsid w:val="00E93414"/>
    <w:rsid w:val="00E942E0"/>
    <w:rsid w:val="00E94755"/>
    <w:rsid w:val="00E964D9"/>
    <w:rsid w:val="00E96E60"/>
    <w:rsid w:val="00E96F56"/>
    <w:rsid w:val="00E9718C"/>
    <w:rsid w:val="00E9756E"/>
    <w:rsid w:val="00EA1916"/>
    <w:rsid w:val="00EA1A63"/>
    <w:rsid w:val="00EA1B52"/>
    <w:rsid w:val="00EA3880"/>
    <w:rsid w:val="00EA390B"/>
    <w:rsid w:val="00EA43CA"/>
    <w:rsid w:val="00EB0F7F"/>
    <w:rsid w:val="00EB134E"/>
    <w:rsid w:val="00EB2468"/>
    <w:rsid w:val="00EB2866"/>
    <w:rsid w:val="00EB35BB"/>
    <w:rsid w:val="00EB521F"/>
    <w:rsid w:val="00EB535C"/>
    <w:rsid w:val="00EB6195"/>
    <w:rsid w:val="00EB7CF5"/>
    <w:rsid w:val="00EC0875"/>
    <w:rsid w:val="00EC2B59"/>
    <w:rsid w:val="00EC350E"/>
    <w:rsid w:val="00EC3739"/>
    <w:rsid w:val="00EC3B0E"/>
    <w:rsid w:val="00EC3D1E"/>
    <w:rsid w:val="00EC4CB3"/>
    <w:rsid w:val="00EC511C"/>
    <w:rsid w:val="00EC7425"/>
    <w:rsid w:val="00ED25D5"/>
    <w:rsid w:val="00ED28C4"/>
    <w:rsid w:val="00ED3252"/>
    <w:rsid w:val="00ED35D3"/>
    <w:rsid w:val="00ED4F8F"/>
    <w:rsid w:val="00EE0CE1"/>
    <w:rsid w:val="00EE112B"/>
    <w:rsid w:val="00EE1672"/>
    <w:rsid w:val="00EE2E7A"/>
    <w:rsid w:val="00EE34F7"/>
    <w:rsid w:val="00EE36A0"/>
    <w:rsid w:val="00EE43CF"/>
    <w:rsid w:val="00EE465D"/>
    <w:rsid w:val="00EE4C34"/>
    <w:rsid w:val="00EE6B96"/>
    <w:rsid w:val="00EF01D0"/>
    <w:rsid w:val="00EF0773"/>
    <w:rsid w:val="00EF1855"/>
    <w:rsid w:val="00EF250B"/>
    <w:rsid w:val="00EF4E25"/>
    <w:rsid w:val="00F001D7"/>
    <w:rsid w:val="00F002FA"/>
    <w:rsid w:val="00F05C5F"/>
    <w:rsid w:val="00F07719"/>
    <w:rsid w:val="00F07C91"/>
    <w:rsid w:val="00F13E16"/>
    <w:rsid w:val="00F14437"/>
    <w:rsid w:val="00F16E07"/>
    <w:rsid w:val="00F17305"/>
    <w:rsid w:val="00F200A2"/>
    <w:rsid w:val="00F20605"/>
    <w:rsid w:val="00F20AB2"/>
    <w:rsid w:val="00F229CD"/>
    <w:rsid w:val="00F22FDD"/>
    <w:rsid w:val="00F23B43"/>
    <w:rsid w:val="00F253C8"/>
    <w:rsid w:val="00F27B7A"/>
    <w:rsid w:val="00F359E2"/>
    <w:rsid w:val="00F37789"/>
    <w:rsid w:val="00F409BA"/>
    <w:rsid w:val="00F411DD"/>
    <w:rsid w:val="00F41772"/>
    <w:rsid w:val="00F420EC"/>
    <w:rsid w:val="00F420FE"/>
    <w:rsid w:val="00F43C9E"/>
    <w:rsid w:val="00F44AE7"/>
    <w:rsid w:val="00F469C2"/>
    <w:rsid w:val="00F47A86"/>
    <w:rsid w:val="00F509C7"/>
    <w:rsid w:val="00F52168"/>
    <w:rsid w:val="00F52F34"/>
    <w:rsid w:val="00F53EFB"/>
    <w:rsid w:val="00F5421E"/>
    <w:rsid w:val="00F554AA"/>
    <w:rsid w:val="00F55635"/>
    <w:rsid w:val="00F60CDF"/>
    <w:rsid w:val="00F61939"/>
    <w:rsid w:val="00F62C7A"/>
    <w:rsid w:val="00F64DE7"/>
    <w:rsid w:val="00F6656E"/>
    <w:rsid w:val="00F66CAC"/>
    <w:rsid w:val="00F6727F"/>
    <w:rsid w:val="00F67D38"/>
    <w:rsid w:val="00F71112"/>
    <w:rsid w:val="00F724D4"/>
    <w:rsid w:val="00F72AC2"/>
    <w:rsid w:val="00F736B1"/>
    <w:rsid w:val="00F73CFC"/>
    <w:rsid w:val="00F73E95"/>
    <w:rsid w:val="00F74234"/>
    <w:rsid w:val="00F74FE0"/>
    <w:rsid w:val="00F750FA"/>
    <w:rsid w:val="00F77BE0"/>
    <w:rsid w:val="00F80495"/>
    <w:rsid w:val="00F82575"/>
    <w:rsid w:val="00F82DC4"/>
    <w:rsid w:val="00F8302E"/>
    <w:rsid w:val="00F83C14"/>
    <w:rsid w:val="00F855E2"/>
    <w:rsid w:val="00F85CF5"/>
    <w:rsid w:val="00F86B40"/>
    <w:rsid w:val="00F908CA"/>
    <w:rsid w:val="00F92289"/>
    <w:rsid w:val="00F926F9"/>
    <w:rsid w:val="00F927B2"/>
    <w:rsid w:val="00F95624"/>
    <w:rsid w:val="00F9656C"/>
    <w:rsid w:val="00F973AE"/>
    <w:rsid w:val="00F97667"/>
    <w:rsid w:val="00F97AFF"/>
    <w:rsid w:val="00FA0BB1"/>
    <w:rsid w:val="00FA36C5"/>
    <w:rsid w:val="00FA3A5A"/>
    <w:rsid w:val="00FA3B1F"/>
    <w:rsid w:val="00FA3BB5"/>
    <w:rsid w:val="00FA4637"/>
    <w:rsid w:val="00FA5D76"/>
    <w:rsid w:val="00FA7EB1"/>
    <w:rsid w:val="00FB0925"/>
    <w:rsid w:val="00FB34D8"/>
    <w:rsid w:val="00FB3A6B"/>
    <w:rsid w:val="00FB4134"/>
    <w:rsid w:val="00FB4920"/>
    <w:rsid w:val="00FB592D"/>
    <w:rsid w:val="00FB63F3"/>
    <w:rsid w:val="00FB6EC5"/>
    <w:rsid w:val="00FC022B"/>
    <w:rsid w:val="00FC0786"/>
    <w:rsid w:val="00FC09E4"/>
    <w:rsid w:val="00FC29C4"/>
    <w:rsid w:val="00FC4C67"/>
    <w:rsid w:val="00FC5160"/>
    <w:rsid w:val="00FC5F23"/>
    <w:rsid w:val="00FC6866"/>
    <w:rsid w:val="00FC6B42"/>
    <w:rsid w:val="00FC7887"/>
    <w:rsid w:val="00FD0DE4"/>
    <w:rsid w:val="00FD1CB7"/>
    <w:rsid w:val="00FD2C06"/>
    <w:rsid w:val="00FD3421"/>
    <w:rsid w:val="00FD3620"/>
    <w:rsid w:val="00FD4497"/>
    <w:rsid w:val="00FD622A"/>
    <w:rsid w:val="00FD682D"/>
    <w:rsid w:val="00FD7B84"/>
    <w:rsid w:val="00FE052D"/>
    <w:rsid w:val="00FE1844"/>
    <w:rsid w:val="00FE1C64"/>
    <w:rsid w:val="00FE2BD0"/>
    <w:rsid w:val="00FE2EA5"/>
    <w:rsid w:val="00FE3323"/>
    <w:rsid w:val="00FE3871"/>
    <w:rsid w:val="00FE43AC"/>
    <w:rsid w:val="00FF058F"/>
    <w:rsid w:val="00FF283B"/>
    <w:rsid w:val="00FF3CBD"/>
    <w:rsid w:val="00FF4A9F"/>
    <w:rsid w:val="00FF4BDB"/>
    <w:rsid w:val="00FF5120"/>
    <w:rsid w:val="00FF6374"/>
    <w:rsid w:val="00FF6FEF"/>
    <w:rsid w:val="00FF75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3964"/>
  <w15:chartTrackingRefBased/>
  <w15:docId w15:val="{8F34541D-7A27-4BE8-9AAF-1D6B3F0A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D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6D11"/>
  </w:style>
  <w:style w:type="paragraph" w:styleId="Footer">
    <w:name w:val="footer"/>
    <w:basedOn w:val="Normal"/>
    <w:link w:val="FooterChar"/>
    <w:unhideWhenUsed/>
    <w:rsid w:val="00B36D11"/>
    <w:pPr>
      <w:tabs>
        <w:tab w:val="center" w:pos="4153"/>
        <w:tab w:val="right" w:pos="8306"/>
      </w:tabs>
      <w:spacing w:after="0" w:line="240" w:lineRule="auto"/>
    </w:pPr>
  </w:style>
  <w:style w:type="character" w:customStyle="1" w:styleId="FooterChar">
    <w:name w:val="Footer Char"/>
    <w:basedOn w:val="DefaultParagraphFont"/>
    <w:link w:val="Footer"/>
    <w:rsid w:val="00B36D11"/>
  </w:style>
  <w:style w:type="paragraph" w:customStyle="1" w:styleId="Body">
    <w:name w:val="Body"/>
    <w:rsid w:val="00D12471"/>
    <w:pPr>
      <w:spacing w:after="200" w:line="276" w:lineRule="auto"/>
    </w:pPr>
    <w:rPr>
      <w:rFonts w:ascii="Calibri" w:eastAsia="Arial Unicode MS" w:hAnsi="Calibri" w:cs="Arial Unicode MS"/>
      <w:color w:val="000000"/>
      <w:u w:color="000000"/>
      <w:lang w:eastAsia="lv-LV"/>
    </w:rPr>
  </w:style>
  <w:style w:type="paragraph" w:styleId="ListParagraph">
    <w:name w:val="List Paragraph"/>
    <w:basedOn w:val="Normal"/>
    <w:uiPriority w:val="34"/>
    <w:qFormat/>
    <w:rsid w:val="00274C03"/>
    <w:pPr>
      <w:ind w:left="720"/>
      <w:contextualSpacing/>
    </w:pPr>
  </w:style>
  <w:style w:type="table" w:styleId="TableGrid">
    <w:name w:val="Table Grid"/>
    <w:basedOn w:val="TableNormal"/>
    <w:uiPriority w:val="39"/>
    <w:rsid w:val="0062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20464">
      <w:bodyDiv w:val="1"/>
      <w:marLeft w:val="0"/>
      <w:marRight w:val="0"/>
      <w:marTop w:val="0"/>
      <w:marBottom w:val="0"/>
      <w:divBdr>
        <w:top w:val="none" w:sz="0" w:space="0" w:color="auto"/>
        <w:left w:val="none" w:sz="0" w:space="0" w:color="auto"/>
        <w:bottom w:val="none" w:sz="0" w:space="0" w:color="auto"/>
        <w:right w:val="none" w:sz="0" w:space="0" w:color="auto"/>
      </w:divBdr>
    </w:div>
    <w:div w:id="749279567">
      <w:bodyDiv w:val="1"/>
      <w:marLeft w:val="0"/>
      <w:marRight w:val="0"/>
      <w:marTop w:val="0"/>
      <w:marBottom w:val="0"/>
      <w:divBdr>
        <w:top w:val="none" w:sz="0" w:space="0" w:color="auto"/>
        <w:left w:val="none" w:sz="0" w:space="0" w:color="auto"/>
        <w:bottom w:val="none" w:sz="0" w:space="0" w:color="auto"/>
        <w:right w:val="none" w:sz="0" w:space="0" w:color="auto"/>
      </w:divBdr>
    </w:div>
    <w:div w:id="754397802">
      <w:bodyDiv w:val="1"/>
      <w:marLeft w:val="0"/>
      <w:marRight w:val="0"/>
      <w:marTop w:val="0"/>
      <w:marBottom w:val="0"/>
      <w:divBdr>
        <w:top w:val="none" w:sz="0" w:space="0" w:color="auto"/>
        <w:left w:val="none" w:sz="0" w:space="0" w:color="auto"/>
        <w:bottom w:val="none" w:sz="0" w:space="0" w:color="auto"/>
        <w:right w:val="none" w:sz="0" w:space="0" w:color="auto"/>
      </w:divBdr>
    </w:div>
    <w:div w:id="1315834425">
      <w:bodyDiv w:val="1"/>
      <w:marLeft w:val="0"/>
      <w:marRight w:val="0"/>
      <w:marTop w:val="0"/>
      <w:marBottom w:val="0"/>
      <w:divBdr>
        <w:top w:val="none" w:sz="0" w:space="0" w:color="auto"/>
        <w:left w:val="none" w:sz="0" w:space="0" w:color="auto"/>
        <w:bottom w:val="none" w:sz="0" w:space="0" w:color="auto"/>
        <w:right w:val="none" w:sz="0" w:space="0" w:color="auto"/>
      </w:divBdr>
    </w:div>
    <w:div w:id="1389105408">
      <w:bodyDiv w:val="1"/>
      <w:marLeft w:val="0"/>
      <w:marRight w:val="0"/>
      <w:marTop w:val="0"/>
      <w:marBottom w:val="0"/>
      <w:divBdr>
        <w:top w:val="none" w:sz="0" w:space="0" w:color="auto"/>
        <w:left w:val="none" w:sz="0" w:space="0" w:color="auto"/>
        <w:bottom w:val="none" w:sz="0" w:space="0" w:color="auto"/>
        <w:right w:val="none" w:sz="0" w:space="0" w:color="auto"/>
      </w:divBdr>
    </w:div>
    <w:div w:id="20095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601A-B5EB-4391-97FE-19BAE95A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24957</Words>
  <Characters>14226</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Valsts civilās aizsardzības plāna 34.pielikums</vt:lpstr>
      <vt:lpstr>Valsts civilās aizsardzības plāna 34.pielikums</vt:lpstr>
    </vt:vector>
  </TitlesOfParts>
  <Company/>
  <LinksUpToDate>false</LinksUpToDate>
  <CharactersWithSpaces>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IEMRikp4_090421_Grozijumi VCAP; Ministru kabineta rīkojuma projekts ”Grozījumi Valsts civilās aizsardzības plānā”</dc:title>
  <dc:subject/>
  <dc:creator>Ivars</dc:creator>
  <cp:keywords/>
  <dc:description/>
  <cp:lastModifiedBy>Maigurs Ludbāržs</cp:lastModifiedBy>
  <cp:revision>6</cp:revision>
  <dcterms:created xsi:type="dcterms:W3CDTF">2021-04-09T08:59:00Z</dcterms:created>
  <dcterms:modified xsi:type="dcterms:W3CDTF">2021-04-09T10:03:00Z</dcterms:modified>
</cp:coreProperties>
</file>