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A7F" w:rsidRDefault="00504A7F" w:rsidP="00504A7F">
      <w:pPr>
        <w:shd w:val="clear" w:color="auto" w:fill="FFFFFF"/>
        <w:spacing w:before="130" w:line="260" w:lineRule="exact"/>
        <w:jc w:val="center"/>
        <w:rPr>
          <w:b/>
          <w:bCs/>
        </w:rPr>
      </w:pPr>
      <w:r>
        <w:rPr>
          <w:b/>
        </w:rPr>
        <w:t>Likumprojekta ,,</w:t>
      </w:r>
      <w:r w:rsidRPr="00EE2097">
        <w:rPr>
          <w:b/>
        </w:rPr>
        <w:t xml:space="preserve">Grozījumi </w:t>
      </w:r>
      <w:r>
        <w:rPr>
          <w:b/>
        </w:rPr>
        <w:t>Personu apliecinošu dokumentu likumā</w:t>
      </w:r>
      <w:r w:rsidRPr="00EE2097">
        <w:rPr>
          <w:b/>
        </w:rPr>
        <w:t>”</w:t>
      </w:r>
      <w:r w:rsidRPr="00EE2097">
        <w:rPr>
          <w:b/>
          <w:bCs/>
        </w:rPr>
        <w:t xml:space="preserve"> sākotnējās ietekmes novērtējuma ziņojums (anotācija)</w:t>
      </w:r>
    </w:p>
    <w:p w:rsidR="00504A7F" w:rsidRDefault="00504A7F" w:rsidP="00504A7F">
      <w:pPr>
        <w:shd w:val="clear" w:color="auto" w:fill="FFFFFF"/>
        <w:spacing w:before="130" w:line="260" w:lineRule="exact"/>
        <w:jc w:val="center"/>
        <w:rPr>
          <w:b/>
          <w:bCs/>
        </w:rPr>
      </w:pPr>
    </w:p>
    <w:p w:rsidR="00504A7F" w:rsidRDefault="00504A7F" w:rsidP="00504A7F">
      <w:pPr>
        <w:shd w:val="clear" w:color="auto" w:fill="FFFFFF"/>
        <w:spacing w:before="130" w:line="260" w:lineRule="exact"/>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56"/>
        <w:gridCol w:w="5805"/>
      </w:tblGrid>
      <w:tr w:rsidR="00504A7F" w:rsidTr="00A66468">
        <w:trPr>
          <w:cantSplit/>
        </w:trPr>
        <w:tc>
          <w:tcPr>
            <w:tcW w:w="958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04A7F" w:rsidRDefault="00504A7F" w:rsidP="00A66468">
            <w:pPr>
              <w:spacing w:line="256" w:lineRule="auto"/>
              <w:jc w:val="center"/>
              <w:rPr>
                <w:b/>
                <w:iCs/>
                <w:lang w:eastAsia="en-US"/>
              </w:rPr>
            </w:pPr>
            <w:r>
              <w:rPr>
                <w:b/>
                <w:iCs/>
                <w:lang w:eastAsia="en-US"/>
              </w:rPr>
              <w:t>Tiesību akta projekta anotācijas kopsavilkums</w:t>
            </w:r>
          </w:p>
        </w:tc>
      </w:tr>
      <w:tr w:rsidR="00504A7F" w:rsidTr="00A66468">
        <w:trPr>
          <w:cantSplit/>
        </w:trPr>
        <w:tc>
          <w:tcPr>
            <w:tcW w:w="3430" w:type="dxa"/>
            <w:tcBorders>
              <w:top w:val="single" w:sz="4" w:space="0" w:color="auto"/>
              <w:left w:val="single" w:sz="4" w:space="0" w:color="auto"/>
              <w:bottom w:val="single" w:sz="4" w:space="0" w:color="auto"/>
              <w:right w:val="single" w:sz="4" w:space="0" w:color="auto"/>
            </w:tcBorders>
            <w:shd w:val="clear" w:color="auto" w:fill="FFFFFF"/>
            <w:hideMark/>
          </w:tcPr>
          <w:p w:rsidR="00504A7F" w:rsidRDefault="00504A7F" w:rsidP="00A66468">
            <w:pPr>
              <w:spacing w:line="256" w:lineRule="auto"/>
              <w:rPr>
                <w:iCs/>
                <w:lang w:eastAsia="en-US"/>
              </w:rPr>
            </w:pPr>
            <w:r>
              <w:rPr>
                <w:iCs/>
                <w:lang w:eastAsia="en-US"/>
              </w:rPr>
              <w:t xml:space="preserve">Mērķis, risinājums un projekta spēkā stāšanās laiks </w:t>
            </w:r>
          </w:p>
        </w:tc>
        <w:tc>
          <w:tcPr>
            <w:tcW w:w="6151" w:type="dxa"/>
            <w:tcBorders>
              <w:top w:val="single" w:sz="4" w:space="0" w:color="auto"/>
              <w:left w:val="single" w:sz="4" w:space="0" w:color="auto"/>
              <w:bottom w:val="single" w:sz="4" w:space="0" w:color="auto"/>
              <w:right w:val="single" w:sz="4" w:space="0" w:color="auto"/>
            </w:tcBorders>
            <w:shd w:val="clear" w:color="auto" w:fill="FFFFFF"/>
            <w:hideMark/>
          </w:tcPr>
          <w:p w:rsidR="00504A7F" w:rsidRDefault="00504A7F" w:rsidP="00A66468">
            <w:pPr>
              <w:spacing w:line="256" w:lineRule="auto"/>
              <w:jc w:val="both"/>
              <w:rPr>
                <w:iCs/>
                <w:lang w:eastAsia="en-US"/>
              </w:rPr>
            </w:pPr>
            <w:r w:rsidRPr="000D315E">
              <w:rPr>
                <w:lang w:eastAsia="en-US"/>
              </w:rPr>
              <w:t>Kopsavilkums nav aizpildāms saskaņā ar Ministru kabineta 2009.gada 15.decembra instrukcijas Nr.19 “Tiesību akta projekta sākotnējās i</w:t>
            </w:r>
            <w:r>
              <w:rPr>
                <w:lang w:eastAsia="en-US"/>
              </w:rPr>
              <w:t>etekmes izvērtēšanas kārtība 5.</w:t>
            </w:r>
            <w:r>
              <w:rPr>
                <w:vertAlign w:val="superscript"/>
                <w:lang w:eastAsia="en-US"/>
              </w:rPr>
              <w:t>1</w:t>
            </w:r>
            <w:r w:rsidRPr="000D315E">
              <w:rPr>
                <w:lang w:eastAsia="en-US"/>
              </w:rPr>
              <w:t xml:space="preserve"> punktu.</w:t>
            </w:r>
          </w:p>
        </w:tc>
      </w:tr>
    </w:tbl>
    <w:p w:rsidR="00504A7F" w:rsidRPr="00EE2097" w:rsidRDefault="00504A7F" w:rsidP="00504A7F">
      <w:pPr>
        <w:pStyle w:val="Title"/>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504A7F" w:rsidRPr="00EE2097" w:rsidTr="00A66468">
        <w:tc>
          <w:tcPr>
            <w:tcW w:w="5000" w:type="pct"/>
            <w:gridSpan w:val="3"/>
            <w:vAlign w:val="center"/>
            <w:hideMark/>
          </w:tcPr>
          <w:p w:rsidR="00504A7F" w:rsidRPr="00EE2097" w:rsidRDefault="00504A7F" w:rsidP="00A66468">
            <w:pPr>
              <w:jc w:val="center"/>
              <w:rPr>
                <w:b/>
                <w:bCs/>
              </w:rPr>
            </w:pPr>
            <w:r w:rsidRPr="00EE2097">
              <w:rPr>
                <w:b/>
                <w:bCs/>
              </w:rPr>
              <w:t>I. Tiesību akta projekta izstrādes nepieciešamība</w:t>
            </w:r>
          </w:p>
        </w:tc>
      </w:tr>
      <w:tr w:rsidR="00504A7F" w:rsidRPr="00EE2097" w:rsidTr="00A66468">
        <w:tc>
          <w:tcPr>
            <w:tcW w:w="311" w:type="pct"/>
            <w:hideMark/>
          </w:tcPr>
          <w:p w:rsidR="00504A7F" w:rsidRPr="00EE2097" w:rsidRDefault="00504A7F" w:rsidP="00A66468">
            <w:pPr>
              <w:jc w:val="center"/>
            </w:pPr>
            <w:r w:rsidRPr="00EE2097">
              <w:t>1.</w:t>
            </w:r>
          </w:p>
        </w:tc>
        <w:tc>
          <w:tcPr>
            <w:tcW w:w="1479" w:type="pct"/>
            <w:hideMark/>
          </w:tcPr>
          <w:p w:rsidR="00504A7F" w:rsidRPr="00EE2097" w:rsidRDefault="00504A7F" w:rsidP="00A66468">
            <w:r w:rsidRPr="00EE2097">
              <w:t>Pamatojums</w:t>
            </w:r>
          </w:p>
        </w:tc>
        <w:tc>
          <w:tcPr>
            <w:tcW w:w="3210" w:type="pct"/>
            <w:hideMark/>
          </w:tcPr>
          <w:p w:rsidR="00504A7F" w:rsidRDefault="00504A7F" w:rsidP="00A66468">
            <w:pPr>
              <w:jc w:val="both"/>
            </w:pPr>
            <w:proofErr w:type="spellStart"/>
            <w:r>
              <w:t>Iekšlietu</w:t>
            </w:r>
            <w:proofErr w:type="spellEnd"/>
            <w:r>
              <w:t xml:space="preserve"> ministrijas iniciatīva.</w:t>
            </w:r>
          </w:p>
          <w:p w:rsidR="00504A7F" w:rsidRPr="00E10F46" w:rsidRDefault="00504A7F" w:rsidP="00A66468">
            <w:pPr>
              <w:jc w:val="both"/>
              <w:rPr>
                <w:color w:val="414142"/>
                <w:shd w:val="clear" w:color="auto" w:fill="FFFFFF"/>
              </w:rPr>
            </w:pPr>
            <w:r>
              <w:t xml:space="preserve">Fizisko personu reģistra likums </w:t>
            </w:r>
            <w:r w:rsidRPr="00E33A39">
              <w:t xml:space="preserve">(spēkā </w:t>
            </w:r>
            <w:r w:rsidRPr="00A923D9">
              <w:t xml:space="preserve">no </w:t>
            </w:r>
            <w:r w:rsidRPr="00A923D9">
              <w:rPr>
                <w:shd w:val="clear" w:color="auto" w:fill="FFFFFF"/>
              </w:rPr>
              <w:t>2021.gada 28.jūnija).</w:t>
            </w:r>
          </w:p>
        </w:tc>
      </w:tr>
      <w:tr w:rsidR="00504A7F" w:rsidRPr="002A7EC2" w:rsidTr="00A66468">
        <w:tc>
          <w:tcPr>
            <w:tcW w:w="311" w:type="pct"/>
            <w:hideMark/>
          </w:tcPr>
          <w:p w:rsidR="00504A7F" w:rsidRPr="002A7EC2" w:rsidRDefault="00504A7F" w:rsidP="00A66468">
            <w:pPr>
              <w:jc w:val="center"/>
            </w:pPr>
            <w:r w:rsidRPr="002A7EC2">
              <w:t>2.</w:t>
            </w:r>
          </w:p>
        </w:tc>
        <w:tc>
          <w:tcPr>
            <w:tcW w:w="1479" w:type="pct"/>
            <w:hideMark/>
          </w:tcPr>
          <w:p w:rsidR="00504A7F" w:rsidRPr="002A7EC2" w:rsidRDefault="00504A7F" w:rsidP="00A66468">
            <w:r w:rsidRPr="002A7EC2">
              <w:t>Pašreizējā situācija un problēmas, kuru risināšanai tiesību akta projekts izstrādāts, tiesiskā regulējuma mērķis un būtība</w:t>
            </w:r>
          </w:p>
          <w:p w:rsidR="00504A7F" w:rsidRPr="002A7EC2" w:rsidRDefault="00504A7F" w:rsidP="00A66468"/>
          <w:p w:rsidR="00504A7F" w:rsidRPr="002A7EC2" w:rsidRDefault="00504A7F" w:rsidP="00A66468"/>
          <w:p w:rsidR="00504A7F" w:rsidRPr="002A7EC2" w:rsidRDefault="00504A7F" w:rsidP="00A66468"/>
          <w:p w:rsidR="00504A7F" w:rsidRPr="002A7EC2" w:rsidRDefault="00504A7F" w:rsidP="00A66468"/>
          <w:p w:rsidR="00504A7F" w:rsidRPr="002A7EC2" w:rsidRDefault="00504A7F" w:rsidP="00A66468"/>
        </w:tc>
        <w:tc>
          <w:tcPr>
            <w:tcW w:w="3210" w:type="pct"/>
            <w:hideMark/>
          </w:tcPr>
          <w:p w:rsidR="00504A7F" w:rsidRPr="006469D9" w:rsidRDefault="00504A7F" w:rsidP="00A66468">
            <w:pPr>
              <w:jc w:val="both"/>
            </w:pPr>
            <w:r w:rsidRPr="006469D9">
              <w:t xml:space="preserve">Atbilstoši Fizisko personu reģistra likumā noteiktajam Fizisko personu reģistrā tiek paplašināts Iedzīvotāju reģistra subjektu loks ar ārzemniekiem, kuriem ir tiesiska saikne ar Latviju, proti,  Fizisko personu reģistrā papildus Iedzīvotāju reģistra likuma subjektiem tiks iekļautas ziņas par ārzemnieku: </w:t>
            </w:r>
          </w:p>
          <w:p w:rsidR="00504A7F" w:rsidRPr="006469D9" w:rsidRDefault="00504A7F" w:rsidP="00A66468">
            <w:pPr>
              <w:jc w:val="both"/>
            </w:pPr>
            <w:r w:rsidRPr="006469D9">
              <w:t>1. kuram ir tiesiska saikne ar Latvijas Republiku, uz kuras pamata veidojas vai ir izveidojušās savstarpējas tiesības un pienākumi nekustamā īpašuma, komercdarbības, veselības, nodokļu, pabalstu un izglītības jomā,</w:t>
            </w:r>
          </w:p>
          <w:p w:rsidR="00504A7F" w:rsidRPr="006469D9" w:rsidRDefault="00504A7F" w:rsidP="00A66468">
            <w:pPr>
              <w:jc w:val="both"/>
            </w:pPr>
            <w:r w:rsidRPr="006469D9">
              <w:t>2. kurš vēlas saņemt ārzemnieka personas apliecību, lai veicinātu ekonomikas, zinātnes, izglītības vai kultūras sakaru attīstību,</w:t>
            </w:r>
          </w:p>
          <w:p w:rsidR="00504A7F" w:rsidRPr="006469D9" w:rsidRDefault="00504A7F" w:rsidP="00A66468">
            <w:pPr>
              <w:jc w:val="both"/>
            </w:pPr>
            <w:r w:rsidRPr="006469D9">
              <w:t>3. kurš vēlas Latvijas Republikā saņemt valsts pārvaldes pakalpojumus elektroniski, izmantojot Eiropas Savienības dalībvalsts, Eiropas Ekonomikas zonas valsts vai Šveices Konfederācijas izsniegto elektroniskās identifikācijas līdzekli,</w:t>
            </w:r>
          </w:p>
          <w:p w:rsidR="00504A7F" w:rsidRPr="006469D9" w:rsidRDefault="00504A7F" w:rsidP="00A66468">
            <w:pPr>
              <w:jc w:val="both"/>
            </w:pPr>
            <w:r w:rsidRPr="006469D9">
              <w:t>4. kurš ir patvēruma meklētājs Latvijas Republikā.</w:t>
            </w:r>
          </w:p>
          <w:p w:rsidR="00504A7F" w:rsidRPr="006469D9" w:rsidRDefault="00504A7F" w:rsidP="00A66468">
            <w:pPr>
              <w:jc w:val="both"/>
            </w:pPr>
            <w:r w:rsidRPr="006469D9">
              <w:t xml:space="preserve">Ņemot vērā, ka no 2021.gada 28.jūnija Fizisko personu reģistrā </w:t>
            </w:r>
            <w:r>
              <w:t>sāks iekļaut ziņas par</w:t>
            </w:r>
            <w:r w:rsidRPr="006469D9">
              <w:t xml:space="preserve"> ārzemniek</w:t>
            </w:r>
            <w:r>
              <w:t>iem</w:t>
            </w:r>
            <w:r w:rsidRPr="006469D9">
              <w:t xml:space="preserve"> atbilstoši Fizisko personu reģistra likuma 4.panta pirmās daļas 2.punkta “d“, “e” un “f” apakšpunktā noteiktajam, un Personu apliecinošu dokumentu likuma (turpmāk  - PADL) 4.panta otrajā daļā noteikts, ka personu apliecinošus dokumentus izsniedz, pamatojoties uz Iedzīvotāju reģistra (Fizisko personu reģistra) datiem, bet attiecībā uz Fizisko personu reģistra likuma 4.panta pirmās daļas 2.punkta “d”, “e” un “f” apakšpunktā minētajiem ārzemniekiem PADL līdz šim nav noteikts, kāda </w:t>
            </w:r>
            <w:r>
              <w:t>veida</w:t>
            </w:r>
            <w:r w:rsidRPr="006469D9">
              <w:t xml:space="preserve"> personas tiesisko statusu apliecinošu dokumentu paredzēts viņiem izsniegt un lai ieviestu Ministru kabineta 2016.gada 11.augusta rīkojumā Nr.439  “Par Konceptuālo ziņojumu par fizisko personu reģistru” noteikto, kas paredz ārzemniekiem Latvijā iegūt digitālo identitāti: </w:t>
            </w:r>
            <w:proofErr w:type="spellStart"/>
            <w:r w:rsidRPr="006469D9">
              <w:t>eID</w:t>
            </w:r>
            <w:proofErr w:type="spellEnd"/>
            <w:r w:rsidRPr="006469D9">
              <w:t xml:space="preserve"> karti un elektronisko parakstu, nepieciešams papildināt PADL 5.panta pirmo daļu ar </w:t>
            </w:r>
            <w:r w:rsidRPr="006469D9">
              <w:lastRenderedPageBreak/>
              <w:t xml:space="preserve">6.punktu, ieviešot jaunu personas apliecības </w:t>
            </w:r>
            <w:r>
              <w:t>veidu</w:t>
            </w:r>
            <w:r w:rsidRPr="006469D9">
              <w:t xml:space="preserve"> – ārzemnieka personas apliecība (turpmāk – ārzemnieka </w:t>
            </w:r>
            <w:proofErr w:type="spellStart"/>
            <w:r w:rsidRPr="006469D9">
              <w:t>eID</w:t>
            </w:r>
            <w:proofErr w:type="spellEnd"/>
            <w:r w:rsidRPr="006469D9">
              <w:t xml:space="preserve"> karte). </w:t>
            </w:r>
          </w:p>
          <w:p w:rsidR="00504A7F" w:rsidRPr="006469D9" w:rsidRDefault="00504A7F" w:rsidP="00A66468">
            <w:pPr>
              <w:jc w:val="both"/>
            </w:pPr>
            <w:r w:rsidRPr="006469D9">
              <w:t xml:space="preserve">Lai PADL nepārprotami noteiktu, ka ārzemnieka </w:t>
            </w:r>
            <w:proofErr w:type="spellStart"/>
            <w:r w:rsidRPr="006469D9">
              <w:t>eID</w:t>
            </w:r>
            <w:proofErr w:type="spellEnd"/>
            <w:r w:rsidRPr="006469D9">
              <w:t xml:space="preserve"> karte nav trešās valsts pilsoņa personas apliecība – uzturēšanās atļauja (atbilstoši PADL 5.panta otrajā daļā noteiktajam) vai Savienības pilsoņa personas apliecība, likumprojektā paredzēts papildināt PADL 5.pantu ar 2.</w:t>
            </w:r>
            <w:r w:rsidRPr="006469D9">
              <w:rPr>
                <w:vertAlign w:val="superscript"/>
              </w:rPr>
              <w:t>1</w:t>
            </w:r>
            <w:r w:rsidRPr="006469D9">
              <w:t xml:space="preserve"> daļu, precizējot, tieši kur</w:t>
            </w:r>
            <w:r>
              <w:t>iem</w:t>
            </w:r>
            <w:r w:rsidRPr="006469D9">
              <w:t xml:space="preserve"> ārzemniek</w:t>
            </w:r>
            <w:r>
              <w:t>iem</w:t>
            </w:r>
            <w:r w:rsidRPr="006469D9">
              <w:t xml:space="preserve"> būs tiesisks pamats pieprasīt  ārzemnieka </w:t>
            </w:r>
            <w:proofErr w:type="spellStart"/>
            <w:r w:rsidRPr="006469D9">
              <w:t>eID</w:t>
            </w:r>
            <w:proofErr w:type="spellEnd"/>
            <w:r w:rsidRPr="006469D9">
              <w:t xml:space="preserve"> karti.</w:t>
            </w:r>
          </w:p>
          <w:p w:rsidR="00504A7F" w:rsidRPr="006469D9" w:rsidRDefault="00504A7F" w:rsidP="00A66468">
            <w:pPr>
              <w:jc w:val="both"/>
            </w:pPr>
            <w:r w:rsidRPr="006469D9">
              <w:t xml:space="preserve">Likumprojekts precizē tiesisko regulējumu, ar kuru iepriekš noteikts, ka personu apliecinošus dokumentus izsniedz, pamatojoties uz Iedzīvotāju reģistra datiem, izsakot PADL 4.panta otro un trešo daļu jaunā redakcijā, jo </w:t>
            </w:r>
            <w:r w:rsidRPr="006469D9">
              <w:rPr>
                <w:rFonts w:eastAsiaTheme="minorHAnsi"/>
                <w:lang w:eastAsia="en-US"/>
              </w:rPr>
              <w:t xml:space="preserve">no 2021.gada 28.jūnija Iedzīvotāju reģistru aizstāj Fizisko personu reģistrs.  </w:t>
            </w:r>
          </w:p>
          <w:p w:rsidR="00504A7F" w:rsidRPr="006469D9" w:rsidRDefault="00504A7F" w:rsidP="00A66468">
            <w:pPr>
              <w:jc w:val="both"/>
            </w:pPr>
            <w:r w:rsidRPr="006469D9">
              <w:t xml:space="preserve">Likumprojektā precizēta PADL 10.panta astotā daļa, ar kuru noteikts, kādos gadījumos neizsniedz par 14 gadiem jaunāka Latvijas pilsoņa vai </w:t>
            </w:r>
            <w:proofErr w:type="spellStart"/>
            <w:r w:rsidRPr="006469D9">
              <w:t>nepilsoņa</w:t>
            </w:r>
            <w:proofErr w:type="spellEnd"/>
            <w:r w:rsidRPr="006469D9">
              <w:t xml:space="preserve"> personu apliecinošu dokumentu. </w:t>
            </w:r>
          </w:p>
          <w:p w:rsidR="00504A7F" w:rsidRPr="006469D9" w:rsidRDefault="00504A7F" w:rsidP="00A66468">
            <w:pPr>
              <w:jc w:val="both"/>
            </w:pPr>
            <w:r w:rsidRPr="006469D9">
              <w:t xml:space="preserve">Ņemot vērā, ka personu apliecinošs dokuments Latvijas pilsonim un </w:t>
            </w:r>
            <w:proofErr w:type="spellStart"/>
            <w:r w:rsidRPr="006469D9">
              <w:t>nepilsonim</w:t>
            </w:r>
            <w:proofErr w:type="spellEnd"/>
            <w:r w:rsidRPr="006469D9">
              <w:t xml:space="preserve"> ir obligāts tikai no 15 gadu vecuma, bet jaunāka vecuma bērnam tas tiek izsniegts pēc bērna vecāka (vai cita likumiskā pārstāvja) lūguma ceļošanai, tiks paredzēts ierobežojums izsniegt bērna personu apliecinošu dokumentu Latvijas pilsonim vai </w:t>
            </w:r>
            <w:proofErr w:type="spellStart"/>
            <w:r w:rsidRPr="006469D9">
              <w:t>nepilsonim</w:t>
            </w:r>
            <w:proofErr w:type="spellEnd"/>
            <w:r w:rsidRPr="006469D9">
              <w:t xml:space="preserve"> gadījumos, ja</w:t>
            </w:r>
          </w:p>
          <w:p w:rsidR="00504A7F" w:rsidRPr="006469D9" w:rsidRDefault="001E5602" w:rsidP="00A66468">
            <w:pPr>
              <w:jc w:val="both"/>
            </w:pPr>
            <w:r>
              <w:t>- ir saņemts tā</w:t>
            </w:r>
            <w:bookmarkStart w:id="0" w:name="_GoBack"/>
            <w:bookmarkEnd w:id="0"/>
            <w:r w:rsidR="00504A7F" w:rsidRPr="006469D9">
              <w:t xml:space="preserve"> likumiskā pārstāvja iesniegums ar lūgumu neizsniegt personu apliecinošu dokumentu, — līdz laikam, kad tiesā iesniegts šā panta astotās daļas 2.punktā minētais lūgums, bet ne ilgāk kā mēnesi no iesnieguma saņemšanas dienas; </w:t>
            </w:r>
          </w:p>
          <w:p w:rsidR="00504A7F" w:rsidRPr="006469D9" w:rsidRDefault="00504A7F" w:rsidP="00A66468">
            <w:pPr>
              <w:jc w:val="both"/>
            </w:pPr>
            <w:r w:rsidRPr="006469D9">
              <w:t>-</w:t>
            </w:r>
            <w:r>
              <w:t xml:space="preserve"> </w:t>
            </w:r>
            <w:r w:rsidRPr="006469D9">
              <w:t xml:space="preserve">ir saņemts dokuments, kas apliecina, ka tiesai iesniegts lūgums pieņemt lēmumu, ar kuru noteikts aizliegums bērnu izvest no valsts, — līdz dienai, kad stājas spēkā tiesas lēmums par aizliegumu bērnu izvest no valsts vai par atteikumu šādu aizliegumu noteikt; </w:t>
            </w:r>
          </w:p>
          <w:p w:rsidR="00504A7F" w:rsidRPr="006469D9" w:rsidRDefault="00504A7F" w:rsidP="00A66468">
            <w:pPr>
              <w:jc w:val="both"/>
            </w:pPr>
            <w:r w:rsidRPr="006469D9">
              <w:t>- ir pieņemts tiesas lēmums par aizliegumu attiecīgajai personai izbraukt no valsts vai izbraukt no valsts līdz tiesvedības procesa pabeigšanai ar galīgo nolēmumu lietā nodrošina, ka bērns netiks izvests no valsts.</w:t>
            </w:r>
          </w:p>
          <w:p w:rsidR="00504A7F" w:rsidRPr="006469D9" w:rsidRDefault="00504A7F" w:rsidP="00A66468">
            <w:pPr>
              <w:jc w:val="both"/>
            </w:pPr>
            <w:r w:rsidRPr="006469D9">
              <w:t xml:space="preserve">Savukārt personu apliecinošs dokuments citas valsts pilsonim (kas nav Latvijas pilsonis, Latvijas </w:t>
            </w:r>
            <w:proofErr w:type="spellStart"/>
            <w:r w:rsidRPr="006469D9">
              <w:t>nepilsonis</w:t>
            </w:r>
            <w:proofErr w:type="spellEnd"/>
            <w:r w:rsidRPr="006469D9">
              <w:t xml:space="preserve">), proti, uzturēšanās atļauja vai Savienības pilsoņa personas apliecība, tiek izsniegts ar mērķi uzturēties Latvijā, nevis ceļošanai ārpus Latvijas. </w:t>
            </w:r>
          </w:p>
        </w:tc>
      </w:tr>
      <w:tr w:rsidR="00504A7F" w:rsidRPr="002A7EC2" w:rsidTr="00A66468">
        <w:tc>
          <w:tcPr>
            <w:tcW w:w="311" w:type="pct"/>
            <w:hideMark/>
          </w:tcPr>
          <w:p w:rsidR="00504A7F" w:rsidRPr="002A7EC2" w:rsidRDefault="00504A7F" w:rsidP="00A66468">
            <w:pPr>
              <w:jc w:val="center"/>
            </w:pPr>
            <w:r w:rsidRPr="002A7EC2">
              <w:lastRenderedPageBreak/>
              <w:t>3.</w:t>
            </w:r>
          </w:p>
        </w:tc>
        <w:tc>
          <w:tcPr>
            <w:tcW w:w="1479" w:type="pct"/>
            <w:hideMark/>
          </w:tcPr>
          <w:p w:rsidR="00504A7F" w:rsidRPr="002A7EC2" w:rsidRDefault="00504A7F" w:rsidP="00A66468">
            <w:r w:rsidRPr="002A7EC2">
              <w:t>Projekta izstrādē iesaistītās institūcijas un publiskas personas kapitālsabiedrības</w:t>
            </w:r>
          </w:p>
        </w:tc>
        <w:tc>
          <w:tcPr>
            <w:tcW w:w="3210" w:type="pct"/>
            <w:hideMark/>
          </w:tcPr>
          <w:p w:rsidR="00504A7F" w:rsidRPr="006469D9" w:rsidRDefault="00504A7F" w:rsidP="00A66468">
            <w:r w:rsidRPr="006469D9">
              <w:t xml:space="preserve">Pilsonības un migrācijas lietu pārvalde. </w:t>
            </w:r>
          </w:p>
        </w:tc>
      </w:tr>
      <w:tr w:rsidR="00504A7F" w:rsidRPr="002A7EC2" w:rsidTr="00A66468">
        <w:tc>
          <w:tcPr>
            <w:tcW w:w="311" w:type="pct"/>
            <w:hideMark/>
          </w:tcPr>
          <w:p w:rsidR="00504A7F" w:rsidRPr="002A7EC2" w:rsidRDefault="00504A7F" w:rsidP="00A66468">
            <w:pPr>
              <w:jc w:val="center"/>
            </w:pPr>
            <w:r w:rsidRPr="002A7EC2">
              <w:t>4.</w:t>
            </w:r>
          </w:p>
        </w:tc>
        <w:tc>
          <w:tcPr>
            <w:tcW w:w="1479" w:type="pct"/>
            <w:hideMark/>
          </w:tcPr>
          <w:p w:rsidR="00504A7F" w:rsidRPr="002A7EC2" w:rsidRDefault="00504A7F" w:rsidP="00A66468">
            <w:r w:rsidRPr="002A7EC2">
              <w:t>Cita informācija</w:t>
            </w:r>
          </w:p>
        </w:tc>
        <w:tc>
          <w:tcPr>
            <w:tcW w:w="3210" w:type="pct"/>
            <w:hideMark/>
          </w:tcPr>
          <w:p w:rsidR="00504A7F" w:rsidRPr="002A7EC2" w:rsidRDefault="00504A7F" w:rsidP="00A66468">
            <w:r w:rsidRPr="002A7EC2">
              <w:t>Nav</w:t>
            </w:r>
          </w:p>
        </w:tc>
      </w:tr>
    </w:tbl>
    <w:p w:rsidR="00504A7F" w:rsidRPr="002A7EC2" w:rsidRDefault="00504A7F" w:rsidP="00504A7F">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504A7F" w:rsidRPr="002A7EC2" w:rsidTr="00A66468">
        <w:tc>
          <w:tcPr>
            <w:tcW w:w="5000" w:type="pct"/>
            <w:gridSpan w:val="3"/>
            <w:vAlign w:val="center"/>
            <w:hideMark/>
          </w:tcPr>
          <w:p w:rsidR="00504A7F" w:rsidRPr="002A7EC2" w:rsidRDefault="00504A7F" w:rsidP="00A66468">
            <w:pPr>
              <w:jc w:val="center"/>
              <w:rPr>
                <w:b/>
                <w:bCs/>
              </w:rPr>
            </w:pPr>
            <w:r w:rsidRPr="002A7EC2">
              <w:rPr>
                <w:b/>
                <w:bCs/>
              </w:rPr>
              <w:t>II. Tiesību akta projekta ietekme uz sabiedrību, tautsaimniecības attīstību un administratīvo slogu</w:t>
            </w:r>
          </w:p>
        </w:tc>
      </w:tr>
      <w:tr w:rsidR="00504A7F" w:rsidRPr="002A7EC2" w:rsidTr="00A66468">
        <w:tc>
          <w:tcPr>
            <w:tcW w:w="311" w:type="pct"/>
            <w:hideMark/>
          </w:tcPr>
          <w:p w:rsidR="00504A7F" w:rsidRPr="002A7EC2" w:rsidRDefault="00504A7F" w:rsidP="00A66468">
            <w:pPr>
              <w:jc w:val="center"/>
            </w:pPr>
            <w:r w:rsidRPr="002A7EC2">
              <w:t>1.</w:t>
            </w:r>
          </w:p>
        </w:tc>
        <w:tc>
          <w:tcPr>
            <w:tcW w:w="1479" w:type="pct"/>
            <w:hideMark/>
          </w:tcPr>
          <w:p w:rsidR="00504A7F" w:rsidRPr="002A7EC2" w:rsidRDefault="00504A7F" w:rsidP="00A66468">
            <w:r w:rsidRPr="002A7EC2">
              <w:t xml:space="preserve">Sabiedrības </w:t>
            </w:r>
            <w:proofErr w:type="spellStart"/>
            <w:r w:rsidRPr="002A7EC2">
              <w:t>mērķgrupas</w:t>
            </w:r>
            <w:proofErr w:type="spellEnd"/>
            <w:r w:rsidRPr="002A7EC2">
              <w:t>, kuras tiesiskais regulējums ietekmē vai varētu ietekmēt</w:t>
            </w:r>
          </w:p>
        </w:tc>
        <w:tc>
          <w:tcPr>
            <w:tcW w:w="3210" w:type="pct"/>
            <w:hideMark/>
          </w:tcPr>
          <w:p w:rsidR="00504A7F" w:rsidRPr="002A7EC2" w:rsidRDefault="00504A7F" w:rsidP="00A66468">
            <w:pPr>
              <w:spacing w:after="120"/>
              <w:jc w:val="both"/>
            </w:pPr>
            <w:r w:rsidRPr="002A7EC2">
              <w:t>Likumprojekts attiecas uz ārzemniek</w:t>
            </w:r>
            <w:r>
              <w:t>iem</w:t>
            </w:r>
            <w:r w:rsidRPr="002A7EC2">
              <w:t xml:space="preserve"> (sk. Anotācijas I sadaļas  2.punktu), </w:t>
            </w:r>
            <w:r>
              <w:t xml:space="preserve">ziņas par </w:t>
            </w:r>
            <w:r w:rsidRPr="002A7EC2">
              <w:t>kuri</w:t>
            </w:r>
            <w:r>
              <w:t>em</w:t>
            </w:r>
            <w:r w:rsidRPr="002A7EC2">
              <w:t xml:space="preserve"> no 2021.gada 28.jūnija saskaņā ar Fizisko personu reģistra likumā noteikto tiks </w:t>
            </w:r>
            <w:r>
              <w:t>iekļautas</w:t>
            </w:r>
            <w:r w:rsidRPr="002A7EC2">
              <w:t xml:space="preserve"> Fizisko personu reģistrā un būs tiesīgi pieprasīt ārzemnieka </w:t>
            </w:r>
            <w:proofErr w:type="spellStart"/>
            <w:r w:rsidRPr="002A7EC2">
              <w:t>eID</w:t>
            </w:r>
            <w:proofErr w:type="spellEnd"/>
            <w:r w:rsidRPr="002A7EC2">
              <w:t xml:space="preserve"> karti. </w:t>
            </w:r>
          </w:p>
        </w:tc>
      </w:tr>
      <w:tr w:rsidR="00504A7F" w:rsidRPr="00EE2097" w:rsidTr="00A66468">
        <w:tc>
          <w:tcPr>
            <w:tcW w:w="311" w:type="pct"/>
            <w:hideMark/>
          </w:tcPr>
          <w:p w:rsidR="00504A7F" w:rsidRPr="002A7EC2" w:rsidRDefault="00504A7F" w:rsidP="00A66468">
            <w:pPr>
              <w:jc w:val="center"/>
            </w:pPr>
            <w:r w:rsidRPr="002A7EC2">
              <w:t>2.</w:t>
            </w:r>
          </w:p>
        </w:tc>
        <w:tc>
          <w:tcPr>
            <w:tcW w:w="1479" w:type="pct"/>
            <w:hideMark/>
          </w:tcPr>
          <w:p w:rsidR="00504A7F" w:rsidRPr="002A7EC2" w:rsidRDefault="00504A7F" w:rsidP="00A66468">
            <w:r w:rsidRPr="002A7EC2">
              <w:t>Tiesiskā regulējuma ietekme uz tautsaimniecību un administratīvo slogu</w:t>
            </w:r>
          </w:p>
        </w:tc>
        <w:tc>
          <w:tcPr>
            <w:tcW w:w="3210" w:type="pct"/>
            <w:hideMark/>
          </w:tcPr>
          <w:p w:rsidR="00504A7F" w:rsidRPr="00EE2097" w:rsidRDefault="00504A7F" w:rsidP="00A66468">
            <w:pPr>
              <w:jc w:val="both"/>
            </w:pPr>
            <w:r w:rsidRPr="002A7EC2">
              <w:t xml:space="preserve">Ņemot vērā, ka ar likumprojekta regulējumu tiek ieviests jauns personas apliecības tips – ārzemnieka </w:t>
            </w:r>
            <w:proofErr w:type="spellStart"/>
            <w:r w:rsidRPr="002A7EC2">
              <w:t>eID</w:t>
            </w:r>
            <w:proofErr w:type="spellEnd"/>
            <w:r w:rsidRPr="002A7EC2">
              <w:t xml:space="preserve"> karte, secināms, ka amatpersonām, kuras izsniedz klientiem personu apliecinošus dokumentus, administratīvais slogs pieaug.</w:t>
            </w:r>
            <w:r>
              <w:t xml:space="preserve"> </w:t>
            </w:r>
          </w:p>
        </w:tc>
      </w:tr>
      <w:tr w:rsidR="00504A7F" w:rsidRPr="00EE2097" w:rsidTr="00A66468">
        <w:tc>
          <w:tcPr>
            <w:tcW w:w="311" w:type="pct"/>
            <w:hideMark/>
          </w:tcPr>
          <w:p w:rsidR="00504A7F" w:rsidRPr="00EE2097" w:rsidRDefault="00504A7F" w:rsidP="00A66468">
            <w:pPr>
              <w:jc w:val="center"/>
            </w:pPr>
            <w:r w:rsidRPr="00EE2097">
              <w:t>3.</w:t>
            </w:r>
          </w:p>
        </w:tc>
        <w:tc>
          <w:tcPr>
            <w:tcW w:w="1479" w:type="pct"/>
            <w:hideMark/>
          </w:tcPr>
          <w:p w:rsidR="00504A7F" w:rsidRPr="00EE2097" w:rsidRDefault="00504A7F" w:rsidP="00A66468">
            <w:r w:rsidRPr="00EE2097">
              <w:t>Administratīvo izmaksu monetārs novērtējums</w:t>
            </w:r>
          </w:p>
        </w:tc>
        <w:tc>
          <w:tcPr>
            <w:tcW w:w="3210" w:type="pct"/>
            <w:hideMark/>
          </w:tcPr>
          <w:p w:rsidR="00504A7F" w:rsidRPr="002A7EC2" w:rsidRDefault="00504A7F" w:rsidP="00A66468">
            <w:pPr>
              <w:jc w:val="both"/>
            </w:pPr>
            <w:r w:rsidRPr="002A7EC2">
              <w:t xml:space="preserve">ERAF projekta “Fizisko personu datu pakalpojumu modernizācija” ietvaros plānots, ka katru gadu Pilsonības un migrācijas lietu pārvalde  izsniegs  vidēji 2000 ārzemnieka </w:t>
            </w:r>
            <w:proofErr w:type="spellStart"/>
            <w:r w:rsidRPr="002A7EC2">
              <w:t>eID</w:t>
            </w:r>
            <w:proofErr w:type="spellEnd"/>
            <w:r w:rsidRPr="002A7EC2">
              <w:t xml:space="preserve"> karšu. </w:t>
            </w:r>
          </w:p>
          <w:p w:rsidR="00504A7F" w:rsidRPr="001A53CA" w:rsidRDefault="00504A7F" w:rsidP="00A66468">
            <w:pPr>
              <w:jc w:val="both"/>
            </w:pPr>
            <w:r w:rsidRPr="002A7EC2">
              <w:t>Administratīvo</w:t>
            </w:r>
            <w:r w:rsidRPr="001A53CA">
              <w:t xml:space="preserve"> izmaksu aprēķins: </w:t>
            </w:r>
          </w:p>
          <w:p w:rsidR="00504A7F" w:rsidRPr="001A53CA" w:rsidRDefault="00504A7F" w:rsidP="00A66468">
            <w:pPr>
              <w:jc w:val="both"/>
            </w:pPr>
            <w:r w:rsidRPr="001A53CA">
              <w:t xml:space="preserve">C (elektroniska iesnieguma ārzemnieka </w:t>
            </w:r>
            <w:proofErr w:type="spellStart"/>
            <w:r>
              <w:t>eID</w:t>
            </w:r>
            <w:proofErr w:type="spellEnd"/>
            <w:r>
              <w:t xml:space="preserve"> kartes</w:t>
            </w:r>
            <w:r w:rsidRPr="001A53CA">
              <w:t xml:space="preserve"> saņemšanai noformēšana, t.sk. informācijas pār</w:t>
            </w:r>
            <w:r>
              <w:t xml:space="preserve">baude informācijas sistēmās vai </w:t>
            </w:r>
            <w:r w:rsidRPr="0074294D">
              <w:t xml:space="preserve">ierašanās Pilsonības un migrācijas lietu pārvaldē iesnieguma ārzemnieka </w:t>
            </w:r>
            <w:proofErr w:type="spellStart"/>
            <w:r>
              <w:t>eID</w:t>
            </w:r>
            <w:proofErr w:type="spellEnd"/>
            <w:r>
              <w:t xml:space="preserve"> kartes</w:t>
            </w:r>
            <w:r w:rsidRPr="0074294D">
              <w:t xml:space="preserve"> izsniegšanai noformēšana</w:t>
            </w:r>
            <w:r>
              <w:t xml:space="preserve">i; izgatavotās </w:t>
            </w:r>
            <w:proofErr w:type="spellStart"/>
            <w:r>
              <w:t>eID</w:t>
            </w:r>
            <w:proofErr w:type="spellEnd"/>
            <w:r>
              <w:t xml:space="preserve"> kartes izsniegšana) = atalgojums 4,60 </w:t>
            </w:r>
            <w:proofErr w:type="spellStart"/>
            <w:r>
              <w:t>euro</w:t>
            </w:r>
            <w:proofErr w:type="spellEnd"/>
            <w:r>
              <w:t>/h x 0,5h</w:t>
            </w:r>
            <w:r w:rsidRPr="001A53CA">
              <w:t xml:space="preserve"> x (</w:t>
            </w:r>
            <w:r>
              <w:t>2000</w:t>
            </w:r>
            <w:r w:rsidRPr="001A53CA">
              <w:t xml:space="preserve"> Fizisko personu reģistr</w:t>
            </w:r>
            <w:r>
              <w:t>a</w:t>
            </w:r>
            <w:r w:rsidRPr="001A53CA">
              <w:t xml:space="preserve"> ārzemnieku x 1 iesniegums ārzemnieka </w:t>
            </w:r>
            <w:proofErr w:type="spellStart"/>
            <w:r>
              <w:t>eID</w:t>
            </w:r>
            <w:proofErr w:type="spellEnd"/>
            <w:r>
              <w:t xml:space="preserve"> kartes</w:t>
            </w:r>
            <w:r w:rsidRPr="001A53CA">
              <w:t xml:space="preserve"> izsniegšanai) = </w:t>
            </w:r>
            <w:r>
              <w:t xml:space="preserve">4600 </w:t>
            </w:r>
            <w:proofErr w:type="spellStart"/>
            <w:r>
              <w:t>euro</w:t>
            </w:r>
            <w:proofErr w:type="spellEnd"/>
            <w:r w:rsidRPr="001A53CA">
              <w:t xml:space="preserve">. </w:t>
            </w:r>
          </w:p>
          <w:p w:rsidR="00504A7F" w:rsidRPr="00EE2097" w:rsidRDefault="00504A7F" w:rsidP="00A66468">
            <w:pPr>
              <w:jc w:val="both"/>
            </w:pPr>
            <w:r>
              <w:t>Administratīvās</w:t>
            </w:r>
            <w:r w:rsidRPr="0074294D">
              <w:t xml:space="preserve"> izmaksas </w:t>
            </w:r>
            <w:r>
              <w:t>pavisam kopā</w:t>
            </w:r>
            <w:r w:rsidRPr="0074294D">
              <w:t xml:space="preserve">: </w:t>
            </w:r>
            <w:r>
              <w:t>4600</w:t>
            </w:r>
            <w:r w:rsidRPr="0074294D">
              <w:t xml:space="preserve"> </w:t>
            </w:r>
            <w:proofErr w:type="spellStart"/>
            <w:r w:rsidRPr="0074294D">
              <w:t>euro</w:t>
            </w:r>
            <w:proofErr w:type="spellEnd"/>
            <w:r w:rsidRPr="0074294D">
              <w:t>.</w:t>
            </w:r>
            <w:r>
              <w:t xml:space="preserve"> </w:t>
            </w:r>
          </w:p>
        </w:tc>
      </w:tr>
      <w:tr w:rsidR="00504A7F" w:rsidRPr="00EE2097" w:rsidTr="00A66468">
        <w:tc>
          <w:tcPr>
            <w:tcW w:w="311" w:type="pct"/>
            <w:hideMark/>
          </w:tcPr>
          <w:p w:rsidR="00504A7F" w:rsidRPr="00EE2097" w:rsidRDefault="00504A7F" w:rsidP="00A66468">
            <w:pPr>
              <w:jc w:val="center"/>
            </w:pPr>
            <w:r w:rsidRPr="00EE2097">
              <w:t>4.</w:t>
            </w:r>
          </w:p>
        </w:tc>
        <w:tc>
          <w:tcPr>
            <w:tcW w:w="1479" w:type="pct"/>
            <w:hideMark/>
          </w:tcPr>
          <w:p w:rsidR="00504A7F" w:rsidRPr="00EE2097" w:rsidRDefault="00504A7F" w:rsidP="00A66468">
            <w:r w:rsidRPr="00EE2097">
              <w:t>Atbilstības izmaksu monetārs novērtējums</w:t>
            </w:r>
          </w:p>
        </w:tc>
        <w:tc>
          <w:tcPr>
            <w:tcW w:w="3210" w:type="pct"/>
            <w:hideMark/>
          </w:tcPr>
          <w:p w:rsidR="00504A7F" w:rsidRPr="00EE2097" w:rsidRDefault="00504A7F" w:rsidP="00A66468">
            <w:r>
              <w:t>Projekts šo jomu neskar.</w:t>
            </w:r>
          </w:p>
        </w:tc>
      </w:tr>
      <w:tr w:rsidR="00504A7F" w:rsidRPr="00EE2097" w:rsidTr="00A66468">
        <w:tc>
          <w:tcPr>
            <w:tcW w:w="311" w:type="pct"/>
            <w:hideMark/>
          </w:tcPr>
          <w:p w:rsidR="00504A7F" w:rsidRPr="00EE2097" w:rsidRDefault="00504A7F" w:rsidP="00A66468">
            <w:pPr>
              <w:jc w:val="center"/>
            </w:pPr>
            <w:r w:rsidRPr="00EE2097">
              <w:t>5.</w:t>
            </w:r>
          </w:p>
        </w:tc>
        <w:tc>
          <w:tcPr>
            <w:tcW w:w="1479" w:type="pct"/>
            <w:hideMark/>
          </w:tcPr>
          <w:p w:rsidR="00504A7F" w:rsidRPr="00EE2097" w:rsidRDefault="00504A7F" w:rsidP="00A66468">
            <w:r w:rsidRPr="00EE2097">
              <w:t>Cita informācija</w:t>
            </w:r>
          </w:p>
        </w:tc>
        <w:tc>
          <w:tcPr>
            <w:tcW w:w="3210" w:type="pct"/>
            <w:hideMark/>
          </w:tcPr>
          <w:p w:rsidR="00504A7F" w:rsidRPr="00EE2097" w:rsidRDefault="00504A7F" w:rsidP="00A66468">
            <w:r>
              <w:t>Nav.</w:t>
            </w:r>
          </w:p>
        </w:tc>
      </w:tr>
    </w:tbl>
    <w:p w:rsidR="00504A7F" w:rsidRDefault="00504A7F" w:rsidP="00504A7F">
      <w:pPr>
        <w:pStyle w:val="Title"/>
        <w:spacing w:before="130" w:line="260" w:lineRule="exact"/>
        <w:ind w:firstLine="539"/>
        <w:jc w:val="both"/>
        <w:rPr>
          <w:sz w:val="24"/>
          <w:szCs w:val="24"/>
        </w:rPr>
      </w:pPr>
    </w:p>
    <w:p w:rsidR="00504A7F" w:rsidRPr="005446CD" w:rsidRDefault="00504A7F" w:rsidP="00504A7F">
      <w:pPr>
        <w:rPr>
          <w:lang w:eastAsia="en-US"/>
        </w:rPr>
      </w:pPr>
    </w:p>
    <w:p w:rsidR="00504A7F" w:rsidRPr="005446CD" w:rsidRDefault="00504A7F" w:rsidP="00504A7F">
      <w:pPr>
        <w:rPr>
          <w:lang w:eastAsia="en-US"/>
        </w:rPr>
      </w:pPr>
    </w:p>
    <w:p w:rsidR="00504A7F" w:rsidRPr="005446CD" w:rsidRDefault="00504A7F" w:rsidP="00504A7F">
      <w:pPr>
        <w:rPr>
          <w:lang w:eastAsia="en-US"/>
        </w:rPr>
      </w:pPr>
    </w:p>
    <w:p w:rsidR="00504A7F" w:rsidRPr="005446CD" w:rsidRDefault="00504A7F" w:rsidP="00504A7F">
      <w:pPr>
        <w:rPr>
          <w:lang w:eastAsia="en-US"/>
        </w:rPr>
      </w:pPr>
    </w:p>
    <w:p w:rsidR="00504A7F" w:rsidRPr="005446CD" w:rsidRDefault="00504A7F" w:rsidP="00504A7F">
      <w:pPr>
        <w:rPr>
          <w:lang w:eastAsia="en-US"/>
        </w:rPr>
      </w:pPr>
    </w:p>
    <w:p w:rsidR="00504A7F" w:rsidRPr="005446CD" w:rsidRDefault="00504A7F" w:rsidP="00504A7F">
      <w:pPr>
        <w:rPr>
          <w:lang w:eastAsia="en-US"/>
        </w:rPr>
      </w:pPr>
    </w:p>
    <w:p w:rsidR="00504A7F" w:rsidRPr="005446CD" w:rsidRDefault="00504A7F" w:rsidP="00504A7F">
      <w:pPr>
        <w:rPr>
          <w:lang w:eastAsia="en-US"/>
        </w:rPr>
      </w:pPr>
    </w:p>
    <w:p w:rsidR="00504A7F" w:rsidRDefault="00504A7F" w:rsidP="00504A7F">
      <w:pPr>
        <w:rPr>
          <w:lang w:eastAsia="en-US"/>
        </w:rPr>
      </w:pPr>
    </w:p>
    <w:p w:rsidR="00504A7F" w:rsidRPr="005446CD" w:rsidRDefault="00504A7F" w:rsidP="00504A7F">
      <w:pPr>
        <w:tabs>
          <w:tab w:val="left" w:pos="1171"/>
        </w:tabs>
        <w:rPr>
          <w:lang w:eastAsia="en-US"/>
        </w:rPr>
      </w:pPr>
      <w:r>
        <w:rPr>
          <w:lang w:eastAsia="en-US"/>
        </w:rPr>
        <w:tab/>
      </w: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065"/>
      </w:tblGrid>
      <w:tr w:rsidR="00504A7F" w:rsidRPr="00EE2097" w:rsidTr="00A66468">
        <w:trPr>
          <w:cantSplit/>
        </w:trPr>
        <w:tc>
          <w:tcPr>
            <w:tcW w:w="9065" w:type="dxa"/>
            <w:shd w:val="clear" w:color="auto" w:fill="auto"/>
          </w:tcPr>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149"/>
              <w:gridCol w:w="934"/>
              <w:gridCol w:w="1199"/>
              <w:gridCol w:w="934"/>
              <w:gridCol w:w="933"/>
              <w:gridCol w:w="761"/>
              <w:gridCol w:w="1105"/>
              <w:gridCol w:w="988"/>
            </w:tblGrid>
            <w:tr w:rsidR="00504A7F" w:rsidRPr="00791D0F" w:rsidTr="00A66468">
              <w:trPr>
                <w:cantSplit/>
              </w:trPr>
              <w:tc>
                <w:tcPr>
                  <w:tcW w:w="9003" w:type="dxa"/>
                  <w:gridSpan w:val="8"/>
                  <w:shd w:val="clear" w:color="auto" w:fill="auto"/>
                  <w:vAlign w:val="center"/>
                  <w:hideMark/>
                </w:tcPr>
                <w:p w:rsidR="00504A7F" w:rsidRPr="00791D0F" w:rsidRDefault="00504A7F" w:rsidP="00A66468">
                  <w:pPr>
                    <w:jc w:val="center"/>
                    <w:rPr>
                      <w:b/>
                      <w:bCs/>
                      <w:lang w:eastAsia="en-US"/>
                    </w:rPr>
                  </w:pPr>
                  <w:r w:rsidRPr="00791D0F">
                    <w:rPr>
                      <w:b/>
                      <w:bCs/>
                      <w:lang w:eastAsia="en-US"/>
                    </w:rPr>
                    <w:lastRenderedPageBreak/>
                    <w:t>III. Tiesību akta projekta ietekme uz valsts budžetu un pašvaldību budžetiem</w:t>
                  </w:r>
                </w:p>
              </w:tc>
            </w:tr>
            <w:tr w:rsidR="00504A7F" w:rsidRPr="00791D0F" w:rsidTr="00A66468">
              <w:trPr>
                <w:cantSplit/>
              </w:trPr>
              <w:tc>
                <w:tcPr>
                  <w:tcW w:w="2149" w:type="dxa"/>
                  <w:vMerge w:val="restart"/>
                  <w:shd w:val="clear" w:color="auto" w:fill="FFFFFF"/>
                  <w:vAlign w:val="center"/>
                </w:tcPr>
                <w:p w:rsidR="00504A7F" w:rsidRPr="00791D0F" w:rsidRDefault="00504A7F" w:rsidP="00A66468">
                  <w:pPr>
                    <w:jc w:val="center"/>
                    <w:rPr>
                      <w:bCs/>
                      <w:lang w:eastAsia="en-US"/>
                    </w:rPr>
                  </w:pPr>
                  <w:r w:rsidRPr="00791D0F">
                    <w:rPr>
                      <w:bCs/>
                      <w:lang w:eastAsia="en-US"/>
                    </w:rPr>
                    <w:t>Rādītāji</w:t>
                  </w:r>
                </w:p>
              </w:tc>
              <w:tc>
                <w:tcPr>
                  <w:tcW w:w="2133" w:type="dxa"/>
                  <w:gridSpan w:val="2"/>
                  <w:vMerge w:val="restart"/>
                  <w:shd w:val="clear" w:color="auto" w:fill="FFFFFF"/>
                  <w:vAlign w:val="center"/>
                  <w:hideMark/>
                </w:tcPr>
                <w:p w:rsidR="00504A7F" w:rsidRPr="00791D0F" w:rsidRDefault="00504A7F" w:rsidP="00A66468">
                  <w:pPr>
                    <w:jc w:val="center"/>
                    <w:rPr>
                      <w:bCs/>
                      <w:lang w:eastAsia="en-US"/>
                    </w:rPr>
                  </w:pPr>
                  <w:r>
                    <w:rPr>
                      <w:bCs/>
                      <w:lang w:eastAsia="en-US"/>
                    </w:rPr>
                    <w:t>2021</w:t>
                  </w:r>
                  <w:r w:rsidRPr="00791D0F">
                    <w:rPr>
                      <w:bCs/>
                      <w:lang w:eastAsia="en-US"/>
                    </w:rPr>
                    <w:t>.gads</w:t>
                  </w:r>
                </w:p>
              </w:tc>
              <w:tc>
                <w:tcPr>
                  <w:tcW w:w="4721" w:type="dxa"/>
                  <w:gridSpan w:val="5"/>
                  <w:shd w:val="clear" w:color="auto" w:fill="FFFFFF"/>
                  <w:vAlign w:val="center"/>
                  <w:hideMark/>
                </w:tcPr>
                <w:p w:rsidR="00504A7F" w:rsidRPr="00791D0F" w:rsidRDefault="00504A7F" w:rsidP="00A66468">
                  <w:pPr>
                    <w:jc w:val="center"/>
                    <w:rPr>
                      <w:lang w:eastAsia="en-US"/>
                    </w:rPr>
                  </w:pPr>
                  <w:r w:rsidRPr="00791D0F">
                    <w:rPr>
                      <w:lang w:eastAsia="en-US"/>
                    </w:rPr>
                    <w:t>Turpmākie trīs gadi (</w:t>
                  </w:r>
                  <w:proofErr w:type="spellStart"/>
                  <w:r w:rsidRPr="00791D0F">
                    <w:rPr>
                      <w:i/>
                      <w:iCs/>
                      <w:lang w:eastAsia="en-US"/>
                    </w:rPr>
                    <w:t>euro</w:t>
                  </w:r>
                  <w:proofErr w:type="spellEnd"/>
                  <w:r w:rsidRPr="00791D0F">
                    <w:rPr>
                      <w:lang w:eastAsia="en-US"/>
                    </w:rPr>
                    <w:t>)</w:t>
                  </w:r>
                </w:p>
              </w:tc>
            </w:tr>
            <w:tr w:rsidR="00504A7F" w:rsidRPr="00791D0F" w:rsidTr="00A66468">
              <w:trPr>
                <w:cantSplit/>
              </w:trPr>
              <w:tc>
                <w:tcPr>
                  <w:tcW w:w="2149" w:type="dxa"/>
                  <w:vMerge/>
                  <w:shd w:val="clear" w:color="auto" w:fill="auto"/>
                  <w:vAlign w:val="center"/>
                  <w:hideMark/>
                </w:tcPr>
                <w:p w:rsidR="00504A7F" w:rsidRPr="00791D0F" w:rsidRDefault="00504A7F" w:rsidP="00A66468">
                  <w:pPr>
                    <w:jc w:val="center"/>
                    <w:rPr>
                      <w:bCs/>
                      <w:lang w:eastAsia="en-US"/>
                    </w:rPr>
                  </w:pPr>
                </w:p>
              </w:tc>
              <w:tc>
                <w:tcPr>
                  <w:tcW w:w="2133" w:type="dxa"/>
                  <w:gridSpan w:val="2"/>
                  <w:vMerge/>
                  <w:shd w:val="clear" w:color="auto" w:fill="auto"/>
                  <w:vAlign w:val="center"/>
                  <w:hideMark/>
                </w:tcPr>
                <w:p w:rsidR="00504A7F" w:rsidRPr="00791D0F" w:rsidRDefault="00504A7F" w:rsidP="00A66468">
                  <w:pPr>
                    <w:jc w:val="center"/>
                    <w:rPr>
                      <w:bCs/>
                      <w:lang w:eastAsia="en-US"/>
                    </w:rPr>
                  </w:pPr>
                </w:p>
              </w:tc>
              <w:tc>
                <w:tcPr>
                  <w:tcW w:w="1867" w:type="dxa"/>
                  <w:gridSpan w:val="2"/>
                  <w:shd w:val="clear" w:color="auto" w:fill="FFFFFF"/>
                  <w:vAlign w:val="center"/>
                  <w:hideMark/>
                </w:tcPr>
                <w:p w:rsidR="00504A7F" w:rsidRPr="00791D0F" w:rsidRDefault="00504A7F" w:rsidP="00A66468">
                  <w:pPr>
                    <w:jc w:val="center"/>
                    <w:rPr>
                      <w:bCs/>
                      <w:lang w:eastAsia="en-US"/>
                    </w:rPr>
                  </w:pPr>
                  <w:r>
                    <w:rPr>
                      <w:bCs/>
                      <w:lang w:eastAsia="en-US"/>
                    </w:rPr>
                    <w:t>2022</w:t>
                  </w:r>
                  <w:r w:rsidRPr="00791D0F">
                    <w:rPr>
                      <w:bCs/>
                      <w:lang w:eastAsia="en-US"/>
                    </w:rPr>
                    <w:t>.</w:t>
                  </w:r>
                </w:p>
              </w:tc>
              <w:tc>
                <w:tcPr>
                  <w:tcW w:w="1866" w:type="dxa"/>
                  <w:gridSpan w:val="2"/>
                  <w:shd w:val="clear" w:color="auto" w:fill="FFFFFF"/>
                  <w:vAlign w:val="center"/>
                  <w:hideMark/>
                </w:tcPr>
                <w:p w:rsidR="00504A7F" w:rsidRPr="00791D0F" w:rsidRDefault="00504A7F" w:rsidP="00A66468">
                  <w:pPr>
                    <w:jc w:val="center"/>
                    <w:rPr>
                      <w:bCs/>
                      <w:lang w:eastAsia="en-US"/>
                    </w:rPr>
                  </w:pPr>
                  <w:r>
                    <w:rPr>
                      <w:bCs/>
                      <w:lang w:eastAsia="en-US"/>
                    </w:rPr>
                    <w:t>2023</w:t>
                  </w:r>
                  <w:r w:rsidRPr="00791D0F">
                    <w:rPr>
                      <w:bCs/>
                      <w:lang w:eastAsia="en-US"/>
                    </w:rPr>
                    <w:t>.</w:t>
                  </w:r>
                </w:p>
              </w:tc>
              <w:tc>
                <w:tcPr>
                  <w:tcW w:w="988" w:type="dxa"/>
                  <w:shd w:val="clear" w:color="auto" w:fill="FFFFFF"/>
                  <w:vAlign w:val="center"/>
                  <w:hideMark/>
                </w:tcPr>
                <w:p w:rsidR="00504A7F" w:rsidRPr="00791D0F" w:rsidRDefault="00504A7F" w:rsidP="00A66468">
                  <w:pPr>
                    <w:jc w:val="center"/>
                    <w:rPr>
                      <w:bCs/>
                      <w:lang w:eastAsia="en-US"/>
                    </w:rPr>
                  </w:pPr>
                  <w:r>
                    <w:rPr>
                      <w:bCs/>
                      <w:lang w:eastAsia="en-US"/>
                    </w:rPr>
                    <w:t>2024</w:t>
                  </w:r>
                  <w:r w:rsidRPr="00791D0F">
                    <w:rPr>
                      <w:bCs/>
                      <w:lang w:eastAsia="en-US"/>
                    </w:rPr>
                    <w:t>.</w:t>
                  </w:r>
                </w:p>
              </w:tc>
            </w:tr>
            <w:tr w:rsidR="00504A7F" w:rsidRPr="00791D0F" w:rsidTr="00A66468">
              <w:trPr>
                <w:cantSplit/>
              </w:trPr>
              <w:tc>
                <w:tcPr>
                  <w:tcW w:w="2149" w:type="dxa"/>
                  <w:vMerge/>
                  <w:shd w:val="clear" w:color="auto" w:fill="auto"/>
                  <w:vAlign w:val="center"/>
                  <w:hideMark/>
                </w:tcPr>
                <w:p w:rsidR="00504A7F" w:rsidRPr="00791D0F" w:rsidRDefault="00504A7F" w:rsidP="00A66468">
                  <w:pPr>
                    <w:jc w:val="center"/>
                    <w:rPr>
                      <w:b/>
                      <w:bCs/>
                      <w:lang w:eastAsia="en-US"/>
                    </w:rPr>
                  </w:pPr>
                </w:p>
              </w:tc>
              <w:tc>
                <w:tcPr>
                  <w:tcW w:w="934" w:type="dxa"/>
                  <w:shd w:val="clear" w:color="auto" w:fill="FFFFFF"/>
                  <w:vAlign w:val="center"/>
                  <w:hideMark/>
                </w:tcPr>
                <w:p w:rsidR="00504A7F" w:rsidRPr="00CF5E1A" w:rsidRDefault="00504A7F" w:rsidP="00A66468">
                  <w:pPr>
                    <w:jc w:val="center"/>
                    <w:rPr>
                      <w:sz w:val="20"/>
                      <w:szCs w:val="20"/>
                      <w:lang w:eastAsia="en-US"/>
                    </w:rPr>
                  </w:pPr>
                  <w:r w:rsidRPr="00CF5E1A">
                    <w:rPr>
                      <w:sz w:val="20"/>
                      <w:szCs w:val="20"/>
                      <w:lang w:eastAsia="en-US"/>
                    </w:rPr>
                    <w:t>saskaņā ar valsts budžetu kārtējam gadam</w:t>
                  </w:r>
                </w:p>
              </w:tc>
              <w:tc>
                <w:tcPr>
                  <w:tcW w:w="1199" w:type="dxa"/>
                  <w:shd w:val="clear" w:color="auto" w:fill="FFFFFF"/>
                  <w:vAlign w:val="center"/>
                  <w:hideMark/>
                </w:tcPr>
                <w:p w:rsidR="00504A7F" w:rsidRPr="00CF5E1A" w:rsidRDefault="00504A7F" w:rsidP="00A66468">
                  <w:pPr>
                    <w:jc w:val="center"/>
                    <w:rPr>
                      <w:sz w:val="20"/>
                      <w:szCs w:val="20"/>
                      <w:lang w:eastAsia="en-US"/>
                    </w:rPr>
                  </w:pPr>
                  <w:r w:rsidRPr="00CF5E1A">
                    <w:rPr>
                      <w:sz w:val="20"/>
                      <w:szCs w:val="20"/>
                      <w:lang w:eastAsia="en-US"/>
                    </w:rPr>
                    <w:t>izmaiņas kārtējā gadā, salīdzinot ar valsts budžetu kārtējam gadam</w:t>
                  </w:r>
                </w:p>
              </w:tc>
              <w:tc>
                <w:tcPr>
                  <w:tcW w:w="934" w:type="dxa"/>
                  <w:shd w:val="clear" w:color="auto" w:fill="FFFFFF"/>
                  <w:vAlign w:val="center"/>
                  <w:hideMark/>
                </w:tcPr>
                <w:p w:rsidR="00504A7F" w:rsidRPr="00CF5E1A" w:rsidRDefault="00504A7F" w:rsidP="00A66468">
                  <w:pPr>
                    <w:jc w:val="center"/>
                    <w:rPr>
                      <w:sz w:val="20"/>
                      <w:szCs w:val="20"/>
                      <w:lang w:eastAsia="en-US"/>
                    </w:rPr>
                  </w:pPr>
                  <w:r w:rsidRPr="00CF5E1A">
                    <w:rPr>
                      <w:sz w:val="20"/>
                      <w:szCs w:val="20"/>
                      <w:lang w:eastAsia="en-US"/>
                    </w:rPr>
                    <w:t>saskaņā ar vidēja termiņa budžeta ietvaru</w:t>
                  </w:r>
                </w:p>
              </w:tc>
              <w:tc>
                <w:tcPr>
                  <w:tcW w:w="933" w:type="dxa"/>
                  <w:shd w:val="clear" w:color="auto" w:fill="FFFFFF"/>
                  <w:vAlign w:val="center"/>
                  <w:hideMark/>
                </w:tcPr>
                <w:p w:rsidR="00504A7F" w:rsidRPr="00CF5E1A" w:rsidRDefault="00504A7F" w:rsidP="00A66468">
                  <w:pPr>
                    <w:jc w:val="center"/>
                    <w:rPr>
                      <w:sz w:val="20"/>
                      <w:szCs w:val="20"/>
                      <w:lang w:eastAsia="en-US"/>
                    </w:rPr>
                  </w:pPr>
                  <w:r w:rsidRPr="00CF5E1A">
                    <w:rPr>
                      <w:sz w:val="20"/>
                      <w:szCs w:val="20"/>
                      <w:lang w:eastAsia="en-US"/>
                    </w:rPr>
                    <w:t>izmaiņas, salīdzinot ar vi</w:t>
                  </w:r>
                  <w:r>
                    <w:rPr>
                      <w:sz w:val="20"/>
                      <w:szCs w:val="20"/>
                      <w:lang w:eastAsia="en-US"/>
                    </w:rPr>
                    <w:t>dēja termiņa budžeta ietvaru 2021.</w:t>
                  </w:r>
                  <w:r w:rsidRPr="00CF5E1A">
                    <w:rPr>
                      <w:sz w:val="20"/>
                      <w:szCs w:val="20"/>
                      <w:lang w:eastAsia="en-US"/>
                    </w:rPr>
                    <w:t xml:space="preserve"> gadam</w:t>
                  </w:r>
                </w:p>
              </w:tc>
              <w:tc>
                <w:tcPr>
                  <w:tcW w:w="761" w:type="dxa"/>
                  <w:shd w:val="clear" w:color="auto" w:fill="FFFFFF"/>
                  <w:vAlign w:val="center"/>
                  <w:hideMark/>
                </w:tcPr>
                <w:p w:rsidR="00504A7F" w:rsidRPr="00CF5E1A" w:rsidRDefault="00504A7F" w:rsidP="00A66468">
                  <w:pPr>
                    <w:jc w:val="center"/>
                    <w:rPr>
                      <w:sz w:val="20"/>
                      <w:szCs w:val="20"/>
                      <w:lang w:eastAsia="en-US"/>
                    </w:rPr>
                  </w:pPr>
                  <w:r w:rsidRPr="00CF5E1A">
                    <w:rPr>
                      <w:sz w:val="20"/>
                      <w:szCs w:val="20"/>
                      <w:lang w:eastAsia="en-US"/>
                    </w:rPr>
                    <w:t>saskaņā ar vidēja termiņa budžeta ietvaru</w:t>
                  </w:r>
                </w:p>
              </w:tc>
              <w:tc>
                <w:tcPr>
                  <w:tcW w:w="1105" w:type="dxa"/>
                  <w:shd w:val="clear" w:color="auto" w:fill="FFFFFF"/>
                  <w:vAlign w:val="center"/>
                  <w:hideMark/>
                </w:tcPr>
                <w:p w:rsidR="00504A7F" w:rsidRPr="00CF5E1A" w:rsidRDefault="00504A7F" w:rsidP="00A66468">
                  <w:pPr>
                    <w:jc w:val="center"/>
                    <w:rPr>
                      <w:sz w:val="20"/>
                      <w:szCs w:val="20"/>
                      <w:lang w:eastAsia="en-US"/>
                    </w:rPr>
                  </w:pPr>
                  <w:r w:rsidRPr="00CF5E1A">
                    <w:rPr>
                      <w:sz w:val="20"/>
                      <w:szCs w:val="20"/>
                      <w:lang w:eastAsia="en-US"/>
                    </w:rPr>
                    <w:t xml:space="preserve">izmaiņas, salīdzinot ar vidēja termiņa budžeta ietvaru </w:t>
                  </w:r>
                  <w:r>
                    <w:rPr>
                      <w:sz w:val="20"/>
                      <w:szCs w:val="20"/>
                      <w:lang w:eastAsia="en-US"/>
                    </w:rPr>
                    <w:t>2022.</w:t>
                  </w:r>
                  <w:r w:rsidRPr="00CF5E1A">
                    <w:rPr>
                      <w:sz w:val="20"/>
                      <w:szCs w:val="20"/>
                      <w:lang w:eastAsia="en-US"/>
                    </w:rPr>
                    <w:t>gadam</w:t>
                  </w:r>
                </w:p>
              </w:tc>
              <w:tc>
                <w:tcPr>
                  <w:tcW w:w="988" w:type="dxa"/>
                  <w:shd w:val="clear" w:color="auto" w:fill="FFFFFF"/>
                  <w:vAlign w:val="center"/>
                  <w:hideMark/>
                </w:tcPr>
                <w:p w:rsidR="00504A7F" w:rsidRPr="00CF5E1A" w:rsidRDefault="00504A7F" w:rsidP="00A66468">
                  <w:pPr>
                    <w:jc w:val="center"/>
                    <w:rPr>
                      <w:sz w:val="20"/>
                      <w:szCs w:val="20"/>
                      <w:lang w:eastAsia="en-US"/>
                    </w:rPr>
                  </w:pPr>
                  <w:r w:rsidRPr="00CF5E1A">
                    <w:rPr>
                      <w:sz w:val="20"/>
                      <w:szCs w:val="20"/>
                      <w:lang w:eastAsia="en-US"/>
                    </w:rPr>
                    <w:t xml:space="preserve">izmaiņas, salīdzinot ar vidēja termiņa budžeta ietvaru </w:t>
                  </w:r>
                  <w:r w:rsidRPr="00CF5E1A">
                    <w:rPr>
                      <w:sz w:val="20"/>
                      <w:szCs w:val="20"/>
                      <w:lang w:eastAsia="en-US"/>
                    </w:rPr>
                    <w:br/>
                  </w:r>
                  <w:r>
                    <w:rPr>
                      <w:sz w:val="20"/>
                      <w:szCs w:val="20"/>
                      <w:lang w:eastAsia="en-US"/>
                    </w:rPr>
                    <w:t>2023.</w:t>
                  </w:r>
                  <w:r w:rsidRPr="00CF5E1A">
                    <w:rPr>
                      <w:sz w:val="20"/>
                      <w:szCs w:val="20"/>
                      <w:lang w:eastAsia="en-US"/>
                    </w:rPr>
                    <w:t xml:space="preserve"> gadam</w:t>
                  </w:r>
                </w:p>
              </w:tc>
            </w:tr>
            <w:tr w:rsidR="00504A7F" w:rsidRPr="00791D0F" w:rsidTr="00A66468">
              <w:trPr>
                <w:cantSplit/>
              </w:trPr>
              <w:tc>
                <w:tcPr>
                  <w:tcW w:w="2149" w:type="dxa"/>
                  <w:shd w:val="clear" w:color="auto" w:fill="FFFFFF"/>
                  <w:vAlign w:val="center"/>
                  <w:hideMark/>
                </w:tcPr>
                <w:p w:rsidR="00504A7F" w:rsidRPr="00791D0F" w:rsidRDefault="00504A7F" w:rsidP="00A66468">
                  <w:pPr>
                    <w:jc w:val="center"/>
                    <w:rPr>
                      <w:lang w:eastAsia="en-US"/>
                    </w:rPr>
                  </w:pPr>
                  <w:r w:rsidRPr="00791D0F">
                    <w:rPr>
                      <w:lang w:eastAsia="en-US"/>
                    </w:rPr>
                    <w:t>1</w:t>
                  </w:r>
                </w:p>
              </w:tc>
              <w:tc>
                <w:tcPr>
                  <w:tcW w:w="934" w:type="dxa"/>
                  <w:shd w:val="clear" w:color="auto" w:fill="FFFFFF"/>
                  <w:vAlign w:val="center"/>
                  <w:hideMark/>
                </w:tcPr>
                <w:p w:rsidR="00504A7F" w:rsidRPr="00791D0F" w:rsidRDefault="00504A7F" w:rsidP="00A66468">
                  <w:pPr>
                    <w:jc w:val="center"/>
                    <w:rPr>
                      <w:lang w:eastAsia="en-US"/>
                    </w:rPr>
                  </w:pPr>
                  <w:r w:rsidRPr="00791D0F">
                    <w:rPr>
                      <w:lang w:eastAsia="en-US"/>
                    </w:rPr>
                    <w:t>2</w:t>
                  </w:r>
                </w:p>
              </w:tc>
              <w:tc>
                <w:tcPr>
                  <w:tcW w:w="1199" w:type="dxa"/>
                  <w:shd w:val="clear" w:color="auto" w:fill="FFFFFF"/>
                  <w:vAlign w:val="center"/>
                  <w:hideMark/>
                </w:tcPr>
                <w:p w:rsidR="00504A7F" w:rsidRPr="00791D0F" w:rsidRDefault="00504A7F" w:rsidP="00A66468">
                  <w:pPr>
                    <w:jc w:val="center"/>
                    <w:rPr>
                      <w:lang w:eastAsia="en-US"/>
                    </w:rPr>
                  </w:pPr>
                  <w:r w:rsidRPr="00791D0F">
                    <w:rPr>
                      <w:lang w:eastAsia="en-US"/>
                    </w:rPr>
                    <w:t>3</w:t>
                  </w:r>
                </w:p>
              </w:tc>
              <w:tc>
                <w:tcPr>
                  <w:tcW w:w="934" w:type="dxa"/>
                  <w:shd w:val="clear" w:color="auto" w:fill="FFFFFF"/>
                  <w:vAlign w:val="center"/>
                  <w:hideMark/>
                </w:tcPr>
                <w:p w:rsidR="00504A7F" w:rsidRPr="00791D0F" w:rsidRDefault="00504A7F" w:rsidP="00A66468">
                  <w:pPr>
                    <w:jc w:val="center"/>
                    <w:rPr>
                      <w:lang w:eastAsia="en-US"/>
                    </w:rPr>
                  </w:pPr>
                  <w:r w:rsidRPr="00791D0F">
                    <w:rPr>
                      <w:lang w:eastAsia="en-US"/>
                    </w:rPr>
                    <w:t>4</w:t>
                  </w:r>
                </w:p>
              </w:tc>
              <w:tc>
                <w:tcPr>
                  <w:tcW w:w="933" w:type="dxa"/>
                  <w:shd w:val="clear" w:color="auto" w:fill="FFFFFF"/>
                  <w:vAlign w:val="center"/>
                  <w:hideMark/>
                </w:tcPr>
                <w:p w:rsidR="00504A7F" w:rsidRPr="00791D0F" w:rsidRDefault="00504A7F" w:rsidP="00A66468">
                  <w:pPr>
                    <w:jc w:val="center"/>
                    <w:rPr>
                      <w:lang w:eastAsia="en-US"/>
                    </w:rPr>
                  </w:pPr>
                  <w:r w:rsidRPr="00791D0F">
                    <w:rPr>
                      <w:lang w:eastAsia="en-US"/>
                    </w:rPr>
                    <w:t>5</w:t>
                  </w:r>
                </w:p>
              </w:tc>
              <w:tc>
                <w:tcPr>
                  <w:tcW w:w="761" w:type="dxa"/>
                  <w:shd w:val="clear" w:color="auto" w:fill="FFFFFF"/>
                  <w:vAlign w:val="center"/>
                  <w:hideMark/>
                </w:tcPr>
                <w:p w:rsidR="00504A7F" w:rsidRPr="00791D0F" w:rsidRDefault="00504A7F" w:rsidP="00A66468">
                  <w:pPr>
                    <w:jc w:val="center"/>
                    <w:rPr>
                      <w:lang w:eastAsia="en-US"/>
                    </w:rPr>
                  </w:pPr>
                  <w:r w:rsidRPr="00791D0F">
                    <w:rPr>
                      <w:lang w:eastAsia="en-US"/>
                    </w:rPr>
                    <w:t>6</w:t>
                  </w:r>
                </w:p>
              </w:tc>
              <w:tc>
                <w:tcPr>
                  <w:tcW w:w="1105" w:type="dxa"/>
                  <w:shd w:val="clear" w:color="auto" w:fill="FFFFFF"/>
                  <w:vAlign w:val="center"/>
                  <w:hideMark/>
                </w:tcPr>
                <w:p w:rsidR="00504A7F" w:rsidRPr="00791D0F" w:rsidRDefault="00504A7F" w:rsidP="00A66468">
                  <w:pPr>
                    <w:jc w:val="center"/>
                    <w:rPr>
                      <w:lang w:eastAsia="en-US"/>
                    </w:rPr>
                  </w:pPr>
                  <w:r w:rsidRPr="00791D0F">
                    <w:rPr>
                      <w:lang w:eastAsia="en-US"/>
                    </w:rPr>
                    <w:t>7</w:t>
                  </w:r>
                </w:p>
              </w:tc>
              <w:tc>
                <w:tcPr>
                  <w:tcW w:w="988" w:type="dxa"/>
                  <w:shd w:val="clear" w:color="auto" w:fill="FFFFFF"/>
                  <w:vAlign w:val="center"/>
                  <w:hideMark/>
                </w:tcPr>
                <w:p w:rsidR="00504A7F" w:rsidRPr="00791D0F" w:rsidRDefault="00504A7F" w:rsidP="00A66468">
                  <w:pPr>
                    <w:jc w:val="center"/>
                    <w:rPr>
                      <w:lang w:eastAsia="en-US"/>
                    </w:rPr>
                  </w:pPr>
                  <w:r w:rsidRPr="00791D0F">
                    <w:rPr>
                      <w:lang w:eastAsia="en-US"/>
                    </w:rPr>
                    <w:t>8</w:t>
                  </w:r>
                </w:p>
              </w:tc>
            </w:tr>
            <w:tr w:rsidR="00504A7F" w:rsidRPr="00791D0F" w:rsidTr="00A66468">
              <w:trPr>
                <w:cantSplit/>
              </w:trPr>
              <w:tc>
                <w:tcPr>
                  <w:tcW w:w="2149" w:type="dxa"/>
                  <w:shd w:val="clear" w:color="auto" w:fill="FFFFFF"/>
                  <w:hideMark/>
                </w:tcPr>
                <w:p w:rsidR="00504A7F" w:rsidRPr="00791D0F" w:rsidRDefault="00504A7F" w:rsidP="00A66468">
                  <w:pPr>
                    <w:rPr>
                      <w:lang w:eastAsia="en-US"/>
                    </w:rPr>
                  </w:pPr>
                  <w:r w:rsidRPr="00791D0F">
                    <w:rPr>
                      <w:lang w:eastAsia="en-US"/>
                    </w:rPr>
                    <w:t>1. Budžeta ieņēmumi</w:t>
                  </w:r>
                </w:p>
              </w:tc>
              <w:tc>
                <w:tcPr>
                  <w:tcW w:w="934" w:type="dxa"/>
                  <w:shd w:val="clear" w:color="auto" w:fill="FFFFFF"/>
                  <w:vAlign w:val="center"/>
                  <w:hideMark/>
                </w:tcPr>
                <w:p w:rsidR="00504A7F" w:rsidRPr="00791D0F" w:rsidRDefault="00504A7F" w:rsidP="00A66468">
                  <w:pPr>
                    <w:jc w:val="center"/>
                    <w:rPr>
                      <w:lang w:eastAsia="en-US"/>
                    </w:rPr>
                  </w:pPr>
                  <w:r w:rsidRPr="00791D0F">
                    <w:rPr>
                      <w:lang w:eastAsia="en-US"/>
                    </w:rPr>
                    <w:t>0</w:t>
                  </w:r>
                </w:p>
              </w:tc>
              <w:tc>
                <w:tcPr>
                  <w:tcW w:w="1199" w:type="dxa"/>
                  <w:shd w:val="clear" w:color="auto" w:fill="FFFFFF"/>
                  <w:vAlign w:val="center"/>
                  <w:hideMark/>
                </w:tcPr>
                <w:p w:rsidR="00504A7F" w:rsidRPr="00791D0F" w:rsidRDefault="00504A7F" w:rsidP="00A66468">
                  <w:pPr>
                    <w:jc w:val="center"/>
                    <w:rPr>
                      <w:lang w:eastAsia="en-US"/>
                    </w:rPr>
                  </w:pPr>
                  <w:r w:rsidRPr="00791D0F">
                    <w:rPr>
                      <w:lang w:eastAsia="en-US"/>
                    </w:rPr>
                    <w:t>0</w:t>
                  </w:r>
                </w:p>
              </w:tc>
              <w:tc>
                <w:tcPr>
                  <w:tcW w:w="934" w:type="dxa"/>
                  <w:shd w:val="clear" w:color="auto" w:fill="FFFFFF"/>
                  <w:vAlign w:val="center"/>
                  <w:hideMark/>
                </w:tcPr>
                <w:p w:rsidR="00504A7F" w:rsidRPr="00791D0F" w:rsidRDefault="00504A7F" w:rsidP="00A66468">
                  <w:pPr>
                    <w:jc w:val="center"/>
                    <w:rPr>
                      <w:lang w:eastAsia="en-US"/>
                    </w:rPr>
                  </w:pPr>
                  <w:r w:rsidRPr="00791D0F">
                    <w:rPr>
                      <w:lang w:eastAsia="en-US"/>
                    </w:rPr>
                    <w:t>0</w:t>
                  </w:r>
                </w:p>
              </w:tc>
              <w:tc>
                <w:tcPr>
                  <w:tcW w:w="933" w:type="dxa"/>
                  <w:shd w:val="clear" w:color="auto" w:fill="FFFFFF"/>
                  <w:vAlign w:val="center"/>
                  <w:hideMark/>
                </w:tcPr>
                <w:p w:rsidR="00504A7F" w:rsidRPr="00791D0F" w:rsidRDefault="00504A7F" w:rsidP="00A66468">
                  <w:pPr>
                    <w:jc w:val="center"/>
                    <w:rPr>
                      <w:lang w:eastAsia="en-US"/>
                    </w:rPr>
                  </w:pPr>
                  <w:r w:rsidRPr="00791D0F">
                    <w:rPr>
                      <w:lang w:eastAsia="en-US"/>
                    </w:rPr>
                    <w:t>0</w:t>
                  </w:r>
                </w:p>
              </w:tc>
              <w:tc>
                <w:tcPr>
                  <w:tcW w:w="761" w:type="dxa"/>
                  <w:shd w:val="clear" w:color="auto" w:fill="FFFFFF"/>
                  <w:vAlign w:val="center"/>
                  <w:hideMark/>
                </w:tcPr>
                <w:p w:rsidR="00504A7F" w:rsidRPr="00791D0F" w:rsidRDefault="00504A7F" w:rsidP="00A66468">
                  <w:pPr>
                    <w:jc w:val="center"/>
                    <w:rPr>
                      <w:lang w:eastAsia="en-US"/>
                    </w:rPr>
                  </w:pPr>
                  <w:r w:rsidRPr="00791D0F">
                    <w:rPr>
                      <w:lang w:eastAsia="en-US"/>
                    </w:rPr>
                    <w:t>0</w:t>
                  </w:r>
                </w:p>
              </w:tc>
              <w:tc>
                <w:tcPr>
                  <w:tcW w:w="1105" w:type="dxa"/>
                  <w:shd w:val="clear" w:color="auto" w:fill="FFFFFF"/>
                  <w:vAlign w:val="center"/>
                  <w:hideMark/>
                </w:tcPr>
                <w:p w:rsidR="00504A7F" w:rsidRPr="00791D0F" w:rsidRDefault="00504A7F" w:rsidP="00A66468">
                  <w:pPr>
                    <w:jc w:val="center"/>
                    <w:rPr>
                      <w:lang w:eastAsia="en-US"/>
                    </w:rPr>
                  </w:pPr>
                  <w:r w:rsidRPr="00791D0F">
                    <w:rPr>
                      <w:lang w:eastAsia="en-US"/>
                    </w:rPr>
                    <w:t>0</w:t>
                  </w:r>
                </w:p>
              </w:tc>
              <w:tc>
                <w:tcPr>
                  <w:tcW w:w="988" w:type="dxa"/>
                  <w:shd w:val="clear" w:color="auto" w:fill="FFFFFF"/>
                  <w:vAlign w:val="center"/>
                  <w:hideMark/>
                </w:tcPr>
                <w:p w:rsidR="00504A7F" w:rsidRPr="00791D0F" w:rsidRDefault="00504A7F" w:rsidP="00A66468">
                  <w:pPr>
                    <w:jc w:val="center"/>
                    <w:rPr>
                      <w:lang w:eastAsia="en-US"/>
                    </w:rPr>
                  </w:pPr>
                  <w:r w:rsidRPr="00791D0F">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1.1. valsts pamatbudžets, tai skaitā ieņēmumi no maksas pakalpojumiem un citi pašu ieņēmumi</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1199" w:type="dxa"/>
                  <w:shd w:val="clear" w:color="auto" w:fill="auto"/>
                  <w:vAlign w:val="center"/>
                  <w:hideMark/>
                </w:tcPr>
                <w:p w:rsidR="00504A7F" w:rsidRPr="00791D0F" w:rsidRDefault="00504A7F" w:rsidP="00A66468">
                  <w:pPr>
                    <w:jc w:val="center"/>
                    <w:rPr>
                      <w:lang w:eastAsia="en-US"/>
                    </w:rPr>
                  </w:pPr>
                  <w:r>
                    <w:rPr>
                      <w:lang w:eastAsia="en-US"/>
                    </w:rPr>
                    <w:t>0</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933" w:type="dxa"/>
                  <w:shd w:val="clear" w:color="auto" w:fill="auto"/>
                  <w:vAlign w:val="center"/>
                  <w:hideMark/>
                </w:tcPr>
                <w:p w:rsidR="00504A7F" w:rsidRPr="00791D0F" w:rsidRDefault="00504A7F" w:rsidP="00A66468">
                  <w:pPr>
                    <w:jc w:val="center"/>
                    <w:rPr>
                      <w:lang w:eastAsia="en-US"/>
                    </w:rPr>
                  </w:pPr>
                  <w:r>
                    <w:rPr>
                      <w:lang w:eastAsia="en-US"/>
                    </w:rPr>
                    <w:t>0</w:t>
                  </w:r>
                </w:p>
              </w:tc>
              <w:tc>
                <w:tcPr>
                  <w:tcW w:w="761" w:type="dxa"/>
                  <w:shd w:val="clear" w:color="auto" w:fill="auto"/>
                  <w:vAlign w:val="center"/>
                  <w:hideMark/>
                </w:tcPr>
                <w:p w:rsidR="00504A7F" w:rsidRPr="00791D0F" w:rsidRDefault="00504A7F" w:rsidP="00A66468">
                  <w:pPr>
                    <w:jc w:val="center"/>
                    <w:rPr>
                      <w:lang w:eastAsia="en-US"/>
                    </w:rPr>
                  </w:pPr>
                  <w:r>
                    <w:rPr>
                      <w:lang w:eastAsia="en-US"/>
                    </w:rPr>
                    <w:t>0</w:t>
                  </w:r>
                </w:p>
              </w:tc>
              <w:tc>
                <w:tcPr>
                  <w:tcW w:w="1105" w:type="dxa"/>
                  <w:shd w:val="clear" w:color="auto" w:fill="auto"/>
                  <w:vAlign w:val="center"/>
                  <w:hideMark/>
                </w:tcPr>
                <w:p w:rsidR="00504A7F" w:rsidRPr="00791D0F" w:rsidRDefault="00504A7F" w:rsidP="00A66468">
                  <w:pPr>
                    <w:jc w:val="center"/>
                    <w:rPr>
                      <w:lang w:eastAsia="en-US"/>
                    </w:rPr>
                  </w:pPr>
                  <w:r>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1.2. valsts speciālais budžets</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1199" w:type="dxa"/>
                  <w:shd w:val="clear" w:color="auto" w:fill="auto"/>
                  <w:vAlign w:val="center"/>
                  <w:hideMark/>
                </w:tcPr>
                <w:p w:rsidR="00504A7F" w:rsidRPr="00791D0F" w:rsidRDefault="00504A7F" w:rsidP="00A66468">
                  <w:pPr>
                    <w:jc w:val="center"/>
                    <w:rPr>
                      <w:lang w:eastAsia="en-US"/>
                    </w:rPr>
                  </w:pPr>
                  <w:r>
                    <w:rPr>
                      <w:lang w:eastAsia="en-US"/>
                    </w:rPr>
                    <w:t>0</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933" w:type="dxa"/>
                  <w:shd w:val="clear" w:color="auto" w:fill="auto"/>
                  <w:vAlign w:val="center"/>
                  <w:hideMark/>
                </w:tcPr>
                <w:p w:rsidR="00504A7F" w:rsidRPr="00791D0F" w:rsidRDefault="00504A7F" w:rsidP="00A66468">
                  <w:pPr>
                    <w:jc w:val="center"/>
                    <w:rPr>
                      <w:lang w:eastAsia="en-US"/>
                    </w:rPr>
                  </w:pPr>
                  <w:r>
                    <w:rPr>
                      <w:lang w:eastAsia="en-US"/>
                    </w:rPr>
                    <w:t>0</w:t>
                  </w:r>
                </w:p>
              </w:tc>
              <w:tc>
                <w:tcPr>
                  <w:tcW w:w="761" w:type="dxa"/>
                  <w:shd w:val="clear" w:color="auto" w:fill="auto"/>
                  <w:vAlign w:val="center"/>
                  <w:hideMark/>
                </w:tcPr>
                <w:p w:rsidR="00504A7F" w:rsidRPr="00791D0F" w:rsidRDefault="00504A7F" w:rsidP="00A66468">
                  <w:pPr>
                    <w:jc w:val="center"/>
                    <w:rPr>
                      <w:lang w:eastAsia="en-US"/>
                    </w:rPr>
                  </w:pPr>
                  <w:r>
                    <w:rPr>
                      <w:lang w:eastAsia="en-US"/>
                    </w:rPr>
                    <w:t>0</w:t>
                  </w:r>
                </w:p>
              </w:tc>
              <w:tc>
                <w:tcPr>
                  <w:tcW w:w="1105" w:type="dxa"/>
                  <w:shd w:val="clear" w:color="auto" w:fill="auto"/>
                  <w:vAlign w:val="center"/>
                  <w:hideMark/>
                </w:tcPr>
                <w:p w:rsidR="00504A7F" w:rsidRPr="00791D0F" w:rsidRDefault="00504A7F" w:rsidP="00A66468">
                  <w:pPr>
                    <w:jc w:val="center"/>
                    <w:rPr>
                      <w:lang w:eastAsia="en-US"/>
                    </w:rPr>
                  </w:pPr>
                  <w:r>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1.3. pašvaldību budžets</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1199" w:type="dxa"/>
                  <w:shd w:val="clear" w:color="auto" w:fill="auto"/>
                  <w:vAlign w:val="center"/>
                  <w:hideMark/>
                </w:tcPr>
                <w:p w:rsidR="00504A7F" w:rsidRPr="00791D0F" w:rsidRDefault="00504A7F" w:rsidP="00A66468">
                  <w:pPr>
                    <w:jc w:val="center"/>
                    <w:rPr>
                      <w:lang w:eastAsia="en-US"/>
                    </w:rPr>
                  </w:pPr>
                  <w:r>
                    <w:rPr>
                      <w:lang w:eastAsia="en-US"/>
                    </w:rPr>
                    <w:t>0</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933" w:type="dxa"/>
                  <w:shd w:val="clear" w:color="auto" w:fill="auto"/>
                  <w:vAlign w:val="center"/>
                  <w:hideMark/>
                </w:tcPr>
                <w:p w:rsidR="00504A7F" w:rsidRPr="00791D0F" w:rsidRDefault="00504A7F" w:rsidP="00A66468">
                  <w:pPr>
                    <w:jc w:val="center"/>
                    <w:rPr>
                      <w:lang w:eastAsia="en-US"/>
                    </w:rPr>
                  </w:pPr>
                  <w:r>
                    <w:rPr>
                      <w:lang w:eastAsia="en-US"/>
                    </w:rPr>
                    <w:t>0</w:t>
                  </w:r>
                </w:p>
              </w:tc>
              <w:tc>
                <w:tcPr>
                  <w:tcW w:w="761" w:type="dxa"/>
                  <w:shd w:val="clear" w:color="auto" w:fill="auto"/>
                  <w:vAlign w:val="center"/>
                  <w:hideMark/>
                </w:tcPr>
                <w:p w:rsidR="00504A7F" w:rsidRPr="00791D0F" w:rsidRDefault="00504A7F" w:rsidP="00A66468">
                  <w:pPr>
                    <w:jc w:val="center"/>
                    <w:rPr>
                      <w:lang w:eastAsia="en-US"/>
                    </w:rPr>
                  </w:pPr>
                  <w:r>
                    <w:rPr>
                      <w:lang w:eastAsia="en-US"/>
                    </w:rPr>
                    <w:t>0</w:t>
                  </w:r>
                </w:p>
              </w:tc>
              <w:tc>
                <w:tcPr>
                  <w:tcW w:w="1105" w:type="dxa"/>
                  <w:shd w:val="clear" w:color="auto" w:fill="auto"/>
                  <w:vAlign w:val="center"/>
                  <w:hideMark/>
                </w:tcPr>
                <w:p w:rsidR="00504A7F" w:rsidRPr="00791D0F" w:rsidRDefault="00504A7F" w:rsidP="00A66468">
                  <w:pPr>
                    <w:jc w:val="center"/>
                    <w:rPr>
                      <w:lang w:eastAsia="en-US"/>
                    </w:rPr>
                  </w:pPr>
                  <w:r>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2. Budžeta izdevumi</w:t>
                  </w:r>
                </w:p>
              </w:tc>
              <w:tc>
                <w:tcPr>
                  <w:tcW w:w="934" w:type="dxa"/>
                  <w:shd w:val="clear" w:color="auto" w:fill="auto"/>
                  <w:vAlign w:val="center"/>
                  <w:hideMark/>
                </w:tcPr>
                <w:p w:rsidR="00504A7F" w:rsidRPr="00791D0F" w:rsidRDefault="00504A7F" w:rsidP="00A66468">
                  <w:pPr>
                    <w:jc w:val="center"/>
                    <w:rPr>
                      <w:lang w:eastAsia="en-US"/>
                    </w:rPr>
                  </w:pPr>
                  <w:r w:rsidRPr="00791D0F">
                    <w:rPr>
                      <w:lang w:eastAsia="en-US"/>
                    </w:rPr>
                    <w:t>0</w:t>
                  </w:r>
                </w:p>
              </w:tc>
              <w:tc>
                <w:tcPr>
                  <w:tcW w:w="1199" w:type="dxa"/>
                  <w:shd w:val="clear" w:color="auto" w:fill="auto"/>
                  <w:vAlign w:val="center"/>
                  <w:hideMark/>
                </w:tcPr>
                <w:p w:rsidR="00504A7F" w:rsidRPr="00791D0F" w:rsidRDefault="00504A7F" w:rsidP="00A66468">
                  <w:pPr>
                    <w:jc w:val="center"/>
                    <w:rPr>
                      <w:lang w:eastAsia="en-US"/>
                    </w:rPr>
                  </w:pPr>
                  <w:r w:rsidRPr="00791D0F">
                    <w:rPr>
                      <w:lang w:eastAsia="en-US"/>
                    </w:rPr>
                    <w:t>0</w:t>
                  </w:r>
                </w:p>
              </w:tc>
              <w:tc>
                <w:tcPr>
                  <w:tcW w:w="934" w:type="dxa"/>
                  <w:shd w:val="clear" w:color="auto" w:fill="auto"/>
                  <w:vAlign w:val="center"/>
                  <w:hideMark/>
                </w:tcPr>
                <w:p w:rsidR="00504A7F" w:rsidRPr="00791D0F" w:rsidRDefault="00504A7F" w:rsidP="00A66468">
                  <w:pPr>
                    <w:jc w:val="center"/>
                    <w:rPr>
                      <w:lang w:eastAsia="en-US"/>
                    </w:rPr>
                  </w:pPr>
                  <w:r w:rsidRPr="00791D0F">
                    <w:rPr>
                      <w:lang w:eastAsia="en-US"/>
                    </w:rPr>
                    <w:t>0</w:t>
                  </w:r>
                </w:p>
              </w:tc>
              <w:tc>
                <w:tcPr>
                  <w:tcW w:w="933" w:type="dxa"/>
                  <w:shd w:val="clear" w:color="auto" w:fill="auto"/>
                  <w:vAlign w:val="center"/>
                  <w:hideMark/>
                </w:tcPr>
                <w:p w:rsidR="00504A7F" w:rsidRPr="00791D0F" w:rsidRDefault="00504A7F" w:rsidP="00A66468">
                  <w:pPr>
                    <w:jc w:val="center"/>
                    <w:rPr>
                      <w:lang w:eastAsia="en-US"/>
                    </w:rPr>
                  </w:pPr>
                  <w:r w:rsidRPr="00791D0F">
                    <w:rPr>
                      <w:lang w:eastAsia="en-US"/>
                    </w:rPr>
                    <w:t>0</w:t>
                  </w:r>
                </w:p>
              </w:tc>
              <w:tc>
                <w:tcPr>
                  <w:tcW w:w="761" w:type="dxa"/>
                  <w:shd w:val="clear" w:color="auto" w:fill="auto"/>
                  <w:vAlign w:val="center"/>
                  <w:hideMark/>
                </w:tcPr>
                <w:p w:rsidR="00504A7F" w:rsidRPr="00791D0F" w:rsidRDefault="00504A7F" w:rsidP="00A66468">
                  <w:pPr>
                    <w:jc w:val="center"/>
                    <w:rPr>
                      <w:lang w:eastAsia="en-US"/>
                    </w:rPr>
                  </w:pPr>
                  <w:r w:rsidRPr="00791D0F">
                    <w:rPr>
                      <w:lang w:eastAsia="en-US"/>
                    </w:rPr>
                    <w:t>0</w:t>
                  </w:r>
                </w:p>
              </w:tc>
              <w:tc>
                <w:tcPr>
                  <w:tcW w:w="1105" w:type="dxa"/>
                  <w:shd w:val="clear" w:color="auto" w:fill="auto"/>
                  <w:vAlign w:val="center"/>
                  <w:hideMark/>
                </w:tcPr>
                <w:p w:rsidR="00504A7F" w:rsidRPr="00791D0F" w:rsidRDefault="00504A7F" w:rsidP="00A66468">
                  <w:pPr>
                    <w:jc w:val="center"/>
                    <w:rPr>
                      <w:lang w:eastAsia="en-US"/>
                    </w:rPr>
                  </w:pPr>
                  <w:r w:rsidRPr="00791D0F">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sidRPr="00791D0F">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2.1. valsts pamatbudžets</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1199" w:type="dxa"/>
                  <w:shd w:val="clear" w:color="auto" w:fill="auto"/>
                  <w:vAlign w:val="center"/>
                  <w:hideMark/>
                </w:tcPr>
                <w:p w:rsidR="00504A7F" w:rsidRPr="00791D0F" w:rsidRDefault="00504A7F" w:rsidP="00A66468">
                  <w:pPr>
                    <w:jc w:val="center"/>
                    <w:rPr>
                      <w:lang w:eastAsia="en-US"/>
                    </w:rPr>
                  </w:pPr>
                  <w:r>
                    <w:rPr>
                      <w:lang w:eastAsia="en-US"/>
                    </w:rPr>
                    <w:t>0</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933" w:type="dxa"/>
                  <w:shd w:val="clear" w:color="auto" w:fill="auto"/>
                  <w:vAlign w:val="center"/>
                  <w:hideMark/>
                </w:tcPr>
                <w:p w:rsidR="00504A7F" w:rsidRPr="00791D0F" w:rsidRDefault="00504A7F" w:rsidP="00A66468">
                  <w:pPr>
                    <w:jc w:val="center"/>
                    <w:rPr>
                      <w:lang w:eastAsia="en-US"/>
                    </w:rPr>
                  </w:pPr>
                  <w:r>
                    <w:rPr>
                      <w:lang w:eastAsia="en-US"/>
                    </w:rPr>
                    <w:t>0</w:t>
                  </w:r>
                </w:p>
              </w:tc>
              <w:tc>
                <w:tcPr>
                  <w:tcW w:w="761" w:type="dxa"/>
                  <w:shd w:val="clear" w:color="auto" w:fill="auto"/>
                  <w:vAlign w:val="center"/>
                  <w:hideMark/>
                </w:tcPr>
                <w:p w:rsidR="00504A7F" w:rsidRPr="00791D0F" w:rsidRDefault="00504A7F" w:rsidP="00A66468">
                  <w:pPr>
                    <w:jc w:val="center"/>
                    <w:rPr>
                      <w:lang w:eastAsia="en-US"/>
                    </w:rPr>
                  </w:pPr>
                  <w:r>
                    <w:rPr>
                      <w:lang w:eastAsia="en-US"/>
                    </w:rPr>
                    <w:t>0</w:t>
                  </w:r>
                </w:p>
              </w:tc>
              <w:tc>
                <w:tcPr>
                  <w:tcW w:w="1105" w:type="dxa"/>
                  <w:shd w:val="clear" w:color="auto" w:fill="auto"/>
                  <w:vAlign w:val="center"/>
                  <w:hideMark/>
                </w:tcPr>
                <w:p w:rsidR="00504A7F" w:rsidRPr="00791D0F" w:rsidRDefault="00504A7F" w:rsidP="00A66468">
                  <w:pPr>
                    <w:jc w:val="center"/>
                    <w:rPr>
                      <w:lang w:eastAsia="en-US"/>
                    </w:rPr>
                  </w:pPr>
                  <w:r>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2.2. valsts speciālais budžets</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1199" w:type="dxa"/>
                  <w:shd w:val="clear" w:color="auto" w:fill="auto"/>
                  <w:vAlign w:val="center"/>
                  <w:hideMark/>
                </w:tcPr>
                <w:p w:rsidR="00504A7F" w:rsidRPr="00791D0F" w:rsidRDefault="00504A7F" w:rsidP="00A66468">
                  <w:pPr>
                    <w:jc w:val="center"/>
                    <w:rPr>
                      <w:lang w:eastAsia="en-US"/>
                    </w:rPr>
                  </w:pPr>
                  <w:r>
                    <w:rPr>
                      <w:lang w:eastAsia="en-US"/>
                    </w:rPr>
                    <w:t>0</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933" w:type="dxa"/>
                  <w:shd w:val="clear" w:color="auto" w:fill="auto"/>
                  <w:vAlign w:val="center"/>
                  <w:hideMark/>
                </w:tcPr>
                <w:p w:rsidR="00504A7F" w:rsidRPr="00791D0F" w:rsidRDefault="00504A7F" w:rsidP="00A66468">
                  <w:pPr>
                    <w:jc w:val="center"/>
                    <w:rPr>
                      <w:lang w:eastAsia="en-US"/>
                    </w:rPr>
                  </w:pPr>
                  <w:r>
                    <w:rPr>
                      <w:lang w:eastAsia="en-US"/>
                    </w:rPr>
                    <w:t>0</w:t>
                  </w:r>
                </w:p>
              </w:tc>
              <w:tc>
                <w:tcPr>
                  <w:tcW w:w="761" w:type="dxa"/>
                  <w:shd w:val="clear" w:color="auto" w:fill="auto"/>
                  <w:vAlign w:val="center"/>
                  <w:hideMark/>
                </w:tcPr>
                <w:p w:rsidR="00504A7F" w:rsidRPr="00791D0F" w:rsidRDefault="00504A7F" w:rsidP="00A66468">
                  <w:pPr>
                    <w:jc w:val="center"/>
                    <w:rPr>
                      <w:lang w:eastAsia="en-US"/>
                    </w:rPr>
                  </w:pPr>
                  <w:r>
                    <w:rPr>
                      <w:lang w:eastAsia="en-US"/>
                    </w:rPr>
                    <w:t>0</w:t>
                  </w:r>
                </w:p>
              </w:tc>
              <w:tc>
                <w:tcPr>
                  <w:tcW w:w="1105" w:type="dxa"/>
                  <w:shd w:val="clear" w:color="auto" w:fill="auto"/>
                  <w:vAlign w:val="center"/>
                  <w:hideMark/>
                </w:tcPr>
                <w:p w:rsidR="00504A7F" w:rsidRPr="00791D0F" w:rsidRDefault="00504A7F" w:rsidP="00A66468">
                  <w:pPr>
                    <w:jc w:val="center"/>
                    <w:rPr>
                      <w:lang w:eastAsia="en-US"/>
                    </w:rPr>
                  </w:pPr>
                  <w:r>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2.3. pašvaldību budžets</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1199" w:type="dxa"/>
                  <w:shd w:val="clear" w:color="auto" w:fill="auto"/>
                  <w:vAlign w:val="center"/>
                  <w:hideMark/>
                </w:tcPr>
                <w:p w:rsidR="00504A7F" w:rsidRPr="00791D0F" w:rsidRDefault="00504A7F" w:rsidP="00A66468">
                  <w:pPr>
                    <w:jc w:val="center"/>
                    <w:rPr>
                      <w:lang w:eastAsia="en-US"/>
                    </w:rPr>
                  </w:pPr>
                  <w:r>
                    <w:rPr>
                      <w:lang w:eastAsia="en-US"/>
                    </w:rPr>
                    <w:t>0</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933" w:type="dxa"/>
                  <w:shd w:val="clear" w:color="auto" w:fill="auto"/>
                  <w:vAlign w:val="center"/>
                  <w:hideMark/>
                </w:tcPr>
                <w:p w:rsidR="00504A7F" w:rsidRPr="00791D0F" w:rsidRDefault="00504A7F" w:rsidP="00A66468">
                  <w:pPr>
                    <w:jc w:val="center"/>
                    <w:rPr>
                      <w:lang w:eastAsia="en-US"/>
                    </w:rPr>
                  </w:pPr>
                  <w:r>
                    <w:rPr>
                      <w:lang w:eastAsia="en-US"/>
                    </w:rPr>
                    <w:t>0</w:t>
                  </w:r>
                </w:p>
              </w:tc>
              <w:tc>
                <w:tcPr>
                  <w:tcW w:w="761" w:type="dxa"/>
                  <w:shd w:val="clear" w:color="auto" w:fill="auto"/>
                  <w:vAlign w:val="center"/>
                  <w:hideMark/>
                </w:tcPr>
                <w:p w:rsidR="00504A7F" w:rsidRPr="00791D0F" w:rsidRDefault="00504A7F" w:rsidP="00A66468">
                  <w:pPr>
                    <w:jc w:val="center"/>
                    <w:rPr>
                      <w:lang w:eastAsia="en-US"/>
                    </w:rPr>
                  </w:pPr>
                  <w:r>
                    <w:rPr>
                      <w:lang w:eastAsia="en-US"/>
                    </w:rPr>
                    <w:t>0</w:t>
                  </w:r>
                </w:p>
              </w:tc>
              <w:tc>
                <w:tcPr>
                  <w:tcW w:w="1105" w:type="dxa"/>
                  <w:shd w:val="clear" w:color="auto" w:fill="auto"/>
                  <w:vAlign w:val="center"/>
                  <w:hideMark/>
                </w:tcPr>
                <w:p w:rsidR="00504A7F" w:rsidRPr="00791D0F" w:rsidRDefault="00504A7F" w:rsidP="00A66468">
                  <w:pPr>
                    <w:jc w:val="center"/>
                    <w:rPr>
                      <w:lang w:eastAsia="en-US"/>
                    </w:rPr>
                  </w:pPr>
                  <w:r>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3. Finansiālā ietekme</w:t>
                  </w:r>
                </w:p>
              </w:tc>
              <w:tc>
                <w:tcPr>
                  <w:tcW w:w="934" w:type="dxa"/>
                  <w:shd w:val="clear" w:color="auto" w:fill="auto"/>
                  <w:vAlign w:val="center"/>
                  <w:hideMark/>
                </w:tcPr>
                <w:p w:rsidR="00504A7F" w:rsidRPr="00791D0F" w:rsidRDefault="00504A7F" w:rsidP="00A66468">
                  <w:pPr>
                    <w:jc w:val="center"/>
                    <w:rPr>
                      <w:lang w:eastAsia="en-US"/>
                    </w:rPr>
                  </w:pPr>
                  <w:r w:rsidRPr="00791D0F">
                    <w:rPr>
                      <w:lang w:eastAsia="en-US"/>
                    </w:rPr>
                    <w:t>0</w:t>
                  </w:r>
                </w:p>
              </w:tc>
              <w:tc>
                <w:tcPr>
                  <w:tcW w:w="1199" w:type="dxa"/>
                  <w:shd w:val="clear" w:color="auto" w:fill="auto"/>
                  <w:vAlign w:val="center"/>
                  <w:hideMark/>
                </w:tcPr>
                <w:p w:rsidR="00504A7F" w:rsidRPr="00791D0F" w:rsidRDefault="00504A7F" w:rsidP="00A66468">
                  <w:pPr>
                    <w:jc w:val="center"/>
                    <w:rPr>
                      <w:lang w:eastAsia="en-US"/>
                    </w:rPr>
                  </w:pPr>
                  <w:r w:rsidRPr="00791D0F">
                    <w:rPr>
                      <w:lang w:eastAsia="en-US"/>
                    </w:rPr>
                    <w:t>0</w:t>
                  </w:r>
                </w:p>
              </w:tc>
              <w:tc>
                <w:tcPr>
                  <w:tcW w:w="934" w:type="dxa"/>
                  <w:shd w:val="clear" w:color="auto" w:fill="auto"/>
                  <w:vAlign w:val="center"/>
                  <w:hideMark/>
                </w:tcPr>
                <w:p w:rsidR="00504A7F" w:rsidRPr="00791D0F" w:rsidRDefault="00504A7F" w:rsidP="00A66468">
                  <w:pPr>
                    <w:jc w:val="center"/>
                    <w:rPr>
                      <w:lang w:eastAsia="en-US"/>
                    </w:rPr>
                  </w:pPr>
                  <w:r w:rsidRPr="00791D0F">
                    <w:rPr>
                      <w:lang w:eastAsia="en-US"/>
                    </w:rPr>
                    <w:t>0</w:t>
                  </w:r>
                </w:p>
              </w:tc>
              <w:tc>
                <w:tcPr>
                  <w:tcW w:w="933" w:type="dxa"/>
                  <w:shd w:val="clear" w:color="auto" w:fill="auto"/>
                  <w:vAlign w:val="center"/>
                  <w:hideMark/>
                </w:tcPr>
                <w:p w:rsidR="00504A7F" w:rsidRPr="00791D0F" w:rsidRDefault="00504A7F" w:rsidP="00A66468">
                  <w:pPr>
                    <w:jc w:val="center"/>
                    <w:rPr>
                      <w:lang w:eastAsia="en-US"/>
                    </w:rPr>
                  </w:pPr>
                  <w:r w:rsidRPr="00791D0F">
                    <w:rPr>
                      <w:lang w:eastAsia="en-US"/>
                    </w:rPr>
                    <w:t>0</w:t>
                  </w:r>
                </w:p>
              </w:tc>
              <w:tc>
                <w:tcPr>
                  <w:tcW w:w="761" w:type="dxa"/>
                  <w:shd w:val="clear" w:color="auto" w:fill="auto"/>
                  <w:vAlign w:val="center"/>
                  <w:hideMark/>
                </w:tcPr>
                <w:p w:rsidR="00504A7F" w:rsidRPr="00791D0F" w:rsidRDefault="00504A7F" w:rsidP="00A66468">
                  <w:pPr>
                    <w:jc w:val="center"/>
                    <w:rPr>
                      <w:lang w:eastAsia="en-US"/>
                    </w:rPr>
                  </w:pPr>
                  <w:r w:rsidRPr="00791D0F">
                    <w:rPr>
                      <w:lang w:eastAsia="en-US"/>
                    </w:rPr>
                    <w:t>0</w:t>
                  </w:r>
                </w:p>
              </w:tc>
              <w:tc>
                <w:tcPr>
                  <w:tcW w:w="1105" w:type="dxa"/>
                  <w:shd w:val="clear" w:color="auto" w:fill="auto"/>
                  <w:vAlign w:val="center"/>
                  <w:hideMark/>
                </w:tcPr>
                <w:p w:rsidR="00504A7F" w:rsidRPr="00791D0F" w:rsidRDefault="00504A7F" w:rsidP="00A66468">
                  <w:pPr>
                    <w:jc w:val="center"/>
                    <w:rPr>
                      <w:lang w:eastAsia="en-US"/>
                    </w:rPr>
                  </w:pPr>
                  <w:r w:rsidRPr="00791D0F">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sidRPr="00791D0F">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3.1. valsts pamatbudžets</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1199" w:type="dxa"/>
                  <w:shd w:val="clear" w:color="auto" w:fill="auto"/>
                  <w:vAlign w:val="center"/>
                  <w:hideMark/>
                </w:tcPr>
                <w:p w:rsidR="00504A7F" w:rsidRPr="00791D0F" w:rsidRDefault="00504A7F" w:rsidP="00A66468">
                  <w:pPr>
                    <w:jc w:val="center"/>
                    <w:rPr>
                      <w:lang w:eastAsia="en-US"/>
                    </w:rPr>
                  </w:pPr>
                  <w:r>
                    <w:rPr>
                      <w:lang w:eastAsia="en-US"/>
                    </w:rPr>
                    <w:t>0</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933" w:type="dxa"/>
                  <w:shd w:val="clear" w:color="auto" w:fill="auto"/>
                  <w:vAlign w:val="center"/>
                  <w:hideMark/>
                </w:tcPr>
                <w:p w:rsidR="00504A7F" w:rsidRPr="00791D0F" w:rsidRDefault="00504A7F" w:rsidP="00A66468">
                  <w:pPr>
                    <w:jc w:val="center"/>
                    <w:rPr>
                      <w:lang w:eastAsia="en-US"/>
                    </w:rPr>
                  </w:pPr>
                  <w:r>
                    <w:rPr>
                      <w:lang w:eastAsia="en-US"/>
                    </w:rPr>
                    <w:t>0</w:t>
                  </w:r>
                </w:p>
              </w:tc>
              <w:tc>
                <w:tcPr>
                  <w:tcW w:w="761" w:type="dxa"/>
                  <w:shd w:val="clear" w:color="auto" w:fill="auto"/>
                  <w:vAlign w:val="center"/>
                  <w:hideMark/>
                </w:tcPr>
                <w:p w:rsidR="00504A7F" w:rsidRPr="00791D0F" w:rsidRDefault="00504A7F" w:rsidP="00A66468">
                  <w:pPr>
                    <w:jc w:val="center"/>
                    <w:rPr>
                      <w:lang w:eastAsia="en-US"/>
                    </w:rPr>
                  </w:pPr>
                  <w:r>
                    <w:rPr>
                      <w:lang w:eastAsia="en-US"/>
                    </w:rPr>
                    <w:t>0</w:t>
                  </w:r>
                </w:p>
              </w:tc>
              <w:tc>
                <w:tcPr>
                  <w:tcW w:w="1105" w:type="dxa"/>
                  <w:shd w:val="clear" w:color="auto" w:fill="auto"/>
                  <w:vAlign w:val="center"/>
                  <w:hideMark/>
                </w:tcPr>
                <w:p w:rsidR="00504A7F" w:rsidRPr="00791D0F" w:rsidRDefault="00504A7F" w:rsidP="00A66468">
                  <w:pPr>
                    <w:jc w:val="center"/>
                    <w:rPr>
                      <w:lang w:eastAsia="en-US"/>
                    </w:rPr>
                  </w:pPr>
                  <w:r>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3.2. speciālais budžets</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1199" w:type="dxa"/>
                  <w:shd w:val="clear" w:color="auto" w:fill="auto"/>
                  <w:vAlign w:val="center"/>
                  <w:hideMark/>
                </w:tcPr>
                <w:p w:rsidR="00504A7F" w:rsidRPr="00791D0F" w:rsidRDefault="00504A7F" w:rsidP="00A66468">
                  <w:pPr>
                    <w:jc w:val="center"/>
                    <w:rPr>
                      <w:lang w:eastAsia="en-US"/>
                    </w:rPr>
                  </w:pPr>
                  <w:r>
                    <w:rPr>
                      <w:lang w:eastAsia="en-US"/>
                    </w:rPr>
                    <w:t>0</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933" w:type="dxa"/>
                  <w:shd w:val="clear" w:color="auto" w:fill="auto"/>
                  <w:vAlign w:val="center"/>
                  <w:hideMark/>
                </w:tcPr>
                <w:p w:rsidR="00504A7F" w:rsidRPr="00791D0F" w:rsidRDefault="00504A7F" w:rsidP="00A66468">
                  <w:pPr>
                    <w:jc w:val="center"/>
                    <w:rPr>
                      <w:lang w:eastAsia="en-US"/>
                    </w:rPr>
                  </w:pPr>
                  <w:r>
                    <w:rPr>
                      <w:lang w:eastAsia="en-US"/>
                    </w:rPr>
                    <w:t>0</w:t>
                  </w:r>
                </w:p>
              </w:tc>
              <w:tc>
                <w:tcPr>
                  <w:tcW w:w="761" w:type="dxa"/>
                  <w:shd w:val="clear" w:color="auto" w:fill="auto"/>
                  <w:vAlign w:val="center"/>
                  <w:hideMark/>
                </w:tcPr>
                <w:p w:rsidR="00504A7F" w:rsidRPr="00791D0F" w:rsidRDefault="00504A7F" w:rsidP="00A66468">
                  <w:pPr>
                    <w:jc w:val="center"/>
                    <w:rPr>
                      <w:lang w:eastAsia="en-US"/>
                    </w:rPr>
                  </w:pPr>
                  <w:r>
                    <w:rPr>
                      <w:lang w:eastAsia="en-US"/>
                    </w:rPr>
                    <w:t>0</w:t>
                  </w:r>
                </w:p>
              </w:tc>
              <w:tc>
                <w:tcPr>
                  <w:tcW w:w="1105" w:type="dxa"/>
                  <w:shd w:val="clear" w:color="auto" w:fill="auto"/>
                  <w:vAlign w:val="center"/>
                  <w:hideMark/>
                </w:tcPr>
                <w:p w:rsidR="00504A7F" w:rsidRPr="00791D0F" w:rsidRDefault="00504A7F" w:rsidP="00A66468">
                  <w:pPr>
                    <w:jc w:val="center"/>
                    <w:rPr>
                      <w:lang w:eastAsia="en-US"/>
                    </w:rPr>
                  </w:pPr>
                  <w:r>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3.3. pašvaldību budžets</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1199" w:type="dxa"/>
                  <w:shd w:val="clear" w:color="auto" w:fill="auto"/>
                  <w:vAlign w:val="center"/>
                  <w:hideMark/>
                </w:tcPr>
                <w:p w:rsidR="00504A7F" w:rsidRPr="00791D0F" w:rsidRDefault="00504A7F" w:rsidP="00A66468">
                  <w:pPr>
                    <w:jc w:val="center"/>
                    <w:rPr>
                      <w:lang w:eastAsia="en-US"/>
                    </w:rPr>
                  </w:pPr>
                  <w:r>
                    <w:rPr>
                      <w:lang w:eastAsia="en-US"/>
                    </w:rPr>
                    <w:t>0</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933" w:type="dxa"/>
                  <w:shd w:val="clear" w:color="auto" w:fill="auto"/>
                  <w:vAlign w:val="center"/>
                  <w:hideMark/>
                </w:tcPr>
                <w:p w:rsidR="00504A7F" w:rsidRPr="00791D0F" w:rsidRDefault="00504A7F" w:rsidP="00A66468">
                  <w:pPr>
                    <w:jc w:val="center"/>
                    <w:rPr>
                      <w:lang w:eastAsia="en-US"/>
                    </w:rPr>
                  </w:pPr>
                  <w:r>
                    <w:rPr>
                      <w:lang w:eastAsia="en-US"/>
                    </w:rPr>
                    <w:t>0</w:t>
                  </w:r>
                </w:p>
              </w:tc>
              <w:tc>
                <w:tcPr>
                  <w:tcW w:w="761" w:type="dxa"/>
                  <w:shd w:val="clear" w:color="auto" w:fill="auto"/>
                  <w:vAlign w:val="center"/>
                  <w:hideMark/>
                </w:tcPr>
                <w:p w:rsidR="00504A7F" w:rsidRPr="00791D0F" w:rsidRDefault="00504A7F" w:rsidP="00A66468">
                  <w:pPr>
                    <w:jc w:val="center"/>
                    <w:rPr>
                      <w:lang w:eastAsia="en-US"/>
                    </w:rPr>
                  </w:pPr>
                  <w:r>
                    <w:rPr>
                      <w:lang w:eastAsia="en-US"/>
                    </w:rPr>
                    <w:t>0</w:t>
                  </w:r>
                </w:p>
              </w:tc>
              <w:tc>
                <w:tcPr>
                  <w:tcW w:w="1105" w:type="dxa"/>
                  <w:shd w:val="clear" w:color="auto" w:fill="auto"/>
                  <w:vAlign w:val="center"/>
                  <w:hideMark/>
                </w:tcPr>
                <w:p w:rsidR="00504A7F" w:rsidRPr="00791D0F" w:rsidRDefault="00504A7F" w:rsidP="00A66468">
                  <w:pPr>
                    <w:jc w:val="center"/>
                    <w:rPr>
                      <w:lang w:eastAsia="en-US"/>
                    </w:rPr>
                  </w:pPr>
                  <w:r>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4. Finanšu līdzekļi papildu izdevumu finansēšanai (kompensējošu izdevumu samazinājumu norāda ar "+" zīmi)</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1199" w:type="dxa"/>
                  <w:shd w:val="clear" w:color="auto" w:fill="auto"/>
                  <w:vAlign w:val="center"/>
                  <w:hideMark/>
                </w:tcPr>
                <w:p w:rsidR="00504A7F" w:rsidRPr="00791D0F" w:rsidRDefault="00504A7F" w:rsidP="00A66468">
                  <w:pPr>
                    <w:jc w:val="center"/>
                    <w:rPr>
                      <w:lang w:eastAsia="en-US"/>
                    </w:rPr>
                  </w:pPr>
                  <w:r>
                    <w:rPr>
                      <w:lang w:eastAsia="en-US"/>
                    </w:rPr>
                    <w:t>0</w:t>
                  </w:r>
                </w:p>
              </w:tc>
              <w:tc>
                <w:tcPr>
                  <w:tcW w:w="934" w:type="dxa"/>
                  <w:shd w:val="clear" w:color="auto" w:fill="auto"/>
                  <w:vAlign w:val="center"/>
                  <w:hideMark/>
                </w:tcPr>
                <w:p w:rsidR="00504A7F" w:rsidRPr="00791D0F" w:rsidRDefault="00504A7F" w:rsidP="00A66468">
                  <w:pPr>
                    <w:jc w:val="center"/>
                    <w:rPr>
                      <w:lang w:eastAsia="en-US"/>
                    </w:rPr>
                  </w:pPr>
                  <w:r>
                    <w:rPr>
                      <w:lang w:eastAsia="en-US"/>
                    </w:rPr>
                    <w:t>0</w:t>
                  </w:r>
                </w:p>
              </w:tc>
              <w:tc>
                <w:tcPr>
                  <w:tcW w:w="933" w:type="dxa"/>
                  <w:shd w:val="clear" w:color="auto" w:fill="auto"/>
                  <w:vAlign w:val="center"/>
                  <w:hideMark/>
                </w:tcPr>
                <w:p w:rsidR="00504A7F" w:rsidRPr="00791D0F" w:rsidRDefault="00504A7F" w:rsidP="00A66468">
                  <w:pPr>
                    <w:jc w:val="center"/>
                    <w:rPr>
                      <w:lang w:eastAsia="en-US"/>
                    </w:rPr>
                  </w:pPr>
                  <w:r>
                    <w:rPr>
                      <w:lang w:eastAsia="en-US"/>
                    </w:rPr>
                    <w:t>0</w:t>
                  </w:r>
                </w:p>
              </w:tc>
              <w:tc>
                <w:tcPr>
                  <w:tcW w:w="761" w:type="dxa"/>
                  <w:shd w:val="clear" w:color="auto" w:fill="auto"/>
                  <w:vAlign w:val="center"/>
                  <w:hideMark/>
                </w:tcPr>
                <w:p w:rsidR="00504A7F" w:rsidRPr="00791D0F" w:rsidRDefault="00504A7F" w:rsidP="00A66468">
                  <w:pPr>
                    <w:jc w:val="center"/>
                    <w:rPr>
                      <w:lang w:eastAsia="en-US"/>
                    </w:rPr>
                  </w:pPr>
                  <w:r>
                    <w:rPr>
                      <w:lang w:eastAsia="en-US"/>
                    </w:rPr>
                    <w:t>0</w:t>
                  </w:r>
                </w:p>
              </w:tc>
              <w:tc>
                <w:tcPr>
                  <w:tcW w:w="1105" w:type="dxa"/>
                  <w:shd w:val="clear" w:color="auto" w:fill="auto"/>
                  <w:vAlign w:val="center"/>
                  <w:hideMark/>
                </w:tcPr>
                <w:p w:rsidR="00504A7F" w:rsidRPr="00791D0F" w:rsidRDefault="00504A7F" w:rsidP="00A66468">
                  <w:pPr>
                    <w:jc w:val="center"/>
                    <w:rPr>
                      <w:lang w:eastAsia="en-US"/>
                    </w:rPr>
                  </w:pPr>
                  <w:r>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5. Precizēta finansiālā ietekme</w:t>
                  </w:r>
                </w:p>
              </w:tc>
              <w:tc>
                <w:tcPr>
                  <w:tcW w:w="934" w:type="dxa"/>
                  <w:vMerge w:val="restart"/>
                  <w:shd w:val="clear" w:color="auto" w:fill="auto"/>
                  <w:vAlign w:val="center"/>
                  <w:hideMark/>
                </w:tcPr>
                <w:p w:rsidR="00504A7F" w:rsidRPr="00791D0F" w:rsidRDefault="00504A7F" w:rsidP="00A66468">
                  <w:pPr>
                    <w:jc w:val="center"/>
                    <w:rPr>
                      <w:lang w:eastAsia="en-US"/>
                    </w:rPr>
                  </w:pPr>
                  <w:r>
                    <w:rPr>
                      <w:lang w:eastAsia="en-US"/>
                    </w:rPr>
                    <w:t>0</w:t>
                  </w:r>
                </w:p>
              </w:tc>
              <w:tc>
                <w:tcPr>
                  <w:tcW w:w="1199" w:type="dxa"/>
                  <w:shd w:val="clear" w:color="auto" w:fill="auto"/>
                  <w:vAlign w:val="center"/>
                  <w:hideMark/>
                </w:tcPr>
                <w:p w:rsidR="00504A7F" w:rsidRPr="00791D0F" w:rsidRDefault="00504A7F" w:rsidP="00A66468">
                  <w:pPr>
                    <w:jc w:val="center"/>
                    <w:rPr>
                      <w:lang w:eastAsia="en-US"/>
                    </w:rPr>
                  </w:pPr>
                  <w:r>
                    <w:rPr>
                      <w:lang w:eastAsia="en-US"/>
                    </w:rPr>
                    <w:t>0</w:t>
                  </w:r>
                </w:p>
              </w:tc>
              <w:tc>
                <w:tcPr>
                  <w:tcW w:w="934" w:type="dxa"/>
                  <w:vMerge w:val="restart"/>
                  <w:shd w:val="clear" w:color="auto" w:fill="auto"/>
                  <w:vAlign w:val="center"/>
                  <w:hideMark/>
                </w:tcPr>
                <w:p w:rsidR="00504A7F" w:rsidRPr="00791D0F" w:rsidRDefault="00504A7F" w:rsidP="00A66468">
                  <w:pPr>
                    <w:jc w:val="center"/>
                    <w:rPr>
                      <w:lang w:eastAsia="en-US"/>
                    </w:rPr>
                  </w:pPr>
                  <w:r>
                    <w:rPr>
                      <w:lang w:eastAsia="en-US"/>
                    </w:rPr>
                    <w:t>0</w:t>
                  </w:r>
                </w:p>
              </w:tc>
              <w:tc>
                <w:tcPr>
                  <w:tcW w:w="933" w:type="dxa"/>
                  <w:shd w:val="clear" w:color="auto" w:fill="auto"/>
                  <w:vAlign w:val="center"/>
                  <w:hideMark/>
                </w:tcPr>
                <w:p w:rsidR="00504A7F" w:rsidRPr="00791D0F" w:rsidRDefault="00504A7F" w:rsidP="00A66468">
                  <w:pPr>
                    <w:jc w:val="center"/>
                    <w:rPr>
                      <w:lang w:eastAsia="en-US"/>
                    </w:rPr>
                  </w:pPr>
                  <w:r>
                    <w:rPr>
                      <w:lang w:eastAsia="en-US"/>
                    </w:rPr>
                    <w:t>0</w:t>
                  </w:r>
                </w:p>
              </w:tc>
              <w:tc>
                <w:tcPr>
                  <w:tcW w:w="761" w:type="dxa"/>
                  <w:vMerge w:val="restart"/>
                  <w:shd w:val="clear" w:color="auto" w:fill="auto"/>
                  <w:vAlign w:val="center"/>
                  <w:hideMark/>
                </w:tcPr>
                <w:p w:rsidR="00504A7F" w:rsidRPr="00791D0F" w:rsidRDefault="00504A7F" w:rsidP="00A66468">
                  <w:pPr>
                    <w:jc w:val="center"/>
                    <w:rPr>
                      <w:lang w:eastAsia="en-US"/>
                    </w:rPr>
                  </w:pPr>
                  <w:r>
                    <w:rPr>
                      <w:lang w:eastAsia="en-US"/>
                    </w:rPr>
                    <w:t>0</w:t>
                  </w:r>
                </w:p>
              </w:tc>
              <w:tc>
                <w:tcPr>
                  <w:tcW w:w="1105" w:type="dxa"/>
                  <w:shd w:val="clear" w:color="auto" w:fill="auto"/>
                  <w:vAlign w:val="center"/>
                  <w:hideMark/>
                </w:tcPr>
                <w:p w:rsidR="00504A7F" w:rsidRPr="00791D0F" w:rsidRDefault="00504A7F" w:rsidP="00A66468">
                  <w:pPr>
                    <w:jc w:val="center"/>
                    <w:rPr>
                      <w:lang w:eastAsia="en-US"/>
                    </w:rPr>
                  </w:pPr>
                  <w:r>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lastRenderedPageBreak/>
                    <w:t>5.1. valsts pamatbudžets</w:t>
                  </w:r>
                </w:p>
              </w:tc>
              <w:tc>
                <w:tcPr>
                  <w:tcW w:w="934" w:type="dxa"/>
                  <w:vMerge/>
                  <w:shd w:val="clear" w:color="auto" w:fill="auto"/>
                  <w:vAlign w:val="center"/>
                  <w:hideMark/>
                </w:tcPr>
                <w:p w:rsidR="00504A7F" w:rsidRPr="00791D0F" w:rsidRDefault="00504A7F" w:rsidP="00A66468">
                  <w:pPr>
                    <w:jc w:val="center"/>
                    <w:rPr>
                      <w:lang w:eastAsia="en-US"/>
                    </w:rPr>
                  </w:pPr>
                </w:p>
              </w:tc>
              <w:tc>
                <w:tcPr>
                  <w:tcW w:w="1199" w:type="dxa"/>
                  <w:shd w:val="clear" w:color="auto" w:fill="auto"/>
                  <w:vAlign w:val="center"/>
                  <w:hideMark/>
                </w:tcPr>
                <w:p w:rsidR="00504A7F" w:rsidRPr="00791D0F" w:rsidRDefault="00504A7F" w:rsidP="00A66468">
                  <w:pPr>
                    <w:jc w:val="center"/>
                    <w:rPr>
                      <w:lang w:eastAsia="en-US"/>
                    </w:rPr>
                  </w:pPr>
                  <w:r>
                    <w:rPr>
                      <w:lang w:eastAsia="en-US"/>
                    </w:rPr>
                    <w:t>0</w:t>
                  </w:r>
                </w:p>
              </w:tc>
              <w:tc>
                <w:tcPr>
                  <w:tcW w:w="934" w:type="dxa"/>
                  <w:vMerge/>
                  <w:shd w:val="clear" w:color="auto" w:fill="auto"/>
                  <w:vAlign w:val="center"/>
                  <w:hideMark/>
                </w:tcPr>
                <w:p w:rsidR="00504A7F" w:rsidRPr="00791D0F" w:rsidRDefault="00504A7F" w:rsidP="00A66468">
                  <w:pPr>
                    <w:jc w:val="center"/>
                    <w:rPr>
                      <w:lang w:eastAsia="en-US"/>
                    </w:rPr>
                  </w:pPr>
                </w:p>
              </w:tc>
              <w:tc>
                <w:tcPr>
                  <w:tcW w:w="933" w:type="dxa"/>
                  <w:shd w:val="clear" w:color="auto" w:fill="auto"/>
                  <w:vAlign w:val="center"/>
                  <w:hideMark/>
                </w:tcPr>
                <w:p w:rsidR="00504A7F" w:rsidRPr="00791D0F" w:rsidRDefault="00504A7F" w:rsidP="00A66468">
                  <w:pPr>
                    <w:jc w:val="center"/>
                    <w:rPr>
                      <w:lang w:eastAsia="en-US"/>
                    </w:rPr>
                  </w:pPr>
                  <w:r>
                    <w:rPr>
                      <w:lang w:eastAsia="en-US"/>
                    </w:rPr>
                    <w:t>0</w:t>
                  </w:r>
                </w:p>
              </w:tc>
              <w:tc>
                <w:tcPr>
                  <w:tcW w:w="761" w:type="dxa"/>
                  <w:vMerge/>
                  <w:shd w:val="clear" w:color="auto" w:fill="auto"/>
                  <w:vAlign w:val="center"/>
                  <w:hideMark/>
                </w:tcPr>
                <w:p w:rsidR="00504A7F" w:rsidRPr="00791D0F" w:rsidRDefault="00504A7F" w:rsidP="00A66468">
                  <w:pPr>
                    <w:jc w:val="center"/>
                    <w:rPr>
                      <w:lang w:eastAsia="en-US"/>
                    </w:rPr>
                  </w:pPr>
                </w:p>
              </w:tc>
              <w:tc>
                <w:tcPr>
                  <w:tcW w:w="1105" w:type="dxa"/>
                  <w:shd w:val="clear" w:color="auto" w:fill="auto"/>
                  <w:vAlign w:val="center"/>
                  <w:hideMark/>
                </w:tcPr>
                <w:p w:rsidR="00504A7F" w:rsidRPr="00791D0F" w:rsidRDefault="00504A7F" w:rsidP="00A66468">
                  <w:pPr>
                    <w:jc w:val="center"/>
                    <w:rPr>
                      <w:lang w:eastAsia="en-US"/>
                    </w:rPr>
                  </w:pPr>
                  <w:r>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lastRenderedPageBreak/>
                    <w:t>5.2. speciālais budžets</w:t>
                  </w:r>
                </w:p>
              </w:tc>
              <w:tc>
                <w:tcPr>
                  <w:tcW w:w="934" w:type="dxa"/>
                  <w:vMerge/>
                  <w:shd w:val="clear" w:color="auto" w:fill="auto"/>
                  <w:vAlign w:val="center"/>
                  <w:hideMark/>
                </w:tcPr>
                <w:p w:rsidR="00504A7F" w:rsidRPr="00791D0F" w:rsidRDefault="00504A7F" w:rsidP="00A66468">
                  <w:pPr>
                    <w:jc w:val="center"/>
                    <w:rPr>
                      <w:lang w:eastAsia="en-US"/>
                    </w:rPr>
                  </w:pPr>
                </w:p>
              </w:tc>
              <w:tc>
                <w:tcPr>
                  <w:tcW w:w="1199" w:type="dxa"/>
                  <w:shd w:val="clear" w:color="auto" w:fill="auto"/>
                  <w:vAlign w:val="center"/>
                  <w:hideMark/>
                </w:tcPr>
                <w:p w:rsidR="00504A7F" w:rsidRPr="00791D0F" w:rsidRDefault="00504A7F" w:rsidP="00A66468">
                  <w:pPr>
                    <w:jc w:val="center"/>
                    <w:rPr>
                      <w:lang w:eastAsia="en-US"/>
                    </w:rPr>
                  </w:pPr>
                  <w:r>
                    <w:rPr>
                      <w:lang w:eastAsia="en-US"/>
                    </w:rPr>
                    <w:t>0</w:t>
                  </w:r>
                </w:p>
              </w:tc>
              <w:tc>
                <w:tcPr>
                  <w:tcW w:w="934" w:type="dxa"/>
                  <w:vMerge/>
                  <w:shd w:val="clear" w:color="auto" w:fill="auto"/>
                  <w:vAlign w:val="center"/>
                  <w:hideMark/>
                </w:tcPr>
                <w:p w:rsidR="00504A7F" w:rsidRPr="00791D0F" w:rsidRDefault="00504A7F" w:rsidP="00A66468">
                  <w:pPr>
                    <w:jc w:val="center"/>
                    <w:rPr>
                      <w:lang w:eastAsia="en-US"/>
                    </w:rPr>
                  </w:pPr>
                </w:p>
              </w:tc>
              <w:tc>
                <w:tcPr>
                  <w:tcW w:w="933" w:type="dxa"/>
                  <w:shd w:val="clear" w:color="auto" w:fill="auto"/>
                  <w:vAlign w:val="center"/>
                  <w:hideMark/>
                </w:tcPr>
                <w:p w:rsidR="00504A7F" w:rsidRPr="00791D0F" w:rsidRDefault="00504A7F" w:rsidP="00A66468">
                  <w:pPr>
                    <w:jc w:val="center"/>
                    <w:rPr>
                      <w:lang w:eastAsia="en-US"/>
                    </w:rPr>
                  </w:pPr>
                  <w:r>
                    <w:rPr>
                      <w:lang w:eastAsia="en-US"/>
                    </w:rPr>
                    <w:t>0</w:t>
                  </w:r>
                </w:p>
              </w:tc>
              <w:tc>
                <w:tcPr>
                  <w:tcW w:w="761" w:type="dxa"/>
                  <w:vMerge/>
                  <w:shd w:val="clear" w:color="auto" w:fill="auto"/>
                  <w:vAlign w:val="center"/>
                  <w:hideMark/>
                </w:tcPr>
                <w:p w:rsidR="00504A7F" w:rsidRPr="00791D0F" w:rsidRDefault="00504A7F" w:rsidP="00A66468">
                  <w:pPr>
                    <w:jc w:val="center"/>
                    <w:rPr>
                      <w:lang w:eastAsia="en-US"/>
                    </w:rPr>
                  </w:pPr>
                </w:p>
              </w:tc>
              <w:tc>
                <w:tcPr>
                  <w:tcW w:w="1105" w:type="dxa"/>
                  <w:shd w:val="clear" w:color="auto" w:fill="auto"/>
                  <w:vAlign w:val="center"/>
                  <w:hideMark/>
                </w:tcPr>
                <w:p w:rsidR="00504A7F" w:rsidRPr="00791D0F" w:rsidRDefault="00504A7F" w:rsidP="00A66468">
                  <w:pPr>
                    <w:jc w:val="center"/>
                    <w:rPr>
                      <w:lang w:eastAsia="en-US"/>
                    </w:rPr>
                  </w:pPr>
                  <w:r>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5.3. pašvaldību budžets</w:t>
                  </w:r>
                </w:p>
              </w:tc>
              <w:tc>
                <w:tcPr>
                  <w:tcW w:w="934" w:type="dxa"/>
                  <w:vMerge/>
                  <w:shd w:val="clear" w:color="auto" w:fill="auto"/>
                  <w:vAlign w:val="center"/>
                  <w:hideMark/>
                </w:tcPr>
                <w:p w:rsidR="00504A7F" w:rsidRPr="00791D0F" w:rsidRDefault="00504A7F" w:rsidP="00A66468">
                  <w:pPr>
                    <w:jc w:val="center"/>
                    <w:rPr>
                      <w:lang w:eastAsia="en-US"/>
                    </w:rPr>
                  </w:pPr>
                </w:p>
              </w:tc>
              <w:tc>
                <w:tcPr>
                  <w:tcW w:w="1199" w:type="dxa"/>
                  <w:shd w:val="clear" w:color="auto" w:fill="auto"/>
                  <w:vAlign w:val="center"/>
                  <w:hideMark/>
                </w:tcPr>
                <w:p w:rsidR="00504A7F" w:rsidRPr="00791D0F" w:rsidRDefault="00504A7F" w:rsidP="00A66468">
                  <w:pPr>
                    <w:jc w:val="center"/>
                    <w:rPr>
                      <w:lang w:eastAsia="en-US"/>
                    </w:rPr>
                  </w:pPr>
                  <w:r>
                    <w:rPr>
                      <w:lang w:eastAsia="en-US"/>
                    </w:rPr>
                    <w:t>0</w:t>
                  </w:r>
                </w:p>
              </w:tc>
              <w:tc>
                <w:tcPr>
                  <w:tcW w:w="934" w:type="dxa"/>
                  <w:vMerge/>
                  <w:shd w:val="clear" w:color="auto" w:fill="auto"/>
                  <w:vAlign w:val="center"/>
                  <w:hideMark/>
                </w:tcPr>
                <w:p w:rsidR="00504A7F" w:rsidRPr="00791D0F" w:rsidRDefault="00504A7F" w:rsidP="00A66468">
                  <w:pPr>
                    <w:jc w:val="center"/>
                    <w:rPr>
                      <w:lang w:eastAsia="en-US"/>
                    </w:rPr>
                  </w:pPr>
                </w:p>
              </w:tc>
              <w:tc>
                <w:tcPr>
                  <w:tcW w:w="933" w:type="dxa"/>
                  <w:shd w:val="clear" w:color="auto" w:fill="auto"/>
                  <w:vAlign w:val="center"/>
                  <w:hideMark/>
                </w:tcPr>
                <w:p w:rsidR="00504A7F" w:rsidRPr="00791D0F" w:rsidRDefault="00504A7F" w:rsidP="00A66468">
                  <w:pPr>
                    <w:jc w:val="center"/>
                    <w:rPr>
                      <w:lang w:eastAsia="en-US"/>
                    </w:rPr>
                  </w:pPr>
                  <w:r>
                    <w:rPr>
                      <w:lang w:eastAsia="en-US"/>
                    </w:rPr>
                    <w:t>0</w:t>
                  </w:r>
                </w:p>
              </w:tc>
              <w:tc>
                <w:tcPr>
                  <w:tcW w:w="761" w:type="dxa"/>
                  <w:vMerge/>
                  <w:shd w:val="clear" w:color="auto" w:fill="auto"/>
                  <w:vAlign w:val="center"/>
                  <w:hideMark/>
                </w:tcPr>
                <w:p w:rsidR="00504A7F" w:rsidRPr="00791D0F" w:rsidRDefault="00504A7F" w:rsidP="00A66468">
                  <w:pPr>
                    <w:jc w:val="center"/>
                    <w:rPr>
                      <w:lang w:eastAsia="en-US"/>
                    </w:rPr>
                  </w:pPr>
                </w:p>
              </w:tc>
              <w:tc>
                <w:tcPr>
                  <w:tcW w:w="1105" w:type="dxa"/>
                  <w:shd w:val="clear" w:color="auto" w:fill="auto"/>
                  <w:vAlign w:val="center"/>
                  <w:hideMark/>
                </w:tcPr>
                <w:p w:rsidR="00504A7F" w:rsidRPr="00791D0F" w:rsidRDefault="00504A7F" w:rsidP="00A66468">
                  <w:pPr>
                    <w:jc w:val="center"/>
                    <w:rPr>
                      <w:lang w:eastAsia="en-US"/>
                    </w:rPr>
                  </w:pPr>
                  <w:r>
                    <w:rPr>
                      <w:lang w:eastAsia="en-US"/>
                    </w:rPr>
                    <w:t>0</w:t>
                  </w:r>
                </w:p>
              </w:tc>
              <w:tc>
                <w:tcPr>
                  <w:tcW w:w="988" w:type="dxa"/>
                  <w:shd w:val="clear" w:color="auto" w:fill="auto"/>
                  <w:vAlign w:val="center"/>
                  <w:hideMark/>
                </w:tcPr>
                <w:p w:rsidR="00504A7F" w:rsidRPr="00791D0F" w:rsidRDefault="00504A7F" w:rsidP="00A66468">
                  <w:pPr>
                    <w:jc w:val="center"/>
                    <w:rPr>
                      <w:lang w:eastAsia="en-US"/>
                    </w:rPr>
                  </w:pPr>
                  <w:r>
                    <w:rPr>
                      <w:lang w:eastAsia="en-US"/>
                    </w:rPr>
                    <w:t>0</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6. Detalizēts ieņēmumu un izdevumu aprēķins (ja nepieciešams, detalizētu ieņēmumu un izdevumu aprēķinu var pievienot anotācijas pielikumā)</w:t>
                  </w:r>
                </w:p>
              </w:tc>
              <w:tc>
                <w:tcPr>
                  <w:tcW w:w="6854" w:type="dxa"/>
                  <w:gridSpan w:val="7"/>
                  <w:vMerge w:val="restart"/>
                  <w:shd w:val="clear" w:color="auto" w:fill="auto"/>
                  <w:vAlign w:val="center"/>
                  <w:hideMark/>
                </w:tcPr>
                <w:p w:rsidR="00504A7F" w:rsidRPr="00791D0F" w:rsidRDefault="00504A7F" w:rsidP="00A66468">
                  <w:pPr>
                    <w:jc w:val="center"/>
                    <w:rPr>
                      <w:lang w:eastAsia="en-US"/>
                    </w:rPr>
                  </w:pP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6.1. detalizēts ieņēmumu aprēķins</w:t>
                  </w:r>
                </w:p>
              </w:tc>
              <w:tc>
                <w:tcPr>
                  <w:tcW w:w="6854" w:type="dxa"/>
                  <w:gridSpan w:val="7"/>
                  <w:vMerge/>
                  <w:shd w:val="clear" w:color="auto" w:fill="auto"/>
                  <w:vAlign w:val="center"/>
                  <w:hideMark/>
                </w:tcPr>
                <w:p w:rsidR="00504A7F" w:rsidRPr="00791D0F" w:rsidRDefault="00504A7F" w:rsidP="00A66468">
                  <w:pPr>
                    <w:jc w:val="center"/>
                    <w:rPr>
                      <w:lang w:eastAsia="en-US"/>
                    </w:rPr>
                  </w:pP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6.2. detalizēts izdevumu aprēķins</w:t>
                  </w:r>
                </w:p>
              </w:tc>
              <w:tc>
                <w:tcPr>
                  <w:tcW w:w="6854" w:type="dxa"/>
                  <w:gridSpan w:val="7"/>
                  <w:vMerge/>
                  <w:shd w:val="clear" w:color="auto" w:fill="auto"/>
                  <w:vAlign w:val="center"/>
                  <w:hideMark/>
                </w:tcPr>
                <w:p w:rsidR="00504A7F" w:rsidRPr="00791D0F" w:rsidRDefault="00504A7F" w:rsidP="00A66468">
                  <w:pPr>
                    <w:jc w:val="center"/>
                    <w:rPr>
                      <w:lang w:eastAsia="en-US"/>
                    </w:rPr>
                  </w:pP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7. Amata vietu skaita izmaiņas</w:t>
                  </w:r>
                </w:p>
              </w:tc>
              <w:tc>
                <w:tcPr>
                  <w:tcW w:w="6854" w:type="dxa"/>
                  <w:gridSpan w:val="7"/>
                  <w:shd w:val="clear" w:color="auto" w:fill="auto"/>
                  <w:hideMark/>
                </w:tcPr>
                <w:p w:rsidR="00504A7F" w:rsidRPr="00791D0F" w:rsidRDefault="00504A7F" w:rsidP="00A66468">
                  <w:pPr>
                    <w:rPr>
                      <w:lang w:eastAsia="en-US"/>
                    </w:rPr>
                  </w:pPr>
                  <w:r>
                    <w:rPr>
                      <w:lang w:eastAsia="en-US"/>
                    </w:rPr>
                    <w:t>Nav paredzētas.</w:t>
                  </w:r>
                </w:p>
              </w:tc>
            </w:tr>
            <w:tr w:rsidR="00504A7F" w:rsidRPr="00791D0F" w:rsidTr="00A66468">
              <w:trPr>
                <w:cantSplit/>
              </w:trPr>
              <w:tc>
                <w:tcPr>
                  <w:tcW w:w="2149" w:type="dxa"/>
                  <w:shd w:val="clear" w:color="auto" w:fill="auto"/>
                  <w:hideMark/>
                </w:tcPr>
                <w:p w:rsidR="00504A7F" w:rsidRPr="00791D0F" w:rsidRDefault="00504A7F" w:rsidP="00A66468">
                  <w:pPr>
                    <w:rPr>
                      <w:lang w:eastAsia="en-US"/>
                    </w:rPr>
                  </w:pPr>
                  <w:r w:rsidRPr="00791D0F">
                    <w:rPr>
                      <w:lang w:eastAsia="en-US"/>
                    </w:rPr>
                    <w:t>8. Cita informācija</w:t>
                  </w:r>
                </w:p>
              </w:tc>
              <w:tc>
                <w:tcPr>
                  <w:tcW w:w="6854" w:type="dxa"/>
                  <w:gridSpan w:val="7"/>
                  <w:shd w:val="clear" w:color="auto" w:fill="auto"/>
                  <w:hideMark/>
                </w:tcPr>
                <w:p w:rsidR="00504A7F" w:rsidRPr="002A7EC2" w:rsidRDefault="00504A7F" w:rsidP="00A66468">
                  <w:pPr>
                    <w:jc w:val="both"/>
                    <w:rPr>
                      <w:lang w:eastAsia="en-US"/>
                    </w:rPr>
                  </w:pPr>
                  <w:r w:rsidRPr="00791D0F">
                    <w:rPr>
                      <w:lang w:eastAsia="en-US"/>
                    </w:rPr>
                    <w:t xml:space="preserve">Likumprojektā minētā jauna tipa personas apliecības – ārzemnieka </w:t>
                  </w:r>
                  <w:proofErr w:type="spellStart"/>
                  <w:r>
                    <w:rPr>
                      <w:lang w:eastAsia="en-US"/>
                    </w:rPr>
                    <w:t>eID</w:t>
                  </w:r>
                  <w:proofErr w:type="spellEnd"/>
                  <w:r>
                    <w:rPr>
                      <w:lang w:eastAsia="en-US"/>
                    </w:rPr>
                    <w:t xml:space="preserve"> kartes</w:t>
                  </w:r>
                  <w:r w:rsidRPr="00791D0F">
                    <w:rPr>
                      <w:lang w:eastAsia="en-US"/>
                    </w:rPr>
                    <w:t xml:space="preserve"> ieviešanas ietekme uz valsts budžetu jau ir tikusi izvērtēta </w:t>
                  </w:r>
                  <w:r w:rsidRPr="002A7EC2">
                    <w:rPr>
                      <w:lang w:eastAsia="en-US"/>
                    </w:rPr>
                    <w:t xml:space="preserve">2016.gada 1.augustā (Ministru kabineta 2016.gada 11.augusta rīkojums Nr.439) un Pilsonības un migrācijas lietu pārvalde iepirkuma rezultātā 2018.gadā ir noslēgusi līgumu ar </w:t>
                  </w:r>
                  <w:proofErr w:type="spellStart"/>
                  <w:r w:rsidRPr="002A7EC2">
                    <w:rPr>
                      <w:lang w:eastAsia="en-US"/>
                    </w:rPr>
                    <w:t>eID</w:t>
                  </w:r>
                  <w:proofErr w:type="spellEnd"/>
                  <w:r w:rsidRPr="002A7EC2">
                    <w:rPr>
                      <w:lang w:eastAsia="en-US"/>
                    </w:rPr>
                    <w:t xml:space="preserve"> karšu sagatavju ražotāju;   ārzemnieka </w:t>
                  </w:r>
                  <w:proofErr w:type="spellStart"/>
                  <w:r w:rsidRPr="002A7EC2">
                    <w:rPr>
                      <w:lang w:eastAsia="en-US"/>
                    </w:rPr>
                    <w:t>eID</w:t>
                  </w:r>
                  <w:proofErr w:type="spellEnd"/>
                  <w:r w:rsidRPr="002A7EC2">
                    <w:rPr>
                      <w:lang w:eastAsia="en-US"/>
                    </w:rPr>
                    <w:t xml:space="preserve"> karšu sagataves jau ir tikušas sagādātas un pienesums valsts budžetam attiecībā uz ieņēmumiem no valsts nodevas par ārzemnieka </w:t>
                  </w:r>
                  <w:proofErr w:type="spellStart"/>
                  <w:r w:rsidRPr="002A7EC2">
                    <w:rPr>
                      <w:lang w:eastAsia="en-US"/>
                    </w:rPr>
                    <w:t>eID</w:t>
                  </w:r>
                  <w:proofErr w:type="spellEnd"/>
                  <w:r w:rsidRPr="002A7EC2">
                    <w:rPr>
                      <w:lang w:eastAsia="en-US"/>
                    </w:rPr>
                    <w:t xml:space="preserve"> karšu izsniegšanu, ir ticis aprēķināts un iekļauts Ministru kabineta  2011.gada 27.jūlija rīkojumā Nr.347 ,,Par informācijas sistēmas darbības koncepcijas aprakstu „Pasu sistēmas un Vienotās migrācijas informācijas sistēmas attīstība elektronisko identifikācijas karšu un elektronisko uzturēšanās atļauju (karšu) izsniegšanai” izdevumu un ieņēmumu aprēķinos 2021., 2022. un 2023.gadam, vērtējot, ka valsts nodeva par personas apliecības izsniegšanu ir 14.23 </w:t>
                  </w:r>
                  <w:proofErr w:type="spellStart"/>
                  <w:r w:rsidRPr="002A7EC2">
                    <w:rPr>
                      <w:lang w:eastAsia="en-US"/>
                    </w:rPr>
                    <w:t>euro</w:t>
                  </w:r>
                  <w:proofErr w:type="spellEnd"/>
                  <w:r w:rsidRPr="002A7EC2">
                    <w:rPr>
                      <w:lang w:eastAsia="en-US"/>
                    </w:rPr>
                    <w:t xml:space="preserve"> atbilstoši Ministru kabineta 2012.gada 21.februāra noteikumos Nr.133 “Noteikumi par valsts nodevu par personu apliecinošu dokumentu izsniegšanu” tajā brīdī spēkā esošajā redakcijā noteiktajam. </w:t>
                  </w:r>
                </w:p>
                <w:p w:rsidR="00504A7F" w:rsidRPr="00791D0F" w:rsidRDefault="00504A7F" w:rsidP="00A66468">
                  <w:pPr>
                    <w:jc w:val="both"/>
                    <w:rPr>
                      <w:lang w:eastAsia="en-US"/>
                    </w:rPr>
                  </w:pPr>
                  <w:r w:rsidRPr="002A7EC2">
                    <w:rPr>
                      <w:lang w:eastAsia="en-US"/>
                    </w:rPr>
                    <w:t xml:space="preserve">Ņemot vērā, ka kopš 2016.gada ir būtiski pieaugušas informācijas un komunikācijas tehnoloģiju izmaksas, Pilsonības un migrācijas lietu pārvaldē tiek izstrādāti grozījumi Ministru kabineta 2012.gada 21.februāra noteikumos Nr.133 “Noteikumi par valsts nodevu par personu apliecinošu dokumentu izsniegšanu” (turpmāk - Noteikumi Nr.133), paredzot, ka valsts nodeva par ārzemnieka personas apliecības izsniegšanu būs 60 </w:t>
                  </w:r>
                  <w:proofErr w:type="spellStart"/>
                  <w:r w:rsidRPr="002A7EC2">
                    <w:rPr>
                      <w:lang w:eastAsia="en-US"/>
                    </w:rPr>
                    <w:t>euro</w:t>
                  </w:r>
                  <w:proofErr w:type="spellEnd"/>
                  <w:r w:rsidRPr="002A7EC2">
                    <w:rPr>
                      <w:lang w:eastAsia="en-US"/>
                    </w:rPr>
                    <w:t>. Izvērsts paskaidrojums un aprēķins tiks atspoguļots grozījumu Noteikumos Nr.133 sākotnējās ietekmes novērtējuma ziņojuma (anotācijas) III sadaļā “Tiesību akta projekta ietekme uz valsts budžetu un pašvaldību budžetiem”.</w:t>
                  </w:r>
                  <w:r>
                    <w:rPr>
                      <w:lang w:eastAsia="en-US"/>
                    </w:rPr>
                    <w:t xml:space="preserve"> </w:t>
                  </w:r>
                </w:p>
              </w:tc>
            </w:tr>
          </w:tbl>
          <w:p w:rsidR="00504A7F" w:rsidRPr="00EE2097" w:rsidRDefault="00504A7F" w:rsidP="00A66468">
            <w:pPr>
              <w:jc w:val="center"/>
              <w:rPr>
                <w:b/>
                <w:bCs/>
                <w:lang w:eastAsia="en-US"/>
              </w:rPr>
            </w:pPr>
          </w:p>
        </w:tc>
      </w:tr>
    </w:tbl>
    <w:p w:rsidR="00504A7F" w:rsidRDefault="00504A7F" w:rsidP="00504A7F"/>
    <w:p w:rsidR="00504A7F" w:rsidRPr="00EE2097" w:rsidRDefault="00504A7F" w:rsidP="00504A7F"/>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65"/>
      </w:tblGrid>
      <w:tr w:rsidR="00504A7F" w:rsidRPr="00EE2097" w:rsidTr="00A66468">
        <w:trPr>
          <w:cantSplit/>
        </w:trPr>
        <w:tc>
          <w:tcPr>
            <w:tcW w:w="9065" w:type="dxa"/>
            <w:vAlign w:val="center"/>
            <w:hideMark/>
          </w:tcPr>
          <w:p w:rsidR="00504A7F" w:rsidRPr="00EE2097" w:rsidRDefault="00504A7F" w:rsidP="00A66468">
            <w:pPr>
              <w:jc w:val="center"/>
              <w:rPr>
                <w:b/>
                <w:bCs/>
              </w:rPr>
            </w:pPr>
            <w:r w:rsidRPr="00EE2097">
              <w:rPr>
                <w:b/>
                <w:bCs/>
              </w:rPr>
              <w:t>IV. Tiesību akta projekta ietekme uz spēkā esošo tiesību normu sistēmu</w:t>
            </w:r>
          </w:p>
        </w:tc>
      </w:tr>
      <w:tr w:rsidR="00504A7F" w:rsidRPr="00EE2097" w:rsidTr="00A66468">
        <w:trPr>
          <w:cantSplit/>
          <w:trHeight w:val="288"/>
        </w:trPr>
        <w:tc>
          <w:tcPr>
            <w:tcW w:w="9065" w:type="dxa"/>
          </w:tcPr>
          <w:p w:rsidR="00504A7F" w:rsidRPr="00EE2097" w:rsidRDefault="00504A7F" w:rsidP="00A66468">
            <w:pPr>
              <w:jc w:val="center"/>
            </w:pPr>
            <w:r>
              <w:t>Projekts šo jomu neskar.</w:t>
            </w:r>
          </w:p>
        </w:tc>
      </w:tr>
    </w:tbl>
    <w:p w:rsidR="00504A7F" w:rsidRPr="00EE2097" w:rsidRDefault="00504A7F" w:rsidP="00504A7F">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504A7F" w:rsidRPr="00EE2097" w:rsidTr="00A66468">
        <w:trPr>
          <w:cantSplit/>
        </w:trPr>
        <w:tc>
          <w:tcPr>
            <w:tcW w:w="5000" w:type="pct"/>
            <w:vAlign w:val="center"/>
            <w:hideMark/>
          </w:tcPr>
          <w:p w:rsidR="00504A7F" w:rsidRPr="00EE2097" w:rsidRDefault="00504A7F" w:rsidP="00A66468">
            <w:pPr>
              <w:jc w:val="center"/>
              <w:rPr>
                <w:b/>
                <w:bCs/>
              </w:rPr>
            </w:pPr>
            <w:r w:rsidRPr="00EE2097">
              <w:rPr>
                <w:b/>
                <w:bCs/>
              </w:rPr>
              <w:t>V. Tiesību akta projekta atbilstība Latvijas Republikas starptautiskajām saistībām</w:t>
            </w:r>
          </w:p>
        </w:tc>
      </w:tr>
      <w:tr w:rsidR="00504A7F" w:rsidRPr="00EE2097" w:rsidTr="00A66468">
        <w:trPr>
          <w:cantSplit/>
          <w:trHeight w:val="162"/>
        </w:trPr>
        <w:tc>
          <w:tcPr>
            <w:tcW w:w="5000" w:type="pct"/>
          </w:tcPr>
          <w:p w:rsidR="00504A7F" w:rsidRPr="00EE2097" w:rsidRDefault="00504A7F" w:rsidP="00A66468">
            <w:pPr>
              <w:jc w:val="center"/>
            </w:pPr>
            <w:r>
              <w:t>Projekts šo jomu neskar.</w:t>
            </w:r>
          </w:p>
        </w:tc>
      </w:tr>
    </w:tbl>
    <w:p w:rsidR="00504A7F" w:rsidRPr="00EE2097" w:rsidRDefault="00504A7F" w:rsidP="00504A7F">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504A7F" w:rsidRPr="00EE2097" w:rsidTr="00A66468">
        <w:tc>
          <w:tcPr>
            <w:tcW w:w="5000" w:type="pct"/>
            <w:gridSpan w:val="3"/>
            <w:vAlign w:val="center"/>
            <w:hideMark/>
          </w:tcPr>
          <w:p w:rsidR="00504A7F" w:rsidRPr="00EE2097" w:rsidRDefault="00504A7F" w:rsidP="00A66468">
            <w:pPr>
              <w:jc w:val="center"/>
              <w:rPr>
                <w:b/>
                <w:bCs/>
              </w:rPr>
            </w:pPr>
            <w:r w:rsidRPr="00EE2097">
              <w:rPr>
                <w:b/>
                <w:bCs/>
              </w:rPr>
              <w:t>VI. Sabiedrības līdzdalība un komunikācijas aktivitātes</w:t>
            </w:r>
          </w:p>
        </w:tc>
      </w:tr>
      <w:tr w:rsidR="00504A7F" w:rsidRPr="00EE2097" w:rsidTr="00A66468">
        <w:tc>
          <w:tcPr>
            <w:tcW w:w="311" w:type="pct"/>
            <w:hideMark/>
          </w:tcPr>
          <w:p w:rsidR="00504A7F" w:rsidRPr="00EE2097" w:rsidRDefault="00504A7F" w:rsidP="00A66468">
            <w:pPr>
              <w:jc w:val="center"/>
            </w:pPr>
            <w:r w:rsidRPr="00EE2097">
              <w:t>1.</w:t>
            </w:r>
          </w:p>
        </w:tc>
        <w:tc>
          <w:tcPr>
            <w:tcW w:w="1479" w:type="pct"/>
            <w:hideMark/>
          </w:tcPr>
          <w:p w:rsidR="00504A7F" w:rsidRPr="00EE2097" w:rsidRDefault="00504A7F" w:rsidP="00A66468">
            <w:r w:rsidRPr="00EE2097">
              <w:t>Plānotās sabiedrības līdzdalības un komunikācijas aktivitātes saistībā ar projektu</w:t>
            </w:r>
          </w:p>
        </w:tc>
        <w:tc>
          <w:tcPr>
            <w:tcW w:w="3210" w:type="pct"/>
            <w:hideMark/>
          </w:tcPr>
          <w:p w:rsidR="00504A7F" w:rsidRPr="00EE2097" w:rsidRDefault="00504A7F" w:rsidP="00A66468">
            <w:pPr>
              <w:jc w:val="both"/>
            </w:pPr>
            <w:r>
              <w:rPr>
                <w:color w:val="000000" w:themeColor="text1"/>
              </w:rPr>
              <w:t xml:space="preserve">Atbilstoši Ministru kabineta 2009.gada 25.augusta noteikumiem Nr.970 ,,Sabiedrības līdzdalības kārtība attīstības plānošanas procesā”, lai informētu sabiedrību par likumprojektu un dotu iespēju izteikt viedokli, informācija par likumprojektu ievietota  </w:t>
            </w:r>
            <w:proofErr w:type="spellStart"/>
            <w:r>
              <w:rPr>
                <w:color w:val="000000" w:themeColor="text1"/>
              </w:rPr>
              <w:t>Iekšlietu</w:t>
            </w:r>
            <w:proofErr w:type="spellEnd"/>
            <w:r>
              <w:rPr>
                <w:color w:val="000000" w:themeColor="text1"/>
              </w:rPr>
              <w:t xml:space="preserve"> ministrijas un Valsts kancelejas tīmekļa vietnē.</w:t>
            </w:r>
          </w:p>
        </w:tc>
      </w:tr>
      <w:tr w:rsidR="00504A7F" w:rsidRPr="00EE2097" w:rsidTr="00A66468">
        <w:tc>
          <w:tcPr>
            <w:tcW w:w="311" w:type="pct"/>
            <w:hideMark/>
          </w:tcPr>
          <w:p w:rsidR="00504A7F" w:rsidRPr="00EE2097" w:rsidRDefault="00504A7F" w:rsidP="00A66468">
            <w:pPr>
              <w:jc w:val="center"/>
            </w:pPr>
            <w:r w:rsidRPr="00EE2097">
              <w:t>2.</w:t>
            </w:r>
          </w:p>
        </w:tc>
        <w:tc>
          <w:tcPr>
            <w:tcW w:w="1479" w:type="pct"/>
            <w:hideMark/>
          </w:tcPr>
          <w:p w:rsidR="00504A7F" w:rsidRPr="00EE2097" w:rsidRDefault="00504A7F" w:rsidP="00A66468">
            <w:r w:rsidRPr="00EE2097">
              <w:t>Sabiedrības līdzdalība projekta izstrādē</w:t>
            </w:r>
          </w:p>
        </w:tc>
        <w:tc>
          <w:tcPr>
            <w:tcW w:w="3210" w:type="pct"/>
            <w:hideMark/>
          </w:tcPr>
          <w:p w:rsidR="00504A7F" w:rsidRPr="00BD1242" w:rsidRDefault="00504A7F" w:rsidP="00A66468">
            <w:pPr>
              <w:jc w:val="both"/>
              <w:rPr>
                <w:color w:val="000000"/>
              </w:rPr>
            </w:pPr>
            <w:r>
              <w:rPr>
                <w:rFonts w:eastAsia="Calibri"/>
              </w:rPr>
              <w:t xml:space="preserve">Lai nodrošinātu efektīvu, atklātu, ietverošu, savlaicīgu un atbildīgu sabiedrības līdzdalību, un sabiedrības pārstāvjiem nodrošinātu iespēju rakstiski sniegt viedokli par likumprojektu tā izstrādes stadijā, informācija par likumprojektu ievietota </w:t>
            </w:r>
            <w:proofErr w:type="spellStart"/>
            <w:r>
              <w:rPr>
                <w:rFonts w:eastAsia="Calibri"/>
              </w:rPr>
              <w:t>Iekšlietu</w:t>
            </w:r>
            <w:proofErr w:type="spellEnd"/>
            <w:r>
              <w:rPr>
                <w:rFonts w:eastAsia="Calibri"/>
              </w:rPr>
              <w:t xml:space="preserve"> ministrijas tīmekļa vietnē sadaļas ,,Sabiedrības līdzdalība” </w:t>
            </w:r>
            <w:proofErr w:type="spellStart"/>
            <w:r>
              <w:rPr>
                <w:rFonts w:eastAsia="Calibri"/>
              </w:rPr>
              <w:t>apakšsadaļā</w:t>
            </w:r>
            <w:proofErr w:type="spellEnd"/>
            <w:r>
              <w:rPr>
                <w:rFonts w:eastAsia="Calibri"/>
              </w:rPr>
              <w:t xml:space="preserve"> ,,Diskusiju dokumenti”.</w:t>
            </w:r>
          </w:p>
        </w:tc>
      </w:tr>
      <w:tr w:rsidR="00504A7F" w:rsidRPr="00EE2097" w:rsidTr="00A66468">
        <w:tc>
          <w:tcPr>
            <w:tcW w:w="311" w:type="pct"/>
            <w:hideMark/>
          </w:tcPr>
          <w:p w:rsidR="00504A7F" w:rsidRPr="00EE2097" w:rsidRDefault="00504A7F" w:rsidP="00A66468">
            <w:pPr>
              <w:jc w:val="center"/>
            </w:pPr>
            <w:r w:rsidRPr="00EE2097">
              <w:t>3.</w:t>
            </w:r>
          </w:p>
        </w:tc>
        <w:tc>
          <w:tcPr>
            <w:tcW w:w="1479" w:type="pct"/>
            <w:hideMark/>
          </w:tcPr>
          <w:p w:rsidR="00504A7F" w:rsidRPr="00EE2097" w:rsidRDefault="00504A7F" w:rsidP="00A66468">
            <w:r w:rsidRPr="00EE2097">
              <w:t>Sabiedrības līdzdalības rezultāti</w:t>
            </w:r>
          </w:p>
        </w:tc>
        <w:tc>
          <w:tcPr>
            <w:tcW w:w="3210" w:type="pct"/>
            <w:hideMark/>
          </w:tcPr>
          <w:p w:rsidR="00504A7F" w:rsidRPr="00C52A78" w:rsidRDefault="00504A7F" w:rsidP="00A66468">
            <w:pPr>
              <w:rPr>
                <w:color w:val="000000"/>
              </w:rPr>
            </w:pPr>
            <w:r>
              <w:rPr>
                <w:color w:val="000000"/>
              </w:rPr>
              <w:t>Sadaļa tiks aizpildīta pēc viedokļu saņemšanas.</w:t>
            </w:r>
          </w:p>
        </w:tc>
      </w:tr>
      <w:tr w:rsidR="00504A7F" w:rsidRPr="00EE2097" w:rsidTr="00A66468">
        <w:tc>
          <w:tcPr>
            <w:tcW w:w="311" w:type="pct"/>
            <w:hideMark/>
          </w:tcPr>
          <w:p w:rsidR="00504A7F" w:rsidRPr="00EE2097" w:rsidRDefault="00504A7F" w:rsidP="00A66468">
            <w:pPr>
              <w:jc w:val="center"/>
            </w:pPr>
            <w:r w:rsidRPr="00EE2097">
              <w:t>4.</w:t>
            </w:r>
          </w:p>
        </w:tc>
        <w:tc>
          <w:tcPr>
            <w:tcW w:w="1479" w:type="pct"/>
            <w:hideMark/>
          </w:tcPr>
          <w:p w:rsidR="00504A7F" w:rsidRPr="00EE2097" w:rsidRDefault="00504A7F" w:rsidP="00A66468">
            <w:r w:rsidRPr="00EE2097">
              <w:t>Cita informācija</w:t>
            </w:r>
          </w:p>
        </w:tc>
        <w:tc>
          <w:tcPr>
            <w:tcW w:w="3210" w:type="pct"/>
            <w:hideMark/>
          </w:tcPr>
          <w:p w:rsidR="00504A7F" w:rsidRPr="00EE2097" w:rsidRDefault="00504A7F" w:rsidP="00A66468">
            <w:r>
              <w:t>Nav.</w:t>
            </w:r>
          </w:p>
        </w:tc>
      </w:tr>
    </w:tbl>
    <w:p w:rsidR="00504A7F" w:rsidRPr="00EE2097" w:rsidRDefault="00504A7F" w:rsidP="00504A7F">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504A7F" w:rsidRPr="00EE2097" w:rsidTr="00A66468">
        <w:trPr>
          <w:cantSplit/>
        </w:trPr>
        <w:tc>
          <w:tcPr>
            <w:tcW w:w="5000" w:type="pct"/>
            <w:gridSpan w:val="3"/>
            <w:vAlign w:val="center"/>
            <w:hideMark/>
          </w:tcPr>
          <w:p w:rsidR="00504A7F" w:rsidRPr="00EE2097" w:rsidRDefault="00504A7F" w:rsidP="00A66468">
            <w:pPr>
              <w:jc w:val="center"/>
              <w:rPr>
                <w:b/>
                <w:bCs/>
              </w:rPr>
            </w:pPr>
            <w:r w:rsidRPr="00EE2097">
              <w:rPr>
                <w:b/>
                <w:bCs/>
              </w:rPr>
              <w:t>VII. Tiesību akta projekta izpildes nodrošināšana un tās ietekme uz institūcijām</w:t>
            </w:r>
          </w:p>
        </w:tc>
      </w:tr>
      <w:tr w:rsidR="00504A7F" w:rsidRPr="00EE2097" w:rsidTr="00A66468">
        <w:trPr>
          <w:cantSplit/>
        </w:trPr>
        <w:tc>
          <w:tcPr>
            <w:tcW w:w="311" w:type="pct"/>
            <w:hideMark/>
          </w:tcPr>
          <w:p w:rsidR="00504A7F" w:rsidRPr="00EE2097" w:rsidRDefault="00504A7F" w:rsidP="00A66468">
            <w:pPr>
              <w:jc w:val="center"/>
            </w:pPr>
            <w:r w:rsidRPr="00EE2097">
              <w:t>1.</w:t>
            </w:r>
          </w:p>
        </w:tc>
        <w:tc>
          <w:tcPr>
            <w:tcW w:w="1479" w:type="pct"/>
            <w:hideMark/>
          </w:tcPr>
          <w:p w:rsidR="00504A7F" w:rsidRPr="00EE2097" w:rsidRDefault="00504A7F" w:rsidP="00A66468">
            <w:r w:rsidRPr="00EE2097">
              <w:t>Projekta izpildē iesaistītās institūcijas</w:t>
            </w:r>
          </w:p>
        </w:tc>
        <w:tc>
          <w:tcPr>
            <w:tcW w:w="3210" w:type="pct"/>
            <w:hideMark/>
          </w:tcPr>
          <w:p w:rsidR="00504A7F" w:rsidRDefault="00504A7F" w:rsidP="00A66468">
            <w:r w:rsidRPr="00EE2097">
              <w:t>Pilsonīb</w:t>
            </w:r>
            <w:r>
              <w:t>as un migrācijas lietu pārvalde.</w:t>
            </w:r>
          </w:p>
          <w:p w:rsidR="00504A7F" w:rsidRPr="00EE2097" w:rsidRDefault="00504A7F" w:rsidP="00A66468"/>
        </w:tc>
      </w:tr>
      <w:tr w:rsidR="00504A7F" w:rsidRPr="00EE2097" w:rsidTr="00A66468">
        <w:trPr>
          <w:cantSplit/>
        </w:trPr>
        <w:tc>
          <w:tcPr>
            <w:tcW w:w="311" w:type="pct"/>
            <w:hideMark/>
          </w:tcPr>
          <w:p w:rsidR="00504A7F" w:rsidRPr="00EE2097" w:rsidRDefault="00504A7F" w:rsidP="00A66468">
            <w:pPr>
              <w:jc w:val="center"/>
            </w:pPr>
            <w:r w:rsidRPr="00EE2097">
              <w:t>2.</w:t>
            </w:r>
          </w:p>
        </w:tc>
        <w:tc>
          <w:tcPr>
            <w:tcW w:w="1479" w:type="pct"/>
            <w:hideMark/>
          </w:tcPr>
          <w:p w:rsidR="00504A7F" w:rsidRPr="00EE2097" w:rsidRDefault="00504A7F" w:rsidP="00A66468">
            <w:r w:rsidRPr="00EE2097">
              <w:t>Projekta izpildes ietekme uz pārvaldes funkcijām un institucionālo struktūru.</w:t>
            </w:r>
            <w:r w:rsidRPr="00EE2097">
              <w:br/>
              <w:t>Jaunu institūciju izveide, esošu institūciju likvidācija vai reorganizācija, to ietekme uz institūcijas cilvēkresursiem</w:t>
            </w:r>
          </w:p>
        </w:tc>
        <w:tc>
          <w:tcPr>
            <w:tcW w:w="3210" w:type="pct"/>
            <w:hideMark/>
          </w:tcPr>
          <w:p w:rsidR="00504A7F" w:rsidRPr="00EE2097" w:rsidRDefault="00504A7F" w:rsidP="00A66468">
            <w:pPr>
              <w:jc w:val="both"/>
            </w:pPr>
            <w:r>
              <w:t>Likump</w:t>
            </w:r>
            <w:r w:rsidRPr="00EE2097">
              <w:t>rojekta izpildes rezultātā nav paredzēta esošu institūciju likvidācija vai reorganizācija. Iestāžu institucionālā struktūra netiek ietekmēta, papildus cilvēkresursi nav nepieciešami.</w:t>
            </w:r>
          </w:p>
        </w:tc>
      </w:tr>
      <w:tr w:rsidR="00504A7F" w:rsidRPr="00EE2097" w:rsidTr="00A66468">
        <w:trPr>
          <w:cantSplit/>
        </w:trPr>
        <w:tc>
          <w:tcPr>
            <w:tcW w:w="311" w:type="pct"/>
            <w:hideMark/>
          </w:tcPr>
          <w:p w:rsidR="00504A7F" w:rsidRPr="00EE2097" w:rsidRDefault="00504A7F" w:rsidP="00A66468">
            <w:pPr>
              <w:jc w:val="center"/>
            </w:pPr>
            <w:r w:rsidRPr="00EE2097">
              <w:t>3.</w:t>
            </w:r>
          </w:p>
        </w:tc>
        <w:tc>
          <w:tcPr>
            <w:tcW w:w="1479" w:type="pct"/>
            <w:hideMark/>
          </w:tcPr>
          <w:p w:rsidR="00504A7F" w:rsidRPr="00EE2097" w:rsidRDefault="00504A7F" w:rsidP="00A66468">
            <w:r w:rsidRPr="00EE2097">
              <w:t>Cita informācija</w:t>
            </w:r>
          </w:p>
        </w:tc>
        <w:tc>
          <w:tcPr>
            <w:tcW w:w="3210" w:type="pct"/>
            <w:hideMark/>
          </w:tcPr>
          <w:p w:rsidR="00504A7F" w:rsidRPr="00EE2097" w:rsidRDefault="00504A7F" w:rsidP="00A66468">
            <w:r>
              <w:t>Nav.</w:t>
            </w:r>
          </w:p>
        </w:tc>
      </w:tr>
    </w:tbl>
    <w:p w:rsidR="00504A7F" w:rsidRDefault="00504A7F" w:rsidP="00504A7F">
      <w:pPr>
        <w:tabs>
          <w:tab w:val="left" w:pos="6521"/>
        </w:tabs>
        <w:jc w:val="both"/>
      </w:pPr>
    </w:p>
    <w:p w:rsidR="00504A7F" w:rsidRDefault="00504A7F" w:rsidP="00504A7F">
      <w:pPr>
        <w:tabs>
          <w:tab w:val="left" w:pos="6521"/>
        </w:tabs>
        <w:jc w:val="both"/>
      </w:pPr>
    </w:p>
    <w:p w:rsidR="00504A7F" w:rsidRPr="00EE2097" w:rsidRDefault="00504A7F" w:rsidP="00504A7F">
      <w:pPr>
        <w:tabs>
          <w:tab w:val="left" w:pos="6521"/>
        </w:tabs>
        <w:jc w:val="both"/>
      </w:pPr>
      <w:proofErr w:type="spellStart"/>
      <w:r>
        <w:t>Iekšlietu</w:t>
      </w:r>
      <w:proofErr w:type="spellEnd"/>
      <w:r>
        <w:t xml:space="preserve"> ministrs </w:t>
      </w:r>
      <w:r>
        <w:tab/>
        <w:t xml:space="preserve">Sandis </w:t>
      </w:r>
      <w:proofErr w:type="spellStart"/>
      <w:r>
        <w:t>Ģirģens</w:t>
      </w:r>
      <w:proofErr w:type="spellEnd"/>
    </w:p>
    <w:p w:rsidR="00504A7F" w:rsidRDefault="00504A7F" w:rsidP="00504A7F">
      <w:pPr>
        <w:pStyle w:val="naisf"/>
        <w:rPr>
          <w:szCs w:val="24"/>
        </w:rPr>
      </w:pPr>
    </w:p>
    <w:p w:rsidR="00504A7F" w:rsidRDefault="00504A7F" w:rsidP="00504A7F">
      <w:pPr>
        <w:pStyle w:val="naisf"/>
        <w:rPr>
          <w:szCs w:val="24"/>
        </w:rPr>
      </w:pPr>
      <w:r w:rsidRPr="00EE2097">
        <w:rPr>
          <w:szCs w:val="24"/>
        </w:rPr>
        <w:t xml:space="preserve">Vīza: </w:t>
      </w:r>
    </w:p>
    <w:p w:rsidR="00504A7F" w:rsidRDefault="00504A7F" w:rsidP="00504A7F">
      <w:pPr>
        <w:pStyle w:val="naisf"/>
        <w:rPr>
          <w:szCs w:val="24"/>
        </w:rPr>
      </w:pPr>
      <w:r w:rsidRPr="00EE2097">
        <w:rPr>
          <w:szCs w:val="24"/>
        </w:rPr>
        <w:t>valsts sekretārs</w:t>
      </w:r>
      <w:r w:rsidRPr="00EE2097">
        <w:rPr>
          <w:szCs w:val="24"/>
        </w:rPr>
        <w:tab/>
      </w:r>
      <w:r w:rsidRPr="00EE2097">
        <w:rPr>
          <w:szCs w:val="24"/>
        </w:rPr>
        <w:tab/>
      </w:r>
      <w:r w:rsidRPr="00EE2097">
        <w:rPr>
          <w:szCs w:val="24"/>
        </w:rPr>
        <w:tab/>
        <w:t xml:space="preserve">  </w:t>
      </w:r>
      <w:r w:rsidRPr="00EE2097">
        <w:rPr>
          <w:szCs w:val="24"/>
        </w:rPr>
        <w:tab/>
      </w:r>
      <w:r w:rsidRPr="00EE2097">
        <w:rPr>
          <w:szCs w:val="24"/>
        </w:rPr>
        <w:tab/>
      </w:r>
      <w:r w:rsidRPr="00EE2097">
        <w:rPr>
          <w:szCs w:val="24"/>
        </w:rPr>
        <w:tab/>
      </w:r>
      <w:r w:rsidRPr="00EE2097">
        <w:rPr>
          <w:szCs w:val="24"/>
        </w:rPr>
        <w:tab/>
      </w:r>
      <w:r>
        <w:rPr>
          <w:szCs w:val="24"/>
        </w:rPr>
        <w:t xml:space="preserve">Dimitrijs </w:t>
      </w:r>
      <w:r w:rsidRPr="00EE2097">
        <w:rPr>
          <w:szCs w:val="24"/>
        </w:rPr>
        <w:t>Trofimovs</w:t>
      </w:r>
    </w:p>
    <w:p w:rsidR="00504A7F" w:rsidRDefault="00504A7F" w:rsidP="00504A7F">
      <w:pPr>
        <w:rPr>
          <w:sz w:val="20"/>
          <w:szCs w:val="20"/>
        </w:rPr>
      </w:pPr>
    </w:p>
    <w:p w:rsidR="00504A7F" w:rsidRDefault="00504A7F" w:rsidP="00504A7F">
      <w:pPr>
        <w:rPr>
          <w:sz w:val="20"/>
          <w:szCs w:val="20"/>
        </w:rPr>
      </w:pPr>
    </w:p>
    <w:p w:rsidR="00504A7F" w:rsidRDefault="00504A7F" w:rsidP="00504A7F">
      <w:pPr>
        <w:rPr>
          <w:sz w:val="20"/>
          <w:szCs w:val="20"/>
        </w:rPr>
      </w:pPr>
    </w:p>
    <w:p w:rsidR="00504A7F" w:rsidRDefault="00504A7F" w:rsidP="00504A7F">
      <w:pPr>
        <w:rPr>
          <w:sz w:val="20"/>
          <w:szCs w:val="20"/>
        </w:rPr>
      </w:pPr>
    </w:p>
    <w:p w:rsidR="00504A7F" w:rsidRDefault="00504A7F" w:rsidP="00504A7F">
      <w:pPr>
        <w:rPr>
          <w:sz w:val="20"/>
          <w:szCs w:val="20"/>
        </w:rPr>
      </w:pPr>
    </w:p>
    <w:p w:rsidR="00504A7F" w:rsidRDefault="00504A7F" w:rsidP="00504A7F">
      <w:pPr>
        <w:rPr>
          <w:sz w:val="20"/>
          <w:szCs w:val="20"/>
        </w:rPr>
      </w:pPr>
    </w:p>
    <w:p w:rsidR="00504A7F" w:rsidRDefault="00504A7F" w:rsidP="00504A7F">
      <w:pPr>
        <w:rPr>
          <w:sz w:val="20"/>
          <w:szCs w:val="20"/>
        </w:rPr>
      </w:pPr>
    </w:p>
    <w:p w:rsidR="00504A7F" w:rsidRPr="004F4974" w:rsidRDefault="00504A7F" w:rsidP="00504A7F">
      <w:pPr>
        <w:rPr>
          <w:sz w:val="20"/>
          <w:szCs w:val="20"/>
        </w:rPr>
      </w:pPr>
      <w:r>
        <w:rPr>
          <w:sz w:val="20"/>
          <w:szCs w:val="20"/>
        </w:rPr>
        <w:t xml:space="preserve">29.01.2021.  </w:t>
      </w:r>
    </w:p>
    <w:p w:rsidR="00504A7F" w:rsidRPr="007C7D2B" w:rsidRDefault="00504A7F" w:rsidP="00504A7F">
      <w:pPr>
        <w:rPr>
          <w:sz w:val="20"/>
          <w:szCs w:val="20"/>
        </w:rPr>
      </w:pPr>
      <w:proofErr w:type="spellStart"/>
      <w:r>
        <w:rPr>
          <w:sz w:val="20"/>
          <w:szCs w:val="20"/>
        </w:rPr>
        <w:t>G.</w:t>
      </w:r>
      <w:r w:rsidRPr="007C7D2B">
        <w:rPr>
          <w:sz w:val="20"/>
          <w:szCs w:val="20"/>
        </w:rPr>
        <w:t>Dzelme</w:t>
      </w:r>
      <w:proofErr w:type="spellEnd"/>
      <w:r w:rsidRPr="007C7D2B">
        <w:rPr>
          <w:sz w:val="20"/>
          <w:szCs w:val="20"/>
        </w:rPr>
        <w:t>, 67219521</w:t>
      </w:r>
    </w:p>
    <w:p w:rsidR="00504A7F" w:rsidRPr="00DB1A90" w:rsidRDefault="001E5602" w:rsidP="00504A7F">
      <w:hyperlink r:id="rId6" w:history="1">
        <w:r w:rsidR="00504A7F" w:rsidRPr="00DB1A90">
          <w:rPr>
            <w:rStyle w:val="Hyperlink"/>
            <w:sz w:val="20"/>
          </w:rPr>
          <w:t>ginta.dzelme@pmlp.gov.lv</w:t>
        </w:r>
      </w:hyperlink>
    </w:p>
    <w:p w:rsidR="000D1D83" w:rsidRDefault="000D1D83"/>
    <w:sectPr w:rsidR="000D1D83" w:rsidSect="00931DA3">
      <w:headerReference w:type="default" r:id="rId7"/>
      <w:footerReference w:type="default" r:id="rId8"/>
      <w:foot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4FB" w:rsidRDefault="00EE0B5C">
      <w:r>
        <w:separator/>
      </w:r>
    </w:p>
  </w:endnote>
  <w:endnote w:type="continuationSeparator" w:id="0">
    <w:p w:rsidR="007834FB" w:rsidRDefault="00EE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455" w:rsidRPr="004E5455" w:rsidRDefault="00504A7F" w:rsidP="004E5455">
    <w:pPr>
      <w:shd w:val="clear" w:color="auto" w:fill="FFFFFF"/>
      <w:spacing w:before="130" w:line="260" w:lineRule="exact"/>
      <w:jc w:val="both"/>
      <w:rPr>
        <w:bCs/>
        <w:sz w:val="20"/>
        <w:szCs w:val="20"/>
      </w:rPr>
    </w:pPr>
    <w:r>
      <w:rPr>
        <w:sz w:val="20"/>
        <w:szCs w:val="20"/>
      </w:rPr>
      <w:t>IEMAn</w:t>
    </w:r>
    <w:r w:rsidRPr="003E0172">
      <w:rPr>
        <w:sz w:val="20"/>
        <w:szCs w:val="20"/>
      </w:rPr>
      <w:t>ot_</w:t>
    </w:r>
    <w:r>
      <w:rPr>
        <w:sz w:val="20"/>
        <w:szCs w:val="20"/>
      </w:rPr>
      <w:t>290121_grozPADL_fizpers</w:t>
    </w:r>
  </w:p>
  <w:p w:rsidR="00C8037E" w:rsidRPr="00770CB7" w:rsidRDefault="001E5602" w:rsidP="00770CB7">
    <w:pPr>
      <w:pStyle w:val="Footer"/>
      <w:jc w:val="both"/>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455" w:rsidRPr="004E5455" w:rsidRDefault="00504A7F" w:rsidP="004E5455">
    <w:pPr>
      <w:shd w:val="clear" w:color="auto" w:fill="FFFFFF"/>
      <w:spacing w:before="130" w:line="260" w:lineRule="exact"/>
      <w:jc w:val="both"/>
      <w:rPr>
        <w:bCs/>
        <w:sz w:val="20"/>
        <w:szCs w:val="20"/>
      </w:rPr>
    </w:pPr>
    <w:r>
      <w:rPr>
        <w:sz w:val="20"/>
        <w:szCs w:val="20"/>
      </w:rPr>
      <w:t>IEMAn</w:t>
    </w:r>
    <w:r w:rsidRPr="003E0172">
      <w:rPr>
        <w:sz w:val="20"/>
        <w:szCs w:val="20"/>
      </w:rPr>
      <w:t>ot_</w:t>
    </w:r>
    <w:r>
      <w:rPr>
        <w:sz w:val="20"/>
        <w:szCs w:val="20"/>
      </w:rPr>
      <w:t>290121_grozPADL_fizpers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4FB" w:rsidRDefault="00EE0B5C">
      <w:r>
        <w:separator/>
      </w:r>
    </w:p>
  </w:footnote>
  <w:footnote w:type="continuationSeparator" w:id="0">
    <w:p w:rsidR="007834FB" w:rsidRDefault="00EE0B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753383"/>
      <w:docPartObj>
        <w:docPartGallery w:val="Page Numbers (Top of Page)"/>
        <w:docPartUnique/>
      </w:docPartObj>
    </w:sdtPr>
    <w:sdtEndPr>
      <w:rPr>
        <w:noProof/>
      </w:rPr>
    </w:sdtEndPr>
    <w:sdtContent>
      <w:p w:rsidR="00C8037E" w:rsidRDefault="00504A7F">
        <w:pPr>
          <w:pStyle w:val="Header"/>
          <w:jc w:val="center"/>
        </w:pPr>
        <w:r>
          <w:fldChar w:fldCharType="begin"/>
        </w:r>
        <w:r>
          <w:instrText xml:space="preserve"> PAGE   \* MERGEFORMAT </w:instrText>
        </w:r>
        <w:r>
          <w:fldChar w:fldCharType="separate"/>
        </w:r>
        <w:r w:rsidR="001E5602">
          <w:rPr>
            <w:noProof/>
          </w:rPr>
          <w:t>7</w:t>
        </w:r>
        <w:r>
          <w:rPr>
            <w:noProof/>
          </w:rPr>
          <w:fldChar w:fldCharType="end"/>
        </w:r>
      </w:p>
    </w:sdtContent>
  </w:sdt>
  <w:p w:rsidR="00C8037E" w:rsidRDefault="001E56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7F"/>
    <w:rsid w:val="000D1D83"/>
    <w:rsid w:val="001E5602"/>
    <w:rsid w:val="004B74EE"/>
    <w:rsid w:val="00504A7F"/>
    <w:rsid w:val="006356EA"/>
    <w:rsid w:val="007834FB"/>
    <w:rsid w:val="00BE620A"/>
    <w:rsid w:val="00EE0B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F7E4"/>
  <w15:chartTrackingRefBased/>
  <w15:docId w15:val="{1BAE5DA3-36D2-471A-BAF1-446BD84E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A7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4A7F"/>
    <w:pPr>
      <w:jc w:val="center"/>
    </w:pPr>
    <w:rPr>
      <w:sz w:val="28"/>
      <w:szCs w:val="20"/>
      <w:lang w:eastAsia="en-US"/>
    </w:rPr>
  </w:style>
  <w:style w:type="character" w:customStyle="1" w:styleId="TitleChar">
    <w:name w:val="Title Char"/>
    <w:basedOn w:val="DefaultParagraphFont"/>
    <w:link w:val="Title"/>
    <w:rsid w:val="00504A7F"/>
    <w:rPr>
      <w:rFonts w:ascii="Times New Roman" w:eastAsia="Times New Roman" w:hAnsi="Times New Roman" w:cs="Times New Roman"/>
      <w:sz w:val="28"/>
      <w:szCs w:val="20"/>
    </w:rPr>
  </w:style>
  <w:style w:type="character" w:styleId="Hyperlink">
    <w:name w:val="Hyperlink"/>
    <w:basedOn w:val="DefaultParagraphFont"/>
    <w:uiPriority w:val="99"/>
    <w:unhideWhenUsed/>
    <w:rsid w:val="00504A7F"/>
    <w:rPr>
      <w:color w:val="0000FF"/>
      <w:u w:val="single"/>
    </w:rPr>
  </w:style>
  <w:style w:type="paragraph" w:styleId="Header">
    <w:name w:val="header"/>
    <w:basedOn w:val="Normal"/>
    <w:link w:val="HeaderChar"/>
    <w:uiPriority w:val="99"/>
    <w:unhideWhenUsed/>
    <w:rsid w:val="00504A7F"/>
    <w:pPr>
      <w:tabs>
        <w:tab w:val="center" w:pos="4153"/>
        <w:tab w:val="right" w:pos="8306"/>
      </w:tabs>
    </w:pPr>
  </w:style>
  <w:style w:type="character" w:customStyle="1" w:styleId="HeaderChar">
    <w:name w:val="Header Char"/>
    <w:basedOn w:val="DefaultParagraphFont"/>
    <w:link w:val="Header"/>
    <w:uiPriority w:val="99"/>
    <w:rsid w:val="00504A7F"/>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504A7F"/>
    <w:pPr>
      <w:tabs>
        <w:tab w:val="center" w:pos="4153"/>
        <w:tab w:val="right" w:pos="8306"/>
      </w:tabs>
    </w:pPr>
  </w:style>
  <w:style w:type="character" w:customStyle="1" w:styleId="FooterChar">
    <w:name w:val="Footer Char"/>
    <w:basedOn w:val="DefaultParagraphFont"/>
    <w:link w:val="Footer"/>
    <w:uiPriority w:val="99"/>
    <w:rsid w:val="00504A7F"/>
    <w:rPr>
      <w:rFonts w:ascii="Times New Roman" w:eastAsia="Times New Roman" w:hAnsi="Times New Roman" w:cs="Times New Roman"/>
      <w:sz w:val="24"/>
      <w:szCs w:val="24"/>
      <w:lang w:eastAsia="lv-LV"/>
    </w:rPr>
  </w:style>
  <w:style w:type="paragraph" w:customStyle="1" w:styleId="naisf">
    <w:name w:val="naisf"/>
    <w:basedOn w:val="Normal"/>
    <w:rsid w:val="00504A7F"/>
    <w:pPr>
      <w:spacing w:before="100" w:after="1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nta.dzelme@pmlp.gov.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7654</Words>
  <Characters>4364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Zagoskina</dc:creator>
  <cp:keywords/>
  <dc:description/>
  <cp:lastModifiedBy>Inguna Gorbačova-Ščogole</cp:lastModifiedBy>
  <cp:revision>3</cp:revision>
  <dcterms:created xsi:type="dcterms:W3CDTF">2021-02-01T10:57:00Z</dcterms:created>
  <dcterms:modified xsi:type="dcterms:W3CDTF">2021-02-01T13:54:00Z</dcterms:modified>
</cp:coreProperties>
</file>