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66" w:rsidRPr="000563C5" w:rsidRDefault="00F21766" w:rsidP="00F21766">
      <w:pPr>
        <w:jc w:val="center"/>
        <w:rPr>
          <w:b/>
          <w:color w:val="auto"/>
          <w:sz w:val="27"/>
          <w:szCs w:val="27"/>
        </w:rPr>
      </w:pPr>
    </w:p>
    <w:p w:rsidR="00F21766" w:rsidRDefault="00F21766" w:rsidP="00F21766">
      <w:pPr>
        <w:jc w:val="center"/>
        <w:rPr>
          <w:b/>
          <w:color w:val="auto"/>
        </w:rPr>
      </w:pPr>
      <w:r w:rsidRPr="005D42E1">
        <w:rPr>
          <w:b/>
          <w:color w:val="auto"/>
        </w:rPr>
        <w:t xml:space="preserve">Likumprojekta </w:t>
      </w:r>
      <w:r w:rsidR="005D42E1">
        <w:rPr>
          <w:b/>
          <w:color w:val="auto"/>
          <w:shd w:val="clear" w:color="auto" w:fill="FFFFFF"/>
        </w:rPr>
        <w:t>“</w:t>
      </w:r>
      <w:r w:rsidRPr="005D42E1">
        <w:rPr>
          <w:b/>
          <w:color w:val="auto"/>
        </w:rPr>
        <w:t>Grozījums Krimināllikumā</w:t>
      </w:r>
      <w:r w:rsidR="005D42E1">
        <w:rPr>
          <w:b/>
          <w:color w:val="auto"/>
          <w:shd w:val="clear" w:color="auto" w:fill="FFFFFF"/>
        </w:rPr>
        <w:t>”</w:t>
      </w:r>
      <w:r w:rsidRPr="005D42E1">
        <w:rPr>
          <w:b/>
          <w:color w:val="auto"/>
          <w:shd w:val="clear" w:color="auto" w:fill="FFFFFF"/>
        </w:rPr>
        <w:t xml:space="preserve"> </w:t>
      </w:r>
      <w:r w:rsidRPr="005D42E1">
        <w:rPr>
          <w:b/>
          <w:color w:val="auto"/>
        </w:rPr>
        <w:t>sākotnējās ietekmes novērtējuma ziņojums (anotācija)</w:t>
      </w:r>
    </w:p>
    <w:p w:rsidR="002112E0" w:rsidRPr="005D42E1" w:rsidRDefault="002112E0" w:rsidP="00F21766">
      <w:pPr>
        <w:jc w:val="center"/>
        <w:rPr>
          <w:b/>
          <w:color w:val="auto"/>
        </w:rPr>
      </w:pPr>
    </w:p>
    <w:p w:rsidR="00F21766" w:rsidRPr="005D42E1" w:rsidRDefault="00F21766" w:rsidP="00F21766">
      <w:pPr>
        <w:shd w:val="clear" w:color="auto" w:fill="FFFFFF"/>
        <w:rPr>
          <w:color w:val="auto"/>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5950"/>
      </w:tblGrid>
      <w:tr w:rsidR="00F21766" w:rsidRPr="005D42E1" w:rsidTr="00F21766">
        <w:tc>
          <w:tcPr>
            <w:tcW w:w="906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1766" w:rsidRPr="005D42E1" w:rsidRDefault="00F21766" w:rsidP="00CD6F9B">
            <w:pPr>
              <w:jc w:val="center"/>
              <w:rPr>
                <w:b/>
                <w:color w:val="auto"/>
              </w:rPr>
            </w:pPr>
            <w:r w:rsidRPr="005D42E1">
              <w:rPr>
                <w:b/>
                <w:color w:val="auto"/>
              </w:rPr>
              <w:t xml:space="preserve">Tiesību akta projekta anotācijas kopsavilkums </w:t>
            </w:r>
          </w:p>
        </w:tc>
      </w:tr>
      <w:tr w:rsidR="00F21766" w:rsidRPr="005D42E1" w:rsidTr="00F21766">
        <w:tc>
          <w:tcPr>
            <w:tcW w:w="3117" w:type="dxa"/>
            <w:tcBorders>
              <w:top w:val="single" w:sz="4" w:space="0" w:color="000000"/>
              <w:left w:val="single" w:sz="4" w:space="0" w:color="000000"/>
              <w:bottom w:val="single" w:sz="4" w:space="0" w:color="000000"/>
              <w:right w:val="single" w:sz="4" w:space="0" w:color="000000"/>
            </w:tcBorders>
            <w:shd w:val="clear" w:color="auto" w:fill="FFFFFF"/>
          </w:tcPr>
          <w:p w:rsidR="00F21766" w:rsidRPr="005D42E1" w:rsidRDefault="00F21766" w:rsidP="00CD6F9B">
            <w:pPr>
              <w:rPr>
                <w:color w:val="auto"/>
              </w:rPr>
            </w:pPr>
            <w:r w:rsidRPr="005D42E1">
              <w:rPr>
                <w:color w:val="auto"/>
              </w:rPr>
              <w:t xml:space="preserve">Mērķis, risinājums un projekta spēkā stāšanās laiks </w:t>
            </w:r>
          </w:p>
        </w:tc>
        <w:tc>
          <w:tcPr>
            <w:tcW w:w="5950" w:type="dxa"/>
            <w:tcBorders>
              <w:top w:val="single" w:sz="4" w:space="0" w:color="000000"/>
              <w:left w:val="single" w:sz="4" w:space="0" w:color="000000"/>
              <w:bottom w:val="single" w:sz="4" w:space="0" w:color="000000"/>
              <w:right w:val="single" w:sz="4" w:space="0" w:color="000000"/>
            </w:tcBorders>
            <w:shd w:val="clear" w:color="auto" w:fill="FFFFFF"/>
          </w:tcPr>
          <w:p w:rsidR="00F21766" w:rsidRDefault="005D42E1" w:rsidP="007B4414">
            <w:pPr>
              <w:pBdr>
                <w:top w:val="none" w:sz="0" w:space="0" w:color="auto"/>
                <w:left w:val="none" w:sz="0" w:space="0" w:color="auto"/>
                <w:bottom w:val="none" w:sz="0" w:space="0" w:color="auto"/>
                <w:right w:val="none" w:sz="0" w:space="0" w:color="auto"/>
                <w:between w:val="none" w:sz="0" w:space="0" w:color="auto"/>
              </w:pBdr>
              <w:shd w:val="clear" w:color="auto" w:fill="FFFFFF"/>
              <w:ind w:firstLine="739"/>
              <w:jc w:val="both"/>
              <w:rPr>
                <w:color w:val="auto"/>
              </w:rPr>
            </w:pPr>
            <w:r w:rsidRPr="005D42E1">
              <w:rPr>
                <w:color w:val="auto"/>
              </w:rPr>
              <w:t xml:space="preserve">Likumprojekta “Grozījums Krimināllikumā” (turpmāk – likumprojekts) mērķis ir aizsargāt pārvaldības kārtību un valsts varas pārstāvju, kas izpilda </w:t>
            </w:r>
            <w:r w:rsidRPr="005D42E1">
              <w:rPr>
                <w:bCs/>
              </w:rPr>
              <w:t xml:space="preserve">tiem uzliktos dienesta pienākumus </w:t>
            </w:r>
            <w:r w:rsidRPr="005D42E1">
              <w:t>sabiedriskās kārtības, drošības un valsts robežas</w:t>
            </w:r>
            <w:r w:rsidRPr="005D42E1">
              <w:rPr>
                <w:bCs/>
              </w:rPr>
              <w:t xml:space="preserve"> apsardzības jomā</w:t>
            </w:r>
            <w:r w:rsidR="00CC3723">
              <w:rPr>
                <w:bCs/>
              </w:rPr>
              <w:t>,</w:t>
            </w:r>
            <w:r w:rsidRPr="005D42E1">
              <w:rPr>
                <w:color w:val="auto"/>
              </w:rPr>
              <w:t xml:space="preserve"> godu un cieņu.</w:t>
            </w:r>
          </w:p>
          <w:p w:rsidR="005D42E1" w:rsidRDefault="005D42E1" w:rsidP="005D42E1">
            <w:pPr>
              <w:jc w:val="both"/>
              <w:rPr>
                <w:bCs/>
              </w:rPr>
            </w:pPr>
            <w:r w:rsidRPr="005D42E1">
              <w:rPr>
                <w:color w:val="auto"/>
              </w:rPr>
              <w:t>Ņemot vērā minēto</w:t>
            </w:r>
            <w:r>
              <w:rPr>
                <w:color w:val="auto"/>
              </w:rPr>
              <w:t>,</w:t>
            </w:r>
            <w:r w:rsidRPr="005D42E1">
              <w:rPr>
                <w:color w:val="auto"/>
              </w:rPr>
              <w:t xml:space="preserve"> likumprojekts paredz papildināt Krimināllikumu ar jaunu </w:t>
            </w:r>
            <w:r w:rsidRPr="005D42E1">
              <w:rPr>
                <w:b/>
              </w:rPr>
              <w:t>271.</w:t>
            </w:r>
            <w:r w:rsidRPr="005D42E1">
              <w:rPr>
                <w:b/>
                <w:vertAlign w:val="superscript"/>
              </w:rPr>
              <w:t>1</w:t>
            </w:r>
            <w:r w:rsidRPr="005D42E1">
              <w:rPr>
                <w:b/>
              </w:rPr>
              <w:t xml:space="preserve"> pantu </w:t>
            </w:r>
            <w:r>
              <w:rPr>
                <w:b/>
              </w:rPr>
              <w:t>“</w:t>
            </w:r>
            <w:r w:rsidRPr="005D42E1">
              <w:rPr>
                <w:b/>
                <w:bCs/>
              </w:rPr>
              <w:t>Varas pārstāvja goda un cieņas aizskaršana</w:t>
            </w:r>
            <w:r>
              <w:rPr>
                <w:b/>
                <w:bCs/>
              </w:rPr>
              <w:t xml:space="preserve">”, </w:t>
            </w:r>
            <w:r w:rsidRPr="005D42E1">
              <w:rPr>
                <w:bCs/>
              </w:rPr>
              <w:t>tādējādi paredzot kriminālatbildību</w:t>
            </w:r>
            <w:r>
              <w:rPr>
                <w:b/>
                <w:bCs/>
              </w:rPr>
              <w:t xml:space="preserve"> </w:t>
            </w:r>
            <w:r>
              <w:rPr>
                <w:bCs/>
              </w:rPr>
              <w:t>p</w:t>
            </w:r>
            <w:r w:rsidRPr="005D42E1">
              <w:rPr>
                <w:bCs/>
              </w:rPr>
              <w:t xml:space="preserve">ar varas pārstāvja goda un cieņas aizskaršanu, ja tas izpilda tam uzliktos dienesta pienākumus </w:t>
            </w:r>
            <w:r w:rsidRPr="005D42E1">
              <w:t>sabiedriskās kārtības, drošības un valsts robežas</w:t>
            </w:r>
            <w:r w:rsidRPr="005D42E1">
              <w:rPr>
                <w:bCs/>
              </w:rPr>
              <w:t xml:space="preserve"> apsardzības jomā</w:t>
            </w:r>
            <w:r>
              <w:rPr>
                <w:bCs/>
              </w:rPr>
              <w:t>.</w:t>
            </w:r>
          </w:p>
          <w:p w:rsidR="00B6484D" w:rsidRPr="005D42E1" w:rsidRDefault="00B6484D" w:rsidP="007B4414">
            <w:pPr>
              <w:ind w:firstLine="739"/>
              <w:jc w:val="both"/>
              <w:rPr>
                <w:b/>
                <w:bCs/>
              </w:rPr>
            </w:pPr>
            <w:r>
              <w:rPr>
                <w:bCs/>
              </w:rPr>
              <w:t>Likumprojekts stāsies spēkā normatīvajos aktos noteiktajā kārtībā.</w:t>
            </w:r>
          </w:p>
        </w:tc>
      </w:tr>
    </w:tbl>
    <w:p w:rsidR="00F21766" w:rsidRPr="005D42E1" w:rsidRDefault="00F21766" w:rsidP="00F21766">
      <w:pPr>
        <w:shd w:val="clear" w:color="auto" w:fill="FFFFFF"/>
        <w:ind w:firstLine="300"/>
        <w:jc w:val="center"/>
        <w:rPr>
          <w:color w:val="auto"/>
        </w:rPr>
      </w:pPr>
    </w:p>
    <w:tbl>
      <w:tblPr>
        <w:tblW w:w="9072" w:type="dxa"/>
        <w:tblInd w:w="-8"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567"/>
        <w:gridCol w:w="2441"/>
        <w:gridCol w:w="6064"/>
      </w:tblGrid>
      <w:tr w:rsidR="00F21766" w:rsidRPr="005D42E1" w:rsidTr="00F21766">
        <w:trPr>
          <w:trHeight w:val="240"/>
        </w:trPr>
        <w:tc>
          <w:tcPr>
            <w:tcW w:w="9072" w:type="dxa"/>
            <w:gridSpan w:val="3"/>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b/>
                <w:color w:val="auto"/>
              </w:rPr>
            </w:pPr>
            <w:r w:rsidRPr="005D42E1">
              <w:rPr>
                <w:b/>
                <w:color w:val="auto"/>
              </w:rPr>
              <w:t>I. Tiesību akta projekta izstrādes nepieciešamība</w:t>
            </w:r>
          </w:p>
        </w:tc>
      </w:tr>
      <w:tr w:rsidR="00F21766" w:rsidRPr="005D42E1" w:rsidTr="00F21766">
        <w:trPr>
          <w:trHeight w:val="733"/>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center"/>
              <w:rPr>
                <w:color w:val="auto"/>
              </w:rPr>
            </w:pPr>
            <w:r w:rsidRPr="005D42E1">
              <w:rPr>
                <w:color w:val="auto"/>
              </w:rPr>
              <w:t>1.</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Pamatojums</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both"/>
              <w:rPr>
                <w:color w:val="auto"/>
              </w:rPr>
            </w:pPr>
            <w:r w:rsidRPr="005D42E1">
              <w:rPr>
                <w:color w:val="auto"/>
              </w:rPr>
              <w:t>Iekšlietu ministrijas iniciatīva.</w:t>
            </w:r>
          </w:p>
        </w:tc>
      </w:tr>
      <w:tr w:rsidR="00F21766" w:rsidRPr="005D42E1" w:rsidTr="00F21766">
        <w:trPr>
          <w:trHeight w:val="46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center"/>
              <w:rPr>
                <w:color w:val="auto"/>
              </w:rPr>
            </w:pPr>
            <w:r w:rsidRPr="005D42E1">
              <w:rPr>
                <w:color w:val="auto"/>
              </w:rPr>
              <w:t>2.</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Pašreizējā situācija un problēmas, kuru risināšanai tiesību akta projekts izstrādāts, tiesiskā regulējuma mērķis un būtība</w:t>
            </w:r>
          </w:p>
        </w:tc>
        <w:tc>
          <w:tcPr>
            <w:tcW w:w="6064" w:type="dxa"/>
            <w:tcBorders>
              <w:top w:val="single" w:sz="6" w:space="0" w:color="414142"/>
              <w:left w:val="single" w:sz="6" w:space="0" w:color="414142"/>
              <w:bottom w:val="single" w:sz="6" w:space="0" w:color="414142"/>
              <w:right w:val="single" w:sz="6" w:space="0" w:color="414142"/>
            </w:tcBorders>
          </w:tcPr>
          <w:p w:rsidR="005D42E1" w:rsidRPr="002112E0" w:rsidRDefault="005D42E1" w:rsidP="005D42E1">
            <w:pPr>
              <w:ind w:firstLine="853"/>
              <w:jc w:val="both"/>
              <w:rPr>
                <w:color w:val="auto"/>
              </w:rPr>
            </w:pPr>
            <w:r w:rsidRPr="002112E0">
              <w:rPr>
                <w:color w:val="auto"/>
              </w:rPr>
              <w:t xml:space="preserve">Pēdējā laikā, amatpersonām pildot dienesta pienākumus, veicot valstī noteikto Covid – 19 izplatības ierobežojumu kontroli, </w:t>
            </w:r>
            <w:r w:rsidR="009A0920" w:rsidRPr="002112E0">
              <w:rPr>
                <w:color w:val="auto"/>
              </w:rPr>
              <w:t>arvien biežāk</w:t>
            </w:r>
            <w:r w:rsidRPr="002112E0">
              <w:rPr>
                <w:color w:val="auto"/>
              </w:rPr>
              <w:t xml:space="preserve"> nākas saskarties ar gadījumiem, kad pret viņiem publiskā vietā tiek izrādīta necieņa, tiek aizskarts likumsargu gods un cieņa. Piemēram, amatpersonas tiek aizskartas, lietojot rupjus un necenzētus vārdus, tiek saņemti draudi inficēt ar Covid </w:t>
            </w:r>
            <w:r w:rsidR="009A0920" w:rsidRPr="002112E0">
              <w:rPr>
                <w:color w:val="auto"/>
              </w:rPr>
              <w:t>–</w:t>
            </w:r>
            <w:r w:rsidRPr="002112E0">
              <w:rPr>
                <w:color w:val="auto"/>
              </w:rPr>
              <w:t xml:space="preserve"> 19</w:t>
            </w:r>
            <w:r w:rsidR="009A0920" w:rsidRPr="002112E0">
              <w:rPr>
                <w:color w:val="auto"/>
              </w:rPr>
              <w:t xml:space="preserve">. </w:t>
            </w:r>
            <w:r w:rsidRPr="002112E0">
              <w:rPr>
                <w:color w:val="auto"/>
              </w:rPr>
              <w:t xml:space="preserve">Īpaši </w:t>
            </w:r>
            <w:r w:rsidR="009A0920" w:rsidRPr="002112E0">
              <w:rPr>
                <w:color w:val="auto"/>
              </w:rPr>
              <w:t xml:space="preserve">minētās darbības izpaudās </w:t>
            </w:r>
            <w:r w:rsidRPr="002112E0">
              <w:rPr>
                <w:color w:val="auto"/>
              </w:rPr>
              <w:t xml:space="preserve">rīkotajās akcijās pret valstī noteiktajiem epidemioloģiskās drošības pasākumiem un pret Covid-19 vakcināciju. </w:t>
            </w:r>
          </w:p>
          <w:p w:rsidR="005D42E1" w:rsidRPr="002112E0" w:rsidRDefault="005D42E1" w:rsidP="005D42E1">
            <w:pPr>
              <w:ind w:firstLine="853"/>
              <w:jc w:val="both"/>
              <w:rPr>
                <w:color w:val="auto"/>
              </w:rPr>
            </w:pPr>
            <w:r w:rsidRPr="002112E0">
              <w:rPr>
                <w:color w:val="auto"/>
              </w:rPr>
              <w:t xml:space="preserve">Šādas darbības apdraud Latvijas Republikas valsts pārvaldes institūciju normālu darbību. Aizskarot varas pārstāvja godu un cieņu, persona primāri vēršas pret valsts pārvaldi, kuru reprezentē šī amatpersona, kas likumīgi pilda normatīvajos aktos paredzētās funkcijas un kuras cieņa un gods tiek aizskarti tieši un tikai sakarā ar tai uzlikto pienākumu pildīšanu. </w:t>
            </w:r>
          </w:p>
          <w:p w:rsidR="005D42E1" w:rsidRPr="002112E0" w:rsidRDefault="005D42E1" w:rsidP="005D42E1">
            <w:pPr>
              <w:ind w:firstLine="853"/>
              <w:jc w:val="both"/>
              <w:rPr>
                <w:color w:val="auto"/>
              </w:rPr>
            </w:pPr>
            <w:r w:rsidRPr="002112E0">
              <w:rPr>
                <w:color w:val="auto"/>
              </w:rPr>
              <w:t>Iekšlietu ministrijas ieskatā šāda situācija nav pieļaujama</w:t>
            </w:r>
            <w:r w:rsidR="00CC3723" w:rsidRPr="002112E0">
              <w:rPr>
                <w:color w:val="auto"/>
              </w:rPr>
              <w:t>. Ņ</w:t>
            </w:r>
            <w:r w:rsidRPr="002112E0">
              <w:rPr>
                <w:color w:val="auto"/>
              </w:rPr>
              <w:t xml:space="preserve">emot vērā minēto, ir izstrādāts likumprojekts, kas paredz papildināt Krimināllikumu ar jaunu </w:t>
            </w:r>
            <w:r w:rsidRPr="002112E0">
              <w:rPr>
                <w:b/>
                <w:color w:val="auto"/>
              </w:rPr>
              <w:t>271.</w:t>
            </w:r>
            <w:r w:rsidRPr="002112E0">
              <w:rPr>
                <w:b/>
                <w:color w:val="auto"/>
                <w:vertAlign w:val="superscript"/>
              </w:rPr>
              <w:t>1</w:t>
            </w:r>
            <w:r w:rsidRPr="002112E0">
              <w:rPr>
                <w:b/>
                <w:color w:val="auto"/>
              </w:rPr>
              <w:t xml:space="preserve"> pantu “</w:t>
            </w:r>
            <w:r w:rsidRPr="002112E0">
              <w:rPr>
                <w:b/>
                <w:bCs/>
                <w:color w:val="auto"/>
              </w:rPr>
              <w:t xml:space="preserve">Varas pārstāvja goda un cieņas aizskaršana”, </w:t>
            </w:r>
            <w:r w:rsidRPr="002112E0">
              <w:rPr>
                <w:bCs/>
                <w:color w:val="auto"/>
              </w:rPr>
              <w:t>tādējādi nosakot kriminālatbildību</w:t>
            </w:r>
            <w:r w:rsidRPr="002112E0">
              <w:rPr>
                <w:b/>
                <w:bCs/>
                <w:color w:val="auto"/>
              </w:rPr>
              <w:t xml:space="preserve"> </w:t>
            </w:r>
            <w:r w:rsidRPr="002112E0">
              <w:rPr>
                <w:bCs/>
                <w:color w:val="auto"/>
              </w:rPr>
              <w:t xml:space="preserve">par varas pārstāvja goda un cieņas aizskaršanu, ja tas izpilda tam uzliktos dienesta pienākumus </w:t>
            </w:r>
            <w:r w:rsidRPr="002112E0">
              <w:rPr>
                <w:color w:val="auto"/>
              </w:rPr>
              <w:t>sabiedriskās kārtības, drošības un valsts robežas</w:t>
            </w:r>
            <w:r w:rsidRPr="002112E0">
              <w:rPr>
                <w:bCs/>
                <w:color w:val="auto"/>
              </w:rPr>
              <w:t xml:space="preserve"> apsardzības jomā.</w:t>
            </w:r>
          </w:p>
          <w:p w:rsidR="005D42E1" w:rsidRPr="002112E0" w:rsidRDefault="005D42E1" w:rsidP="005D42E1">
            <w:pPr>
              <w:ind w:firstLine="720"/>
              <w:jc w:val="both"/>
              <w:rPr>
                <w:color w:val="auto"/>
              </w:rPr>
            </w:pPr>
            <w:r w:rsidRPr="002112E0">
              <w:rPr>
                <w:color w:val="auto"/>
              </w:rPr>
              <w:t>Jāņem vērā, ka līdz 2004.</w:t>
            </w:r>
            <w:r w:rsidR="002B73D2" w:rsidRPr="002112E0">
              <w:rPr>
                <w:color w:val="auto"/>
              </w:rPr>
              <w:t> </w:t>
            </w:r>
            <w:r w:rsidR="00CC3723" w:rsidRPr="002112E0">
              <w:rPr>
                <w:color w:val="auto"/>
              </w:rPr>
              <w:t>gada</w:t>
            </w:r>
            <w:r w:rsidRPr="002112E0">
              <w:rPr>
                <w:color w:val="auto"/>
              </w:rPr>
              <w:t xml:space="preserve"> 1.</w:t>
            </w:r>
            <w:r w:rsidR="002B73D2" w:rsidRPr="002112E0">
              <w:rPr>
                <w:color w:val="auto"/>
              </w:rPr>
              <w:t xml:space="preserve"> </w:t>
            </w:r>
            <w:r w:rsidRPr="002112E0">
              <w:rPr>
                <w:color w:val="auto"/>
              </w:rPr>
              <w:t xml:space="preserve">februārim Krimināllikumā bija speciāla norma - 271. pants, kas </w:t>
            </w:r>
            <w:r w:rsidRPr="002112E0">
              <w:rPr>
                <w:color w:val="auto"/>
              </w:rPr>
              <w:lastRenderedPageBreak/>
              <w:t xml:space="preserve">paredzēja kriminālatbildību par neslavas celšanu varas pārstāvim vai citai valsts amatpersonai vai to goda aizskaršanu sakarā ar šīm personām uzlikto pienākumu pildīšanu (sods - brīvības atņemšana uz laiku līdz diviem gadiem vai arests, vai piespiedu darbs, vai naudas sods līdz sešdesmit minimālajām mēnešalgām). </w:t>
            </w:r>
          </w:p>
          <w:p w:rsidR="005D42E1" w:rsidRPr="002112E0" w:rsidRDefault="005D42E1" w:rsidP="005D42E1">
            <w:pPr>
              <w:ind w:firstLine="720"/>
              <w:jc w:val="both"/>
              <w:rPr>
                <w:color w:val="auto"/>
              </w:rPr>
            </w:pPr>
            <w:r w:rsidRPr="002112E0">
              <w:rPr>
                <w:color w:val="auto"/>
              </w:rPr>
              <w:t xml:space="preserve">Ar 2004. gada 22. janvāra likumu “Grozījumi Krimināllikumā”, kas stājās spēkā 2004. gada 1. februārī Krimināllikuma 271. pants tika izslēgts. </w:t>
            </w:r>
          </w:p>
          <w:p w:rsidR="005D42E1" w:rsidRPr="002112E0" w:rsidRDefault="005D42E1" w:rsidP="005D42E1">
            <w:pPr>
              <w:ind w:firstLine="720"/>
              <w:jc w:val="both"/>
              <w:rPr>
                <w:color w:val="auto"/>
              </w:rPr>
            </w:pPr>
            <w:r w:rsidRPr="002112E0">
              <w:rPr>
                <w:color w:val="auto"/>
              </w:rPr>
              <w:t>Tam pamatā bija Latvijas Republikas Satversmes tiesas 2003. gada 29. oktobra spriedums lietā Nr.2003-05-01 “Par Krimināllikuma 271. panta atbilstību Latvijas Republikas Satversmes 91. un 100. pantam"</w:t>
            </w:r>
            <w:r w:rsidRPr="002112E0">
              <w:rPr>
                <w:rStyle w:val="FootnoteReference"/>
                <w:color w:val="auto"/>
              </w:rPr>
              <w:footnoteReference w:id="1"/>
            </w:r>
            <w:r w:rsidRPr="002112E0">
              <w:rPr>
                <w:color w:val="auto"/>
              </w:rPr>
              <w:t>, kur Satversmes tiesa norādīja, ka tiesību normā noteikts pārāk plašs aizsargājamo amatpersonu loks, un apšaubīja, vai visas krimināltiesībās lietotajam jēdzienam “amatpersona” atbilstošās amatpersonas patiešām veic tādus pienākumus, kas prasītu īpašu valsts aizsardzību. Satversmes tiesa atzina Krimināllikuma 271. pantu par neatbilstošu L</w:t>
            </w:r>
            <w:r w:rsidR="00CC3723" w:rsidRPr="002112E0">
              <w:rPr>
                <w:color w:val="auto"/>
              </w:rPr>
              <w:t xml:space="preserve">atvijas </w:t>
            </w:r>
            <w:r w:rsidRPr="002112E0">
              <w:rPr>
                <w:color w:val="auto"/>
              </w:rPr>
              <w:t>R</w:t>
            </w:r>
            <w:r w:rsidR="00CC3723" w:rsidRPr="002112E0">
              <w:rPr>
                <w:color w:val="auto"/>
              </w:rPr>
              <w:t>epublikas</w:t>
            </w:r>
            <w:r w:rsidRPr="002112E0">
              <w:rPr>
                <w:color w:val="auto"/>
              </w:rPr>
              <w:t xml:space="preserve"> Satversmes 100. pantam un spēkā neesošu no 2004. gada 1. februāra, ja līdz tam laikam likumdevējs nebūs konkretizējis amatpersonas, kurām nepieciešama krimināltiesiska aizsardzība sakarā ar tām uzlikto pienākumu pildīšanu.</w:t>
            </w:r>
          </w:p>
          <w:p w:rsidR="005D42E1" w:rsidRPr="002112E0" w:rsidRDefault="005D42E1" w:rsidP="005D42E1">
            <w:pPr>
              <w:ind w:firstLine="720"/>
              <w:jc w:val="both"/>
              <w:rPr>
                <w:color w:val="auto"/>
              </w:rPr>
            </w:pPr>
            <w:r w:rsidRPr="002112E0">
              <w:rPr>
                <w:color w:val="auto"/>
              </w:rPr>
              <w:t>Likumprojekts paredz sašaurin</w:t>
            </w:r>
            <w:r w:rsidR="00CC3723" w:rsidRPr="002112E0">
              <w:rPr>
                <w:color w:val="auto"/>
              </w:rPr>
              <w:t xml:space="preserve">āt minētās </w:t>
            </w:r>
            <w:r w:rsidRPr="002112E0">
              <w:rPr>
                <w:color w:val="auto"/>
              </w:rPr>
              <w:t>norm</w:t>
            </w:r>
            <w:r w:rsidR="00CC3723" w:rsidRPr="002112E0">
              <w:rPr>
                <w:color w:val="auto"/>
              </w:rPr>
              <w:t>as tvērumu</w:t>
            </w:r>
            <w:r w:rsidRPr="002112E0">
              <w:rPr>
                <w:color w:val="auto"/>
              </w:rPr>
              <w:t xml:space="preserve">, paredzot atbildību vienīgi par varas pārstāvja goda un cieņas aizskaršanu. Jāņem vērā, ka varas pārstāvji veic tādus sabiedrībai būtiskus pienākumus (sabiedriskās drošības un kārtības nodrošināšana, valsts robežas apsardzība), kas prasa īpašu aizsardzību arī no valsts puses. </w:t>
            </w:r>
          </w:p>
          <w:p w:rsidR="005D42E1" w:rsidRPr="002112E0" w:rsidRDefault="005D42E1" w:rsidP="005D42E1">
            <w:pPr>
              <w:ind w:firstLine="720"/>
              <w:jc w:val="both"/>
              <w:rPr>
                <w:color w:val="auto"/>
              </w:rPr>
            </w:pPr>
            <w:r w:rsidRPr="002112E0">
              <w:rPr>
                <w:color w:val="auto"/>
              </w:rPr>
              <w:t xml:space="preserve">Piedāvātais </w:t>
            </w:r>
            <w:r w:rsidR="00CC3723" w:rsidRPr="002112E0">
              <w:rPr>
                <w:color w:val="auto"/>
              </w:rPr>
              <w:t xml:space="preserve">likumprojekta </w:t>
            </w:r>
            <w:r w:rsidRPr="002112E0">
              <w:rPr>
                <w:color w:val="auto"/>
              </w:rPr>
              <w:t xml:space="preserve">pants ietverts nodaļā “Noziedzīgi nodarījumi pret pārvaldības kārtību”. Šajā nodaļā ietvertie noziedzīgie nodarījumi apdraud Latvijas Republikas valsts pārvaldes institūciju normālu darbību, kas arī ir to grupas </w:t>
            </w:r>
            <w:r w:rsidRPr="002112E0">
              <w:rPr>
                <w:b/>
                <w:color w:val="auto"/>
              </w:rPr>
              <w:t>objekts.</w:t>
            </w:r>
            <w:r w:rsidRPr="002112E0">
              <w:rPr>
                <w:color w:val="auto"/>
              </w:rPr>
              <w:t xml:space="preserve"> Aizskarot varas pārstāvja godu un cieņu, persona primāri vēršas pret valsts pārvaldi, kuru reprezentē šī valsts amatpersona, kas likumīgi pilda normatīvajos aktos paredzētās funkcijas un kuras cieņa un gods tiek aizskarti tieši un tikai sakarā ar tai uzlikto pienākumu pildīšanu. Tāpēc šajā gadījumā pārvaldības kārtība kādā noteiktā valsts vai pašvaldības darbības jomā ir galvenais tiešais apdraudējuma objekts, tās primārās intereses, kuru aizsardzībai paredzēts KL 271.</w:t>
            </w:r>
            <w:r w:rsidRPr="002112E0">
              <w:rPr>
                <w:color w:val="auto"/>
                <w:vertAlign w:val="superscript"/>
              </w:rPr>
              <w:t xml:space="preserve">1 </w:t>
            </w:r>
            <w:r w:rsidRPr="002112E0">
              <w:rPr>
                <w:color w:val="auto"/>
              </w:rPr>
              <w:t>pants, bet varas pārstāvja gods un cieņa būs papildu tiešais objekts, kuru apdraudot, tiek nodarīts kaitējums pārvaldības kārtībai.</w:t>
            </w:r>
          </w:p>
          <w:p w:rsidR="005D42E1" w:rsidRPr="002112E0" w:rsidRDefault="005D42E1" w:rsidP="005D42E1">
            <w:pPr>
              <w:ind w:firstLine="720"/>
              <w:jc w:val="both"/>
              <w:rPr>
                <w:color w:val="auto"/>
              </w:rPr>
            </w:pPr>
            <w:r w:rsidRPr="002112E0">
              <w:rPr>
                <w:color w:val="auto"/>
              </w:rPr>
              <w:t xml:space="preserve">Par </w:t>
            </w:r>
            <w:r w:rsidRPr="002112E0">
              <w:rPr>
                <w:b/>
                <w:color w:val="auto"/>
              </w:rPr>
              <w:t>cietušo</w:t>
            </w:r>
            <w:r w:rsidRPr="002112E0">
              <w:rPr>
                <w:color w:val="auto"/>
              </w:rPr>
              <w:t xml:space="preserve"> šajā noziegumā </w:t>
            </w:r>
            <w:r w:rsidR="00CC3723" w:rsidRPr="002112E0">
              <w:rPr>
                <w:color w:val="auto"/>
              </w:rPr>
              <w:t>tikts atzīt</w:t>
            </w:r>
            <w:r w:rsidR="002B73D2" w:rsidRPr="002112E0">
              <w:rPr>
                <w:color w:val="auto"/>
              </w:rPr>
              <w:t>s</w:t>
            </w:r>
            <w:r w:rsidRPr="002112E0">
              <w:rPr>
                <w:color w:val="auto"/>
              </w:rPr>
              <w:t xml:space="preserve"> varas pā</w:t>
            </w:r>
            <w:r w:rsidR="00DE0C06" w:rsidRPr="002112E0">
              <w:rPr>
                <w:color w:val="auto"/>
              </w:rPr>
              <w:t>rstāv</w:t>
            </w:r>
            <w:r w:rsidR="002B73D2" w:rsidRPr="002112E0">
              <w:rPr>
                <w:color w:val="auto"/>
              </w:rPr>
              <w:t>is</w:t>
            </w:r>
            <w:r w:rsidR="00DE0C06" w:rsidRPr="002112E0">
              <w:rPr>
                <w:color w:val="auto"/>
              </w:rPr>
              <w:t xml:space="preserve">, kas nodrošina sabiedrisko kārtību, drošību un </w:t>
            </w:r>
            <w:r w:rsidR="006632E0" w:rsidRPr="002112E0">
              <w:rPr>
                <w:color w:val="auto"/>
              </w:rPr>
              <w:t xml:space="preserve">valsts </w:t>
            </w:r>
            <w:r w:rsidR="00DE0C06" w:rsidRPr="002112E0">
              <w:rPr>
                <w:color w:val="auto"/>
              </w:rPr>
              <w:t>robeža</w:t>
            </w:r>
            <w:r w:rsidR="006632E0" w:rsidRPr="002112E0">
              <w:rPr>
                <w:color w:val="auto"/>
              </w:rPr>
              <w:t>s a</w:t>
            </w:r>
            <w:r w:rsidR="00DE0C06" w:rsidRPr="002112E0">
              <w:rPr>
                <w:color w:val="auto"/>
              </w:rPr>
              <w:t>psardzību, piemēram, policijas darbinieki un robežsargi</w:t>
            </w:r>
            <w:r w:rsidRPr="002112E0">
              <w:rPr>
                <w:color w:val="auto"/>
              </w:rPr>
              <w:t>.</w:t>
            </w:r>
          </w:p>
          <w:p w:rsidR="005D42E1" w:rsidRPr="002112E0" w:rsidRDefault="005D42E1" w:rsidP="005D42E1">
            <w:pPr>
              <w:ind w:firstLine="720"/>
              <w:jc w:val="both"/>
              <w:rPr>
                <w:color w:val="auto"/>
              </w:rPr>
            </w:pPr>
            <w:r w:rsidRPr="002112E0">
              <w:rPr>
                <w:color w:val="auto"/>
              </w:rPr>
              <w:t xml:space="preserve">Varas pārstāvju tiesiskās aizsardzības garantijas ir ietvertas, piemēram, likuma “Par policiju” 22. pantā, kurā </w:t>
            </w:r>
            <w:r w:rsidRPr="002112E0">
              <w:rPr>
                <w:color w:val="auto"/>
              </w:rPr>
              <w:lastRenderedPageBreak/>
              <w:t>noteikts, ka policijas darbinieks ir valsts varas pārstāvis, un likumīgās prasības un rīkojumi, ko viņš izvirzījis vai devis, pildot dienesta pienākumus, visām personām ir obligāti jāizpilda. Nepakļaušanās policijas darbinieka likumīgajām prasībām ir sodāma. Policijas darbinieks atrodas valsts aizsardzībā, viņa godu un cieņu aizsargā valsts. Policijas darbinieka goda aizskaršana, pretošanās viņam, viņa dzīvības un veselības apdraudējums, kā arī rīcība, kura traucē pildīt dienesta pienākumus, ir sodāma Latvijas Republikas likumos noteiktajā kārtībā.</w:t>
            </w:r>
          </w:p>
          <w:p w:rsidR="00CD6F9B" w:rsidRPr="002112E0" w:rsidRDefault="005D42E1" w:rsidP="00CD6F9B">
            <w:pPr>
              <w:ind w:firstLine="720"/>
              <w:jc w:val="both"/>
              <w:rPr>
                <w:color w:val="auto"/>
              </w:rPr>
            </w:pPr>
            <w:r w:rsidRPr="002112E0">
              <w:rPr>
                <w:color w:val="auto"/>
              </w:rPr>
              <w:t>Robežsarga tiesiskā aizsardzība ir paredzēta Valsts robežsardzes likuma 10. pantā, nosakot, ka robežsargs ir robežsardzes amatpersona, kurai piešķirta speciālā dienesta pakāpe. Robežsargs atrodas valsts aizsardzībā — viņa dzīvību un veselību aizsargā valsts. Robežsarga likumīgā prasība, ko viņš izvirzījis, pildot dienesta pienākumu, personai ir obligāta.</w:t>
            </w:r>
          </w:p>
          <w:p w:rsidR="00CD6F9B" w:rsidRDefault="005D42E1" w:rsidP="00CD6F9B">
            <w:pPr>
              <w:ind w:firstLine="720"/>
              <w:jc w:val="both"/>
              <w:rPr>
                <w:color w:val="auto"/>
              </w:rPr>
            </w:pPr>
            <w:r w:rsidRPr="002112E0">
              <w:rPr>
                <w:color w:val="auto"/>
              </w:rPr>
              <w:t xml:space="preserve">No </w:t>
            </w:r>
            <w:r w:rsidRPr="002112E0">
              <w:rPr>
                <w:b/>
                <w:color w:val="auto"/>
              </w:rPr>
              <w:t>objektīvās puses</w:t>
            </w:r>
            <w:r w:rsidRPr="002112E0">
              <w:rPr>
                <w:color w:val="auto"/>
              </w:rPr>
              <w:t xml:space="preserve"> nodarījums izpaudīsies aktīvās darbībās, kas raksturojas ar valsts varas pārstā</w:t>
            </w:r>
            <w:r w:rsidR="00DE0C06" w:rsidRPr="002112E0">
              <w:rPr>
                <w:color w:val="auto"/>
              </w:rPr>
              <w:t>v</w:t>
            </w:r>
            <w:r w:rsidRPr="002112E0">
              <w:rPr>
                <w:color w:val="auto"/>
              </w:rPr>
              <w:t>ja goda un cieņas aizskaršanu. Gods ir personības sabiedriskais novērtējums, kura mēraukla ir paša indivīda uzvedība, viņa attieksme pret sociālām un garīgām vērtībām, sabiedrību, līdzcilvēkiem. Cieņa ir cilvēka pašnovērtējums, kurš pamatojas uz tam ieaudzinātajām un piemītošajām īpašībām. Šīs abas morālās kategorijas ir cieši saistītas un nosaka cilvēka reputāciju (statusu sabiedrībā), kura ietver cilvēka domas par sevi un citu domas par šo cilvēku. Goda aizskaršana un cieņas pazemošana var notikt mutvārdos, kad cietušā vai kādas trešās personas klātbūtnē tiek izteikts cietušās personas fizisko, garīgo vai morālo īpašību novērtējums nepieklājīgā veidā vai tiek lietoti rupji vai lamu vārdi. Goda aizskaršana un cieņas pazemošana var notikt arī rakstveidā. Goda aizskaršana un cieņas pazemošana var notikt arī ar darbību – iesitot pļauku, iespļaujot sejā, izdarot nepieklājīgus žestus.</w:t>
            </w:r>
          </w:p>
          <w:p w:rsidR="00B54B8D" w:rsidRPr="00B54B8D" w:rsidRDefault="007B6800" w:rsidP="00CD6F9B">
            <w:pPr>
              <w:ind w:firstLine="720"/>
              <w:jc w:val="both"/>
              <w:rPr>
                <w:color w:val="auto"/>
                <w:shd w:val="clear" w:color="auto" w:fill="FFFFFF"/>
              </w:rPr>
            </w:pPr>
            <w:r>
              <w:rPr>
                <w:color w:val="auto"/>
              </w:rPr>
              <w:t xml:space="preserve">Jāņem vērā, ka šī norma neierobežo personas tiesības brīvi paust viedokli, izteikt kritiku. </w:t>
            </w:r>
            <w:r>
              <w:t xml:space="preserve">Nosakot robežu starp tiesībām uz vārda brīvību un tiesībām uz goda un cieņas aizsardzību, nepieciešams nodrošināt līdzsvaru, lai nevienas no šīm tiesībām netiktu nesamērīgi ierobežotas. </w:t>
            </w:r>
            <w:r w:rsidR="00B54B8D">
              <w:t>Minētā norma ierobežo</w:t>
            </w:r>
            <w:r>
              <w:t xml:space="preserve"> vārda brīvību, taču šāds </w:t>
            </w:r>
            <w:r w:rsidR="00B54B8D">
              <w:t>ierobežojums ir</w:t>
            </w:r>
            <w:r>
              <w:t xml:space="preserve"> saskaņā ar Satversmes 116.</w:t>
            </w:r>
            <w:r w:rsidR="00B54B8D">
              <w:t xml:space="preserve"> </w:t>
            </w:r>
            <w:r>
              <w:t>pantu –</w:t>
            </w:r>
            <w:r w:rsidR="00B54B8D">
              <w:t xml:space="preserve"> </w:t>
            </w:r>
            <w:r w:rsidR="00B54B8D" w:rsidRPr="00B54B8D">
              <w:rPr>
                <w:color w:val="auto"/>
                <w:shd w:val="clear" w:color="auto" w:fill="FFFFFF"/>
              </w:rPr>
              <w:t>lai aizsargātu citu cilvēku tiesības, demokrātisko valsts iekārtu, sabiedrības drošību, labklājību un tikumību.</w:t>
            </w:r>
            <w:r w:rsidR="0095707C">
              <w:rPr>
                <w:color w:val="auto"/>
                <w:shd w:val="clear" w:color="auto" w:fill="FFFFFF"/>
              </w:rPr>
              <w:t xml:space="preserve"> T</w:t>
            </w:r>
            <w:r w:rsidR="0095707C">
              <w:rPr>
                <w:color w:val="101820"/>
              </w:rPr>
              <w:t>as nozīmē, ka Satversmes 100. pantā noteiktās tiesības uz vārda brīvību nav absolūtas, un, kā norādījusi Satversmes tiesa: "Valsts var noteikt vārda brīvības ierobežojumus, kad personas tiesības uz vārda brīvību tieši ietekmē citu personu tiesības, kā arī gadījumos, kad vārda brīvība rada nepārprotamus un tiešus draudus sabiedrībai" (Satversmes tiesas 2003. gada 29. oktobra sprieduma lietā Nr. 2003-05-01 22.punkts).</w:t>
            </w:r>
          </w:p>
          <w:p w:rsidR="00CD6F9B" w:rsidRPr="002112E0" w:rsidRDefault="005D42E1" w:rsidP="00CD6F9B">
            <w:pPr>
              <w:ind w:firstLine="720"/>
              <w:jc w:val="both"/>
              <w:rPr>
                <w:color w:val="auto"/>
              </w:rPr>
            </w:pPr>
            <w:r w:rsidRPr="002112E0">
              <w:rPr>
                <w:b/>
                <w:color w:val="auto"/>
              </w:rPr>
              <w:lastRenderedPageBreak/>
              <w:t xml:space="preserve">Nozieguma sastāvs </w:t>
            </w:r>
            <w:r w:rsidR="009F0B2B" w:rsidRPr="002112E0">
              <w:rPr>
                <w:b/>
                <w:color w:val="auto"/>
              </w:rPr>
              <w:t xml:space="preserve">būs </w:t>
            </w:r>
            <w:r w:rsidRPr="002112E0">
              <w:rPr>
                <w:b/>
                <w:color w:val="auto"/>
              </w:rPr>
              <w:t>formāls</w:t>
            </w:r>
            <w:r w:rsidRPr="002112E0">
              <w:rPr>
                <w:color w:val="auto"/>
              </w:rPr>
              <w:t xml:space="preserve"> – noziegums pabeigts ar goda un cieņas aizskaršanas brīdi.</w:t>
            </w:r>
          </w:p>
          <w:p w:rsidR="00CD6F9B" w:rsidRPr="002112E0" w:rsidRDefault="005D42E1" w:rsidP="00CD6F9B">
            <w:pPr>
              <w:ind w:firstLine="720"/>
              <w:jc w:val="both"/>
              <w:rPr>
                <w:color w:val="auto"/>
              </w:rPr>
            </w:pPr>
            <w:r w:rsidRPr="002112E0">
              <w:rPr>
                <w:color w:val="auto"/>
              </w:rPr>
              <w:t xml:space="preserve">No </w:t>
            </w:r>
            <w:r w:rsidRPr="002112E0">
              <w:rPr>
                <w:b/>
                <w:color w:val="auto"/>
              </w:rPr>
              <w:t>subjektīvās puses</w:t>
            </w:r>
            <w:r w:rsidR="009F0B2B" w:rsidRPr="002112E0">
              <w:rPr>
                <w:color w:val="auto"/>
              </w:rPr>
              <w:t xml:space="preserve"> tas būs</w:t>
            </w:r>
            <w:r w:rsidRPr="002112E0">
              <w:rPr>
                <w:color w:val="auto"/>
              </w:rPr>
              <w:t xml:space="preserve"> tīšs noziedzīgs nodarījums, kas raksturojas ar tiešu nodomu, jo persona apzinās, ka aizskar cietušā godu un cieņu saistībā ar viņa likumīgām darbībām.</w:t>
            </w:r>
          </w:p>
          <w:p w:rsidR="00CD6F9B" w:rsidRPr="002112E0" w:rsidRDefault="005D42E1" w:rsidP="00CD6F9B">
            <w:pPr>
              <w:ind w:firstLine="720"/>
              <w:jc w:val="both"/>
              <w:rPr>
                <w:color w:val="auto"/>
              </w:rPr>
            </w:pPr>
            <w:r w:rsidRPr="002112E0">
              <w:rPr>
                <w:color w:val="auto"/>
              </w:rPr>
              <w:t xml:space="preserve">Nozieguma </w:t>
            </w:r>
            <w:r w:rsidRPr="002112E0">
              <w:rPr>
                <w:b/>
                <w:color w:val="auto"/>
              </w:rPr>
              <w:t>subjekts</w:t>
            </w:r>
            <w:r w:rsidRPr="002112E0">
              <w:rPr>
                <w:color w:val="auto"/>
              </w:rPr>
              <w:t xml:space="preserve"> </w:t>
            </w:r>
            <w:r w:rsidR="009F0B2B" w:rsidRPr="002112E0">
              <w:rPr>
                <w:color w:val="auto"/>
              </w:rPr>
              <w:t>-</w:t>
            </w:r>
            <w:r w:rsidRPr="002112E0">
              <w:rPr>
                <w:color w:val="auto"/>
              </w:rPr>
              <w:t xml:space="preserve"> jebkura fiziska, pieskaitāma persona, kas sasniegusi četrpadsmit gadu vecumu.</w:t>
            </w:r>
          </w:p>
          <w:p w:rsidR="00F21766" w:rsidRPr="002112E0" w:rsidRDefault="009F0B2B" w:rsidP="00A46CAB">
            <w:pPr>
              <w:ind w:firstLine="720"/>
              <w:jc w:val="both"/>
              <w:rPr>
                <w:color w:val="auto"/>
              </w:rPr>
            </w:pPr>
            <w:r w:rsidRPr="002112E0">
              <w:rPr>
                <w:color w:val="auto"/>
              </w:rPr>
              <w:t>Likumprojektā ietvertā norma</w:t>
            </w:r>
            <w:r w:rsidR="006632E0" w:rsidRPr="002112E0">
              <w:rPr>
                <w:color w:val="auto"/>
              </w:rPr>
              <w:t xml:space="preserve"> </w:t>
            </w:r>
            <w:r w:rsidR="002837CB" w:rsidRPr="002112E0">
              <w:rPr>
                <w:color w:val="auto"/>
              </w:rPr>
              <w:t xml:space="preserve">paredz </w:t>
            </w:r>
            <w:r w:rsidR="006632E0" w:rsidRPr="002112E0">
              <w:rPr>
                <w:color w:val="auto"/>
              </w:rPr>
              <w:t xml:space="preserve">par </w:t>
            </w:r>
            <w:r w:rsidR="00CD6F9B" w:rsidRPr="002112E0">
              <w:rPr>
                <w:color w:val="auto"/>
              </w:rPr>
              <w:t xml:space="preserve">minēto noziedzīgo nodarījumu </w:t>
            </w:r>
            <w:r w:rsidR="002837CB" w:rsidRPr="002112E0">
              <w:rPr>
                <w:color w:val="auto"/>
              </w:rPr>
              <w:t>noteikt sodu</w:t>
            </w:r>
            <w:r w:rsidR="00CD6F9B" w:rsidRPr="002112E0">
              <w:rPr>
                <w:color w:val="auto"/>
              </w:rPr>
              <w:t xml:space="preserve"> ar brīvības atņemšanu uz laiku līdz vienam gadam vai ar īslaicīgu brīvības atņemšanu, vai ar piespiedu darbu, vai ar naudas sodu</w:t>
            </w:r>
            <w:r w:rsidR="002837CB" w:rsidRPr="002112E0">
              <w:rPr>
                <w:color w:val="auto"/>
              </w:rPr>
              <w:t>, tādējādi paredzot, ka minētais noziedzīgais nodarījums būs</w:t>
            </w:r>
            <w:r w:rsidR="00B6484D" w:rsidRPr="002112E0">
              <w:rPr>
                <w:color w:val="auto"/>
              </w:rPr>
              <w:t xml:space="preserve"> </w:t>
            </w:r>
            <w:r w:rsidR="00B6484D" w:rsidRPr="002112E0">
              <w:rPr>
                <w:b/>
                <w:color w:val="auto"/>
              </w:rPr>
              <w:t>mazāk smags noziegums</w:t>
            </w:r>
            <w:r w:rsidR="00CD6F9B" w:rsidRPr="002112E0">
              <w:rPr>
                <w:color w:val="auto"/>
              </w:rPr>
              <w:t xml:space="preserve">. Nosakot </w:t>
            </w:r>
            <w:r w:rsidR="00A46CAB" w:rsidRPr="002112E0">
              <w:rPr>
                <w:color w:val="auto"/>
              </w:rPr>
              <w:t>likumprojekta normā ietvertā noziedzīgā nodarījuma sodu,</w:t>
            </w:r>
            <w:r w:rsidR="00CD6F9B" w:rsidRPr="002112E0">
              <w:rPr>
                <w:color w:val="auto"/>
              </w:rPr>
              <w:t xml:space="preserve"> tika vērtēti nodaļā “Noziedzīgi nodarījumi pret pārvaldības kārtību” jau ietvertie noziedzīgie nodarījumi un par tiem noteiktās sankcijas un secināts, ka attiecīgās darbības pēc </w:t>
            </w:r>
            <w:r w:rsidR="00A46CAB" w:rsidRPr="002112E0">
              <w:rPr>
                <w:color w:val="auto"/>
              </w:rPr>
              <w:t xml:space="preserve">sava </w:t>
            </w:r>
            <w:r w:rsidR="00CD6F9B" w:rsidRPr="002112E0">
              <w:rPr>
                <w:color w:val="auto"/>
              </w:rPr>
              <w:t>kaitīguma pielīdzināmas Krimināllikuma 270. pantā “Pretošanās varas pārstāvim un citai valsts amatp</w:t>
            </w:r>
            <w:r w:rsidR="00A46CAB" w:rsidRPr="002112E0">
              <w:rPr>
                <w:color w:val="auto"/>
              </w:rPr>
              <w:t xml:space="preserve">ersonai” paredzētajām darbībām, līdz ar ko </w:t>
            </w:r>
            <w:r w:rsidR="00CD6F9B" w:rsidRPr="002112E0">
              <w:rPr>
                <w:color w:val="auto"/>
              </w:rPr>
              <w:t xml:space="preserve">attiecīgi </w:t>
            </w:r>
            <w:r w:rsidR="00A46CAB" w:rsidRPr="002112E0">
              <w:rPr>
                <w:color w:val="auto"/>
              </w:rPr>
              <w:t xml:space="preserve">arī </w:t>
            </w:r>
            <w:r w:rsidR="00CD6F9B" w:rsidRPr="002112E0">
              <w:rPr>
                <w:color w:val="auto"/>
              </w:rPr>
              <w:t>sankcija tika noteikta identiska.</w:t>
            </w:r>
          </w:p>
          <w:p w:rsidR="002112E0" w:rsidRPr="002112E0" w:rsidRDefault="002112E0" w:rsidP="002112E0">
            <w:pPr>
              <w:jc w:val="both"/>
              <w:rPr>
                <w:color w:val="auto"/>
              </w:rPr>
            </w:pPr>
            <w:r w:rsidRPr="002112E0">
              <w:rPr>
                <w:color w:val="auto"/>
              </w:rPr>
              <w:t>Vienlaikus norādām, ka atbilstoši Kriminālprocesa likuma 387.panta vienpadsmitajai daļā noteiktajam k</w:t>
            </w:r>
            <w:r w:rsidRPr="002112E0">
              <w:rPr>
                <w:color w:val="auto"/>
                <w:shd w:val="clear" w:color="auto" w:fill="FFFFFF"/>
              </w:rPr>
              <w:t>onkrētu noziedzīgu nodarījumu institucionālo piekritību nosaka ģenerālprokurors.</w:t>
            </w:r>
          </w:p>
        </w:tc>
      </w:tr>
      <w:tr w:rsidR="00F21766" w:rsidRPr="005D42E1" w:rsidTr="00F21766">
        <w:trPr>
          <w:trHeight w:val="46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center"/>
              <w:rPr>
                <w:color w:val="auto"/>
              </w:rPr>
            </w:pPr>
            <w:r w:rsidRPr="005D42E1">
              <w:rPr>
                <w:color w:val="auto"/>
              </w:rPr>
              <w:lastRenderedPageBreak/>
              <w:t>3.</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Projekta izstrādē iesaistītās institūcijas un publiskas personas kapitālsabiedrības</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spacing w:after="120"/>
              <w:jc w:val="both"/>
              <w:rPr>
                <w:color w:val="auto"/>
              </w:rPr>
            </w:pPr>
            <w:r w:rsidRPr="005D42E1">
              <w:rPr>
                <w:color w:val="auto"/>
              </w:rPr>
              <w:t>Iekšlietu ministrija, Valsts policija.</w:t>
            </w:r>
          </w:p>
        </w:tc>
      </w:tr>
      <w:tr w:rsidR="00F21766" w:rsidRPr="005D42E1" w:rsidTr="00F21766">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center"/>
              <w:rPr>
                <w:color w:val="auto"/>
              </w:rPr>
            </w:pPr>
            <w:r w:rsidRPr="005D42E1">
              <w:rPr>
                <w:color w:val="auto"/>
              </w:rPr>
              <w:t>4.</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Cita informācija</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Nav</w:t>
            </w:r>
          </w:p>
        </w:tc>
      </w:tr>
    </w:tbl>
    <w:p w:rsidR="00F21766" w:rsidRPr="005D42E1" w:rsidRDefault="00F21766" w:rsidP="00F21766">
      <w:pPr>
        <w:shd w:val="clear" w:color="auto" w:fill="FFFFFF"/>
        <w:ind w:firstLine="300"/>
        <w:rPr>
          <w:color w:val="auto"/>
        </w:rPr>
      </w:pPr>
    </w:p>
    <w:tbl>
      <w:tblPr>
        <w:tblW w:w="9072" w:type="dxa"/>
        <w:tblInd w:w="-8"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567"/>
        <w:gridCol w:w="2441"/>
        <w:gridCol w:w="6064"/>
      </w:tblGrid>
      <w:tr w:rsidR="00F21766" w:rsidRPr="005D42E1" w:rsidTr="00F21766">
        <w:trPr>
          <w:trHeight w:val="220"/>
        </w:trPr>
        <w:tc>
          <w:tcPr>
            <w:tcW w:w="9072" w:type="dxa"/>
            <w:gridSpan w:val="3"/>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b/>
                <w:color w:val="auto"/>
              </w:rPr>
            </w:pPr>
            <w:r w:rsidRPr="005D42E1">
              <w:rPr>
                <w:b/>
                <w:color w:val="auto"/>
              </w:rPr>
              <w:t>II. Tiesību akta projekta ietekme uz sabiedrību, tautsaimniecības attīstību un administratīvo slogu</w:t>
            </w:r>
          </w:p>
        </w:tc>
      </w:tr>
      <w:tr w:rsidR="00F21766" w:rsidRPr="005D42E1" w:rsidTr="00F21766">
        <w:trPr>
          <w:trHeight w:val="46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1.</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Sabiedrības mērķgrupas, kuras tiesiskais regulējums ietekmē vai varētu ietekmēt</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CD6F9B" w:rsidP="00CD6F9B">
            <w:pPr>
              <w:shd w:val="clear" w:color="auto" w:fill="FFFFFF"/>
              <w:ind w:right="57"/>
              <w:jc w:val="both"/>
              <w:rPr>
                <w:color w:val="auto"/>
              </w:rPr>
            </w:pPr>
            <w:r>
              <w:t>J</w:t>
            </w:r>
            <w:r w:rsidRPr="005D42E1">
              <w:t>ebkura fiziska, pieskaitāma persona, kas sasniegusi četrpadsmit gadu vecumu</w:t>
            </w:r>
            <w:r>
              <w:t xml:space="preserve"> un veic likumprojektā paredzētās kriminālsodāmās darbības.</w:t>
            </w:r>
          </w:p>
        </w:tc>
      </w:tr>
      <w:tr w:rsidR="00F21766" w:rsidRPr="005D42E1" w:rsidTr="00F21766">
        <w:trPr>
          <w:trHeight w:val="50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2.</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Tiesiskā regulējuma ietekme uz tautsaimniecību un administratīvo slogu</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both"/>
              <w:rPr>
                <w:color w:val="auto"/>
              </w:rPr>
            </w:pPr>
            <w:r w:rsidRPr="005D42E1">
              <w:rPr>
                <w:color w:val="auto"/>
              </w:rPr>
              <w:t>Šobrīd likumprojekta ietekme uz tautsaimniecību un administratīvo slogu nav nosakāma.</w:t>
            </w:r>
          </w:p>
          <w:p w:rsidR="00F21766" w:rsidRPr="005D42E1" w:rsidRDefault="00F21766" w:rsidP="00CD6F9B">
            <w:pPr>
              <w:jc w:val="both"/>
              <w:rPr>
                <w:color w:val="auto"/>
              </w:rPr>
            </w:pPr>
          </w:p>
        </w:tc>
      </w:tr>
      <w:tr w:rsidR="00F21766" w:rsidRPr="005D42E1" w:rsidTr="00F21766">
        <w:trPr>
          <w:trHeight w:val="50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3.</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Administratīvo izmaksu monetārs novērtējums</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spacing w:after="120"/>
              <w:jc w:val="both"/>
              <w:rPr>
                <w:color w:val="auto"/>
              </w:rPr>
            </w:pPr>
            <w:r w:rsidRPr="005D42E1">
              <w:rPr>
                <w:color w:val="auto"/>
              </w:rPr>
              <w:t>Likumprojekts šo jomu neskar.</w:t>
            </w:r>
          </w:p>
          <w:p w:rsidR="00F21766" w:rsidRPr="005D42E1" w:rsidRDefault="00F21766" w:rsidP="00CD6F9B">
            <w:pPr>
              <w:spacing w:after="120"/>
              <w:jc w:val="both"/>
              <w:rPr>
                <w:color w:val="auto"/>
              </w:rPr>
            </w:pPr>
          </w:p>
        </w:tc>
      </w:tr>
      <w:tr w:rsidR="00F21766" w:rsidRPr="005D42E1" w:rsidTr="00F21766">
        <w:trPr>
          <w:trHeight w:val="50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4.</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Atbilstības izmaksu monetārs novērtējums</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Likumprojekts šo jomu neskar.</w:t>
            </w:r>
          </w:p>
          <w:p w:rsidR="00F21766" w:rsidRPr="005D42E1" w:rsidRDefault="00F21766" w:rsidP="00CD6F9B">
            <w:pPr>
              <w:rPr>
                <w:color w:val="auto"/>
              </w:rPr>
            </w:pPr>
          </w:p>
          <w:p w:rsidR="00F21766" w:rsidRPr="005D42E1" w:rsidRDefault="00F21766" w:rsidP="00CD6F9B">
            <w:pPr>
              <w:rPr>
                <w:color w:val="auto"/>
              </w:rPr>
            </w:pPr>
          </w:p>
        </w:tc>
      </w:tr>
      <w:tr w:rsidR="00F21766" w:rsidRPr="005D42E1" w:rsidTr="00F21766">
        <w:trPr>
          <w:trHeight w:val="340"/>
        </w:trPr>
        <w:tc>
          <w:tcPr>
            <w:tcW w:w="56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5.</w:t>
            </w:r>
          </w:p>
        </w:tc>
        <w:tc>
          <w:tcPr>
            <w:tcW w:w="244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Cita informācija</w:t>
            </w:r>
          </w:p>
        </w:tc>
        <w:tc>
          <w:tcPr>
            <w:tcW w:w="6064"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Nav</w:t>
            </w:r>
          </w:p>
        </w:tc>
      </w:tr>
    </w:tbl>
    <w:p w:rsidR="00F21766" w:rsidRPr="005D42E1" w:rsidRDefault="00F21766" w:rsidP="00F21766">
      <w:pPr>
        <w:shd w:val="clear" w:color="auto" w:fill="FFFFFF"/>
        <w:ind w:firstLine="300"/>
        <w:rPr>
          <w:rFonts w:eastAsia="Arial"/>
          <w:color w:val="auto"/>
        </w:rPr>
      </w:pPr>
      <w:r w:rsidRPr="005D42E1">
        <w:rPr>
          <w:rFonts w:eastAsia="Arial"/>
          <w:color w:val="auto"/>
        </w:rPr>
        <w:t> </w:t>
      </w:r>
    </w:p>
    <w:tbl>
      <w:tblPr>
        <w:tblW w:w="5245" w:type="pct"/>
        <w:tblInd w:w="-434"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282"/>
        <w:gridCol w:w="1017"/>
        <w:gridCol w:w="1134"/>
        <w:gridCol w:w="902"/>
        <w:gridCol w:w="1134"/>
        <w:gridCol w:w="902"/>
        <w:gridCol w:w="1134"/>
        <w:gridCol w:w="994"/>
      </w:tblGrid>
      <w:tr w:rsidR="00F21766" w:rsidRPr="005D42E1" w:rsidTr="00F21766">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b/>
                <w:bCs/>
                <w:color w:val="auto"/>
              </w:rPr>
            </w:pPr>
            <w:r w:rsidRPr="005D42E1">
              <w:rPr>
                <w:b/>
                <w:bCs/>
                <w:color w:val="auto"/>
              </w:rPr>
              <w:t>III. Tiesību akta projekta ietekme uz valsts budžetu un pašvaldību budžetiem</w:t>
            </w:r>
          </w:p>
        </w:tc>
      </w:tr>
      <w:tr w:rsidR="00F21766" w:rsidRPr="005D42E1" w:rsidTr="00F21766">
        <w:tc>
          <w:tcPr>
            <w:tcW w:w="124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lastRenderedPageBreak/>
              <w:t>Rādītāji</w:t>
            </w:r>
          </w:p>
        </w:tc>
        <w:tc>
          <w:tcPr>
            <w:tcW w:w="1217"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bCs/>
                <w:color w:val="auto"/>
                <w:lang w:eastAsia="en-US"/>
              </w:rPr>
              <w:t>2020</w:t>
            </w:r>
          </w:p>
        </w:tc>
        <w:tc>
          <w:tcPr>
            <w:tcW w:w="2539"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Turpmākie trīs gadi (</w:t>
            </w:r>
            <w:r w:rsidRPr="005D42E1">
              <w:rPr>
                <w:i/>
                <w:iCs/>
                <w:color w:val="auto"/>
              </w:rPr>
              <w:t>euro</w:t>
            </w:r>
            <w:r w:rsidRPr="005D42E1">
              <w:rPr>
                <w:color w:val="auto"/>
              </w:rPr>
              <w:t>)</w:t>
            </w:r>
          </w:p>
        </w:tc>
      </w:tr>
      <w:tr w:rsidR="00F21766" w:rsidRPr="005D42E1" w:rsidTr="00F21766">
        <w:tc>
          <w:tcPr>
            <w:tcW w:w="124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115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bCs/>
                <w:color w:val="auto"/>
                <w:lang w:eastAsia="en-US"/>
              </w:rPr>
              <w:t>2021</w:t>
            </w:r>
          </w:p>
        </w:tc>
        <w:tc>
          <w:tcPr>
            <w:tcW w:w="115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bCs/>
                <w:color w:val="auto"/>
                <w:lang w:eastAsia="en-US"/>
              </w:rPr>
              <w:t>2022</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bCs/>
                <w:color w:val="auto"/>
                <w:lang w:eastAsia="en-US"/>
              </w:rPr>
              <w:t>2023</w:t>
            </w:r>
          </w:p>
        </w:tc>
      </w:tr>
      <w:tr w:rsidR="005D42E1" w:rsidRPr="005D42E1" w:rsidTr="00F21766">
        <w:tc>
          <w:tcPr>
            <w:tcW w:w="1244"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saskaņā ar valsts budžetu kārtējam gadam</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izmaiņas kārtējā gadā, salīdzinot ar valsts budžetu kārtējam gadam</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saskaņā ar vidēja termiņa budžeta ietvaru</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izmaiņas, salīdzinot ar vidēja termiņa budžeta ietvaru n+1 gadam</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saskaņā ar vidēja termiņa budžeta ietvaru</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izmaiņas, salīdzinot ar vidēja termiņa budžeta ietvaru n+2 gadam</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izmaiņas, salīdzinot ar vidēja termiņa budžeta ietvaru n+2 gadam</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1</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2</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3</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4</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5</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6</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7</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93" w:lineRule="atLeast"/>
              <w:jc w:val="center"/>
              <w:rPr>
                <w:color w:val="auto"/>
              </w:rPr>
            </w:pPr>
            <w:r w:rsidRPr="005D42E1">
              <w:rPr>
                <w:color w:val="auto"/>
              </w:rPr>
              <w:t>8</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1. Budžeta ieņēmumi</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1.1. valsts pamatbudžets, tai skaitā ieņēmumi no maksas pakalpojumiem un citi pašu ieņēmumi</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1.2. valsts speciālais 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1.3. pašvaldību 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2. Budžeta izdevumi</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2.1. valsts pamatbudžets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2.2. valsts speciālais 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2.3. pašvaldību 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3. Finansiālā ietekme</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3.1. valsts pamatbudžets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3.2. speciālais 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3.3. pašvaldību budžets</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4. Finanšu līdzekļi papildu izdevumu finansēšanai (kompensējošu izdevumu samazinājumu norāda ar "+" zīmi)</w:t>
            </w:r>
          </w:p>
        </w:tc>
        <w:tc>
          <w:tcPr>
            <w:tcW w:w="5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5. Precizēta finansiālā ietekme</w:t>
            </w:r>
          </w:p>
        </w:tc>
        <w:tc>
          <w:tcPr>
            <w:tcW w:w="5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517"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5.1. valsts pamatbudžets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lastRenderedPageBreak/>
              <w:t>5.2. speciālais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5D42E1"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5.3. pašvaldību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c>
          <w:tcPr>
            <w:tcW w:w="63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c>
          <w:tcPr>
            <w:tcW w:w="2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F21766"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6. Detalizēts ieņēmumu un izdevumu aprēķins (ja nepieciešams, detalizētu ieņēmumu un izdevumu aprēķinu var pievienot anotācijas pielikumā)</w:t>
            </w:r>
          </w:p>
        </w:tc>
        <w:tc>
          <w:tcPr>
            <w:tcW w:w="3756"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 </w:t>
            </w:r>
          </w:p>
        </w:tc>
      </w:tr>
      <w:tr w:rsidR="00F21766"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6.1. detalizēts ieņēmumu aprēķins</w:t>
            </w:r>
          </w:p>
        </w:tc>
        <w:tc>
          <w:tcPr>
            <w:tcW w:w="3756"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r>
      <w:tr w:rsidR="00F21766"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6.2. detalizēts izdevumu aprēķins</w:t>
            </w:r>
          </w:p>
        </w:tc>
        <w:tc>
          <w:tcPr>
            <w:tcW w:w="3756"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r>
      <w:tr w:rsidR="00F21766"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7. Amata vietu skaita izmaiņas</w:t>
            </w:r>
          </w:p>
        </w:tc>
        <w:tc>
          <w:tcPr>
            <w:tcW w:w="3756"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p>
        </w:tc>
      </w:tr>
      <w:tr w:rsidR="00F21766" w:rsidRPr="005D42E1" w:rsidTr="00F21766">
        <w:tc>
          <w:tcPr>
            <w:tcW w:w="1244" w:type="pct"/>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CD6F9B">
            <w:pPr>
              <w:pBdr>
                <w:top w:val="none" w:sz="0" w:space="0" w:color="auto"/>
                <w:left w:val="none" w:sz="0" w:space="0" w:color="auto"/>
                <w:bottom w:val="none" w:sz="0" w:space="0" w:color="auto"/>
                <w:right w:val="none" w:sz="0" w:space="0" w:color="auto"/>
                <w:between w:val="none" w:sz="0" w:space="0" w:color="auto"/>
              </w:pBdr>
              <w:rPr>
                <w:color w:val="auto"/>
              </w:rPr>
            </w:pPr>
            <w:r w:rsidRPr="005D42E1">
              <w:rPr>
                <w:color w:val="auto"/>
              </w:rPr>
              <w:t>8. Cita informācija</w:t>
            </w:r>
          </w:p>
        </w:tc>
        <w:tc>
          <w:tcPr>
            <w:tcW w:w="3756"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rsidR="00F21766" w:rsidRPr="005D42E1" w:rsidRDefault="00F21766" w:rsidP="00F21766">
            <w:pPr>
              <w:pBdr>
                <w:top w:val="none" w:sz="0" w:space="0" w:color="auto"/>
                <w:left w:val="none" w:sz="0" w:space="0" w:color="auto"/>
                <w:bottom w:val="none" w:sz="0" w:space="0" w:color="auto"/>
                <w:right w:val="none" w:sz="0" w:space="0" w:color="auto"/>
                <w:between w:val="none" w:sz="0" w:space="0" w:color="auto"/>
              </w:pBdr>
              <w:jc w:val="both"/>
              <w:rPr>
                <w:color w:val="auto"/>
              </w:rPr>
            </w:pPr>
            <w:r w:rsidRPr="005D42E1">
              <w:rPr>
                <w:color w:val="auto"/>
              </w:rPr>
              <w:t>Valsts budžeta ieņēmumi nav precīzi aprēķināmi, jo nav iespējams paredzēt, kāds būs sodīto personu skaits un tām piemēroto naudas sodu apmērs, kas atkarīgs no attiecīgās lietas faktiskajiem apstākļiem.</w:t>
            </w:r>
          </w:p>
        </w:tc>
      </w:tr>
    </w:tbl>
    <w:p w:rsidR="00F21766" w:rsidRPr="005D42E1" w:rsidRDefault="00F21766" w:rsidP="00F21766">
      <w:pPr>
        <w:shd w:val="clear" w:color="auto" w:fill="FFFFFF"/>
        <w:ind w:firstLine="300"/>
        <w:rPr>
          <w:color w:val="auto"/>
        </w:rPr>
      </w:pPr>
    </w:p>
    <w:tbl>
      <w:tblPr>
        <w:tblW w:w="9498" w:type="dxa"/>
        <w:tblInd w:w="-434"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9498"/>
      </w:tblGrid>
      <w:tr w:rsidR="00F21766" w:rsidRPr="005D42E1" w:rsidTr="00F21766">
        <w:tc>
          <w:tcPr>
            <w:tcW w:w="9498" w:type="dxa"/>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b/>
                <w:color w:val="auto"/>
              </w:rPr>
            </w:pPr>
            <w:r w:rsidRPr="005D42E1">
              <w:rPr>
                <w:b/>
                <w:color w:val="auto"/>
              </w:rPr>
              <w:t>IV. Tiesību akta projekta ietekme uz spēkā esošo tiesību normu sistēmu</w:t>
            </w:r>
          </w:p>
        </w:tc>
      </w:tr>
      <w:tr w:rsidR="00F21766" w:rsidRPr="005D42E1" w:rsidTr="00F21766">
        <w:tc>
          <w:tcPr>
            <w:tcW w:w="9498" w:type="dxa"/>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color w:val="auto"/>
              </w:rPr>
            </w:pPr>
            <w:r w:rsidRPr="005D42E1">
              <w:rPr>
                <w:color w:val="auto"/>
              </w:rPr>
              <w:t>Likumprojekts šo jomu neskar.</w:t>
            </w:r>
          </w:p>
          <w:p w:rsidR="00F21766" w:rsidRPr="005D42E1" w:rsidRDefault="00F21766" w:rsidP="00CD6F9B">
            <w:pPr>
              <w:jc w:val="center"/>
              <w:rPr>
                <w:color w:val="auto"/>
              </w:rPr>
            </w:pPr>
          </w:p>
        </w:tc>
      </w:tr>
    </w:tbl>
    <w:p w:rsidR="00F21766" w:rsidRPr="005D42E1" w:rsidRDefault="00F21766" w:rsidP="00F21766">
      <w:pPr>
        <w:shd w:val="clear" w:color="auto" w:fill="FFFFFF"/>
        <w:rPr>
          <w:color w:val="auto"/>
        </w:rPr>
      </w:pPr>
    </w:p>
    <w:p w:rsidR="00F21766" w:rsidRPr="005D42E1" w:rsidRDefault="00F21766" w:rsidP="00F21766">
      <w:pPr>
        <w:shd w:val="clear" w:color="auto" w:fill="FFFFFF"/>
        <w:rPr>
          <w:color w:val="auto"/>
        </w:rPr>
      </w:pPr>
    </w:p>
    <w:tbl>
      <w:tblPr>
        <w:tblW w:w="9498" w:type="dxa"/>
        <w:tblInd w:w="-434"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9498"/>
      </w:tblGrid>
      <w:tr w:rsidR="00F21766" w:rsidRPr="005D42E1" w:rsidTr="00F21766">
        <w:tc>
          <w:tcPr>
            <w:tcW w:w="9498" w:type="dxa"/>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b/>
                <w:color w:val="auto"/>
              </w:rPr>
            </w:pPr>
            <w:r w:rsidRPr="005D42E1">
              <w:rPr>
                <w:b/>
                <w:color w:val="auto"/>
              </w:rPr>
              <w:t>V. Tiesību akta projekta atbilstība Latvijas Republikas starptautiskajām saistībām</w:t>
            </w:r>
          </w:p>
        </w:tc>
      </w:tr>
      <w:tr w:rsidR="00F21766" w:rsidRPr="005D42E1" w:rsidTr="00F21766">
        <w:tc>
          <w:tcPr>
            <w:tcW w:w="9498" w:type="dxa"/>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color w:val="auto"/>
              </w:rPr>
            </w:pPr>
            <w:r w:rsidRPr="005D42E1">
              <w:rPr>
                <w:color w:val="auto"/>
              </w:rPr>
              <w:t>Likumprojekts šo jomu neskar.</w:t>
            </w:r>
          </w:p>
          <w:p w:rsidR="00F21766" w:rsidRPr="005D42E1" w:rsidRDefault="00F21766" w:rsidP="00CD6F9B">
            <w:pPr>
              <w:jc w:val="center"/>
              <w:rPr>
                <w:color w:val="auto"/>
              </w:rPr>
            </w:pPr>
          </w:p>
        </w:tc>
      </w:tr>
    </w:tbl>
    <w:p w:rsidR="00F21766" w:rsidRPr="005D42E1" w:rsidRDefault="00F21766" w:rsidP="00F21766">
      <w:pPr>
        <w:shd w:val="clear" w:color="auto" w:fill="FFFFFF"/>
        <w:ind w:firstLine="300"/>
        <w:rPr>
          <w:color w:val="auto"/>
        </w:rPr>
      </w:pPr>
      <w:r w:rsidRPr="005D42E1">
        <w:rPr>
          <w:rFonts w:eastAsia="Arial"/>
          <w:color w:val="auto"/>
        </w:rPr>
        <w:t> </w:t>
      </w:r>
    </w:p>
    <w:tbl>
      <w:tblPr>
        <w:tblW w:w="9348" w:type="dxa"/>
        <w:jc w:val="center"/>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001"/>
        <w:gridCol w:w="2055"/>
        <w:gridCol w:w="6292"/>
      </w:tblGrid>
      <w:tr w:rsidR="00F21766" w:rsidRPr="005D42E1" w:rsidTr="00B6484D">
        <w:trPr>
          <w:trHeight w:val="420"/>
          <w:jc w:val="center"/>
        </w:trPr>
        <w:tc>
          <w:tcPr>
            <w:tcW w:w="9348" w:type="dxa"/>
            <w:gridSpan w:val="3"/>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b/>
                <w:color w:val="auto"/>
              </w:rPr>
            </w:pPr>
            <w:r w:rsidRPr="005D42E1">
              <w:rPr>
                <w:rFonts w:eastAsia="Arial"/>
                <w:color w:val="auto"/>
              </w:rPr>
              <w:t> </w:t>
            </w:r>
            <w:r w:rsidRPr="005D42E1">
              <w:rPr>
                <w:b/>
                <w:color w:val="auto"/>
              </w:rPr>
              <w:t>VI. Sabiedrības līdzdalība un komunikācijas aktivitātes</w:t>
            </w:r>
          </w:p>
        </w:tc>
      </w:tr>
      <w:tr w:rsidR="00F21766" w:rsidRPr="005D42E1" w:rsidTr="00B6484D">
        <w:trPr>
          <w:trHeight w:val="540"/>
          <w:jc w:val="center"/>
        </w:trPr>
        <w:tc>
          <w:tcPr>
            <w:tcW w:w="100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1.</w:t>
            </w:r>
          </w:p>
        </w:tc>
        <w:tc>
          <w:tcPr>
            <w:tcW w:w="2055"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Plānotās sabiedrības līdzdalības un komunikācijas aktivitātes saistībā ar projektu</w:t>
            </w:r>
          </w:p>
        </w:tc>
        <w:tc>
          <w:tcPr>
            <w:tcW w:w="6292" w:type="dxa"/>
            <w:tcBorders>
              <w:top w:val="single" w:sz="6" w:space="0" w:color="414142"/>
              <w:left w:val="single" w:sz="6" w:space="0" w:color="414142"/>
              <w:bottom w:val="single" w:sz="6" w:space="0" w:color="414142"/>
              <w:right w:val="single" w:sz="6" w:space="0" w:color="414142"/>
            </w:tcBorders>
          </w:tcPr>
          <w:p w:rsidR="00F21766" w:rsidRPr="005D42E1" w:rsidRDefault="002A5FAC" w:rsidP="00CD6F9B">
            <w:pPr>
              <w:spacing w:after="120"/>
              <w:jc w:val="both"/>
              <w:rPr>
                <w:color w:val="auto"/>
              </w:rPr>
            </w:pPr>
            <w:r w:rsidRPr="00F81219">
              <w:t xml:space="preserve">Atbilstoši Ministru kabineta 2009. gada 25. augusta noteikumiem Nr. 970 "Sabiedrības līdzdalības kārtība attīstības plānošanas procesā", lai informētu sabiedrību par </w:t>
            </w:r>
            <w:r>
              <w:t>likum</w:t>
            </w:r>
            <w:r w:rsidRPr="00B40578">
              <w:t xml:space="preserve">projektu un dotu iespēju izteikt viedokli, informācija par </w:t>
            </w:r>
            <w:r>
              <w:t>likum</w:t>
            </w:r>
            <w:r w:rsidRPr="00B40578">
              <w:t>projektu ievietota</w:t>
            </w:r>
            <w:r w:rsidRPr="00F81219">
              <w:t xml:space="preserve"> </w:t>
            </w:r>
            <w:r>
              <w:t>Iekšlietu</w:t>
            </w:r>
            <w:r w:rsidRPr="00F81219">
              <w:t xml:space="preserve"> ministrija</w:t>
            </w:r>
            <w:r>
              <w:t>s un Valsts kancelejas tīmekļa vietnē</w:t>
            </w:r>
            <w:r w:rsidRPr="00F81219">
              <w:t>.</w:t>
            </w:r>
          </w:p>
        </w:tc>
      </w:tr>
      <w:tr w:rsidR="00F21766" w:rsidRPr="005D42E1" w:rsidTr="00B6484D">
        <w:trPr>
          <w:trHeight w:val="320"/>
          <w:jc w:val="center"/>
        </w:trPr>
        <w:tc>
          <w:tcPr>
            <w:tcW w:w="100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2.</w:t>
            </w:r>
          </w:p>
        </w:tc>
        <w:tc>
          <w:tcPr>
            <w:tcW w:w="2055"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Sabiedrības līdzdalība projekta izstrādē</w:t>
            </w:r>
          </w:p>
        </w:tc>
        <w:tc>
          <w:tcPr>
            <w:tcW w:w="6292" w:type="dxa"/>
            <w:tcBorders>
              <w:top w:val="single" w:sz="6" w:space="0" w:color="414142"/>
              <w:left w:val="single" w:sz="6" w:space="0" w:color="414142"/>
              <w:bottom w:val="single" w:sz="6" w:space="0" w:color="414142"/>
              <w:right w:val="single" w:sz="6" w:space="0" w:color="414142"/>
            </w:tcBorders>
          </w:tcPr>
          <w:p w:rsidR="00F21766" w:rsidRPr="005D42E1" w:rsidRDefault="002A5FAC" w:rsidP="00CD6F9B">
            <w:pPr>
              <w:spacing w:after="120"/>
              <w:jc w:val="both"/>
              <w:rPr>
                <w:color w:val="auto"/>
              </w:rPr>
            </w:pPr>
            <w:r w:rsidRPr="00B40578">
              <w:rPr>
                <w:iCs/>
              </w:rPr>
              <w:t>Lai nodrošinātu efektīvu, atklātu, ietverošu, savlaicīgu un atbildīgu sabiedrības līdzdalību, un sabiedrības pārstāvjiem nodrošinātu iespēju rakstiski sniegt viedokli</w:t>
            </w:r>
            <w:r w:rsidRPr="00B40578">
              <w:t xml:space="preserve"> </w:t>
            </w:r>
            <w:r w:rsidRPr="00B40578">
              <w:rPr>
                <w:iCs/>
              </w:rPr>
              <w:t xml:space="preserve">par </w:t>
            </w:r>
            <w:r>
              <w:rPr>
                <w:iCs/>
              </w:rPr>
              <w:t>likum</w:t>
            </w:r>
            <w:r w:rsidRPr="00B40578">
              <w:rPr>
                <w:iCs/>
              </w:rPr>
              <w:t xml:space="preserve">projektu tā izstrādes stadijā, </w:t>
            </w:r>
            <w:r w:rsidRPr="00B40578">
              <w:t xml:space="preserve">informācija par </w:t>
            </w:r>
            <w:r>
              <w:t>likum</w:t>
            </w:r>
            <w:r w:rsidRPr="00B40578">
              <w:t>projektu ievietota Iekšlietu ministrijas tīmekļa vietnē sadaļas “Sabiedrības līdzdalība” apakšsadaļā “Diskusiju dokumenti”.</w:t>
            </w:r>
          </w:p>
        </w:tc>
      </w:tr>
      <w:tr w:rsidR="00F21766" w:rsidRPr="005D42E1" w:rsidTr="00B6484D">
        <w:trPr>
          <w:trHeight w:val="854"/>
          <w:jc w:val="center"/>
        </w:trPr>
        <w:tc>
          <w:tcPr>
            <w:tcW w:w="100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3.</w:t>
            </w:r>
          </w:p>
        </w:tc>
        <w:tc>
          <w:tcPr>
            <w:tcW w:w="2055"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Sabiedrības līdzdalības rezultāti</w:t>
            </w:r>
          </w:p>
        </w:tc>
        <w:tc>
          <w:tcPr>
            <w:tcW w:w="6292" w:type="dxa"/>
            <w:tcBorders>
              <w:top w:val="single" w:sz="6" w:space="0" w:color="414142"/>
              <w:left w:val="single" w:sz="6" w:space="0" w:color="414142"/>
              <w:bottom w:val="single" w:sz="6" w:space="0" w:color="414142"/>
              <w:right w:val="single" w:sz="6" w:space="0" w:color="414142"/>
            </w:tcBorders>
          </w:tcPr>
          <w:p w:rsidR="00F21766" w:rsidRPr="002A5FAC" w:rsidRDefault="002A5FAC" w:rsidP="00C86A73">
            <w:pPr>
              <w:jc w:val="both"/>
            </w:pPr>
            <w:bookmarkStart w:id="0" w:name="_GoBack"/>
            <w:bookmarkEnd w:id="0"/>
            <w:r>
              <w:t>Sadaļa tiks aizpildīta pēc viedokļu saņemšanas.</w:t>
            </w:r>
          </w:p>
        </w:tc>
      </w:tr>
      <w:tr w:rsidR="00F21766" w:rsidRPr="005D42E1" w:rsidTr="00B6484D">
        <w:trPr>
          <w:trHeight w:val="460"/>
          <w:jc w:val="center"/>
        </w:trPr>
        <w:tc>
          <w:tcPr>
            <w:tcW w:w="1001"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4.</w:t>
            </w:r>
          </w:p>
        </w:tc>
        <w:tc>
          <w:tcPr>
            <w:tcW w:w="2055"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Cita informācija</w:t>
            </w:r>
          </w:p>
        </w:tc>
        <w:tc>
          <w:tcPr>
            <w:tcW w:w="6292"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spacing w:after="120"/>
              <w:rPr>
                <w:color w:val="auto"/>
              </w:rPr>
            </w:pPr>
            <w:r w:rsidRPr="005D42E1">
              <w:rPr>
                <w:color w:val="auto"/>
              </w:rPr>
              <w:t>Nav</w:t>
            </w:r>
          </w:p>
        </w:tc>
      </w:tr>
    </w:tbl>
    <w:p w:rsidR="00F21766" w:rsidRPr="005D42E1" w:rsidRDefault="00F21766" w:rsidP="00F21766">
      <w:pPr>
        <w:shd w:val="clear" w:color="auto" w:fill="FFFFFF"/>
        <w:ind w:firstLine="300"/>
        <w:rPr>
          <w:color w:val="auto"/>
        </w:rPr>
      </w:pPr>
      <w:r w:rsidRPr="005D42E1">
        <w:rPr>
          <w:rFonts w:eastAsia="Arial"/>
          <w:color w:val="auto"/>
        </w:rPr>
        <w:t> </w:t>
      </w:r>
    </w:p>
    <w:tbl>
      <w:tblPr>
        <w:tblW w:w="9356" w:type="dxa"/>
        <w:jc w:val="center"/>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559"/>
        <w:gridCol w:w="3097"/>
        <w:gridCol w:w="5700"/>
      </w:tblGrid>
      <w:tr w:rsidR="00F21766" w:rsidRPr="005D42E1" w:rsidTr="00CD6F9B">
        <w:trPr>
          <w:trHeight w:val="360"/>
          <w:jc w:val="center"/>
        </w:trPr>
        <w:tc>
          <w:tcPr>
            <w:tcW w:w="9356" w:type="dxa"/>
            <w:gridSpan w:val="3"/>
            <w:tcBorders>
              <w:top w:val="single" w:sz="6" w:space="0" w:color="414142"/>
              <w:left w:val="single" w:sz="6" w:space="0" w:color="414142"/>
              <w:bottom w:val="single" w:sz="6" w:space="0" w:color="414142"/>
              <w:right w:val="single" w:sz="6" w:space="0" w:color="414142"/>
            </w:tcBorders>
            <w:vAlign w:val="center"/>
          </w:tcPr>
          <w:p w:rsidR="00F21766" w:rsidRPr="005D42E1" w:rsidRDefault="00F21766" w:rsidP="00CD6F9B">
            <w:pPr>
              <w:jc w:val="center"/>
              <w:rPr>
                <w:b/>
                <w:color w:val="auto"/>
              </w:rPr>
            </w:pPr>
            <w:r w:rsidRPr="005D42E1">
              <w:rPr>
                <w:b/>
                <w:color w:val="auto"/>
              </w:rPr>
              <w:lastRenderedPageBreak/>
              <w:t>VII. Tiesību akta projekta izpildes nodrošināšana un tās ietekme uz institūcijām</w:t>
            </w:r>
          </w:p>
        </w:tc>
      </w:tr>
      <w:tr w:rsidR="00F21766" w:rsidRPr="005D42E1" w:rsidTr="002112E0">
        <w:trPr>
          <w:trHeight w:val="420"/>
          <w:jc w:val="center"/>
        </w:trPr>
        <w:tc>
          <w:tcPr>
            <w:tcW w:w="559"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1.</w:t>
            </w:r>
          </w:p>
        </w:tc>
        <w:tc>
          <w:tcPr>
            <w:tcW w:w="309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2112E0">
              <w:rPr>
                <w:color w:val="auto"/>
              </w:rPr>
              <w:t>Projekta izpildē iesaistītās institūcijas</w:t>
            </w:r>
          </w:p>
        </w:tc>
        <w:tc>
          <w:tcPr>
            <w:tcW w:w="5700" w:type="dxa"/>
            <w:tcBorders>
              <w:top w:val="single" w:sz="6" w:space="0" w:color="414142"/>
              <w:left w:val="single" w:sz="6" w:space="0" w:color="414142"/>
              <w:bottom w:val="single" w:sz="6" w:space="0" w:color="414142"/>
              <w:right w:val="single" w:sz="6" w:space="0" w:color="414142"/>
            </w:tcBorders>
          </w:tcPr>
          <w:p w:rsidR="00F21766" w:rsidRPr="005D42E1" w:rsidRDefault="002112E0" w:rsidP="00CD6F9B">
            <w:pPr>
              <w:jc w:val="both"/>
              <w:rPr>
                <w:color w:val="auto"/>
              </w:rPr>
            </w:pPr>
            <w:r>
              <w:rPr>
                <w:color w:val="auto"/>
              </w:rPr>
              <w:t>Ģenerālprokuratūra, izmeklēšanas iestādes.</w:t>
            </w:r>
          </w:p>
          <w:p w:rsidR="00F21766" w:rsidRPr="005D42E1" w:rsidRDefault="00F21766" w:rsidP="00CD6F9B">
            <w:pPr>
              <w:jc w:val="both"/>
              <w:rPr>
                <w:color w:val="auto"/>
              </w:rPr>
            </w:pPr>
          </w:p>
        </w:tc>
      </w:tr>
      <w:tr w:rsidR="00F21766" w:rsidRPr="005D42E1" w:rsidTr="002112E0">
        <w:trPr>
          <w:trHeight w:val="440"/>
          <w:jc w:val="center"/>
        </w:trPr>
        <w:tc>
          <w:tcPr>
            <w:tcW w:w="559"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2.</w:t>
            </w:r>
          </w:p>
        </w:tc>
        <w:tc>
          <w:tcPr>
            <w:tcW w:w="309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jc w:val="both"/>
              <w:rPr>
                <w:color w:val="auto"/>
              </w:rPr>
            </w:pPr>
            <w:r w:rsidRPr="005D42E1">
              <w:rPr>
                <w:color w:val="auto"/>
              </w:rPr>
              <w:t>Projekta izpildes ietekme uz pārvaldes funkcijām un institucionālo struktūru.</w:t>
            </w:r>
          </w:p>
          <w:p w:rsidR="00F21766" w:rsidRPr="005D42E1" w:rsidRDefault="00F21766" w:rsidP="00CD6F9B">
            <w:pPr>
              <w:jc w:val="both"/>
              <w:rPr>
                <w:color w:val="auto"/>
              </w:rPr>
            </w:pPr>
            <w:r w:rsidRPr="005D42E1">
              <w:rPr>
                <w:color w:val="auto"/>
              </w:rPr>
              <w:t>Jaunu institūciju izveide, esošu institūciju likvidācija vai reorganizācija, to ietekme uz institūcijas cilvēkresursiem</w:t>
            </w:r>
          </w:p>
        </w:tc>
        <w:tc>
          <w:tcPr>
            <w:tcW w:w="5700"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spacing w:after="120"/>
              <w:jc w:val="both"/>
              <w:rPr>
                <w:color w:val="auto"/>
              </w:rPr>
            </w:pPr>
            <w:r w:rsidRPr="005D42E1">
              <w:rPr>
                <w:color w:val="auto"/>
              </w:rPr>
              <w:t>Likumprojekts šo jomu neskar.</w:t>
            </w:r>
          </w:p>
        </w:tc>
      </w:tr>
      <w:tr w:rsidR="00F21766" w:rsidRPr="005D42E1" w:rsidTr="002112E0">
        <w:trPr>
          <w:trHeight w:val="380"/>
          <w:jc w:val="center"/>
        </w:trPr>
        <w:tc>
          <w:tcPr>
            <w:tcW w:w="559"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3.</w:t>
            </w:r>
          </w:p>
        </w:tc>
        <w:tc>
          <w:tcPr>
            <w:tcW w:w="3097"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rPr>
                <w:color w:val="auto"/>
              </w:rPr>
            </w:pPr>
            <w:r w:rsidRPr="005D42E1">
              <w:rPr>
                <w:color w:val="auto"/>
              </w:rPr>
              <w:t>Cita informācija</w:t>
            </w:r>
          </w:p>
        </w:tc>
        <w:tc>
          <w:tcPr>
            <w:tcW w:w="5700" w:type="dxa"/>
            <w:tcBorders>
              <w:top w:val="single" w:sz="6" w:space="0" w:color="414142"/>
              <w:left w:val="single" w:sz="6" w:space="0" w:color="414142"/>
              <w:bottom w:val="single" w:sz="6" w:space="0" w:color="414142"/>
              <w:right w:val="single" w:sz="6" w:space="0" w:color="414142"/>
            </w:tcBorders>
          </w:tcPr>
          <w:p w:rsidR="00F21766" w:rsidRPr="005D42E1" w:rsidRDefault="00F21766" w:rsidP="00CD6F9B">
            <w:pPr>
              <w:spacing w:after="120"/>
              <w:rPr>
                <w:color w:val="auto"/>
              </w:rPr>
            </w:pPr>
            <w:r w:rsidRPr="005D42E1">
              <w:rPr>
                <w:color w:val="auto"/>
              </w:rPr>
              <w:t>Nav</w:t>
            </w:r>
          </w:p>
        </w:tc>
      </w:tr>
    </w:tbl>
    <w:p w:rsidR="00F21766" w:rsidRDefault="00F21766" w:rsidP="00F21766">
      <w:pPr>
        <w:rPr>
          <w:color w:val="auto"/>
        </w:rPr>
      </w:pPr>
    </w:p>
    <w:p w:rsidR="005A09A4" w:rsidRPr="005D42E1" w:rsidRDefault="005A09A4" w:rsidP="00F21766">
      <w:pPr>
        <w:rPr>
          <w:color w:val="auto"/>
        </w:rPr>
      </w:pPr>
    </w:p>
    <w:p w:rsidR="00F21766" w:rsidRPr="005D42E1" w:rsidRDefault="00F21766" w:rsidP="005A09A4">
      <w:pPr>
        <w:tabs>
          <w:tab w:val="left" w:pos="6237"/>
        </w:tabs>
        <w:spacing w:after="120"/>
        <w:jc w:val="both"/>
        <w:rPr>
          <w:color w:val="auto"/>
        </w:rPr>
      </w:pPr>
      <w:r w:rsidRPr="005D42E1">
        <w:rPr>
          <w:color w:val="auto"/>
        </w:rPr>
        <w:t>Iekšlietu ministrs</w:t>
      </w:r>
      <w:r w:rsidRPr="005D42E1">
        <w:rPr>
          <w:color w:val="auto"/>
        </w:rPr>
        <w:tab/>
      </w:r>
      <w:r w:rsidR="005A09A4">
        <w:rPr>
          <w:color w:val="auto"/>
        </w:rPr>
        <w:tab/>
      </w:r>
      <w:r w:rsidR="005A09A4">
        <w:rPr>
          <w:color w:val="auto"/>
        </w:rPr>
        <w:tab/>
      </w:r>
      <w:r w:rsidRPr="005D42E1">
        <w:rPr>
          <w:color w:val="auto"/>
        </w:rPr>
        <w:t>Sandis Ģirģens</w:t>
      </w:r>
    </w:p>
    <w:p w:rsidR="00F21766" w:rsidRPr="005D42E1" w:rsidRDefault="00F21766" w:rsidP="00F21766">
      <w:pPr>
        <w:spacing w:after="120"/>
        <w:rPr>
          <w:color w:val="auto"/>
        </w:rPr>
      </w:pPr>
    </w:p>
    <w:p w:rsidR="00F21766" w:rsidRPr="005D42E1" w:rsidRDefault="00F21766" w:rsidP="00F21766">
      <w:pPr>
        <w:spacing w:after="120"/>
        <w:rPr>
          <w:color w:val="auto"/>
        </w:rPr>
      </w:pPr>
      <w:r w:rsidRPr="005D42E1">
        <w:rPr>
          <w:color w:val="auto"/>
        </w:rPr>
        <w:t>Vīza:</w:t>
      </w:r>
    </w:p>
    <w:p w:rsidR="00F21766" w:rsidRPr="005D42E1" w:rsidRDefault="00F21766" w:rsidP="00F21766">
      <w:pPr>
        <w:tabs>
          <w:tab w:val="left" w:pos="6237"/>
        </w:tabs>
        <w:spacing w:after="120"/>
        <w:rPr>
          <w:color w:val="auto"/>
        </w:rPr>
      </w:pPr>
      <w:r w:rsidRPr="005D42E1">
        <w:rPr>
          <w:color w:val="auto"/>
        </w:rPr>
        <w:t xml:space="preserve">valsts sekretārs                                                                 </w:t>
      </w:r>
      <w:r w:rsidR="005A09A4">
        <w:rPr>
          <w:color w:val="auto"/>
        </w:rPr>
        <w:tab/>
      </w:r>
      <w:r w:rsidR="005A09A4">
        <w:rPr>
          <w:color w:val="auto"/>
        </w:rPr>
        <w:tab/>
      </w:r>
      <w:r w:rsidRPr="005D42E1">
        <w:rPr>
          <w:color w:val="auto"/>
        </w:rPr>
        <w:t>Dimitrijs Trofimovs</w:t>
      </w:r>
    </w:p>
    <w:p w:rsidR="00F21766" w:rsidRPr="001D0AB1" w:rsidRDefault="00F21766" w:rsidP="00F21766">
      <w:pPr>
        <w:tabs>
          <w:tab w:val="left" w:pos="2592"/>
        </w:tabs>
        <w:rPr>
          <w:color w:val="auto"/>
          <w:sz w:val="18"/>
          <w:szCs w:val="18"/>
        </w:rPr>
      </w:pPr>
    </w:p>
    <w:p w:rsidR="00A6661B" w:rsidRDefault="00A6661B"/>
    <w:p w:rsidR="005A09A4" w:rsidRPr="00DA0213" w:rsidRDefault="005A09A4" w:rsidP="005A09A4">
      <w:pPr>
        <w:pStyle w:val="NormalWeb"/>
        <w:tabs>
          <w:tab w:val="left" w:pos="5010"/>
        </w:tabs>
        <w:spacing w:before="0" w:beforeAutospacing="0" w:after="0" w:afterAutospacing="0"/>
        <w:rPr>
          <w:rStyle w:val="rvts6"/>
          <w:rFonts w:eastAsia="Calibri"/>
          <w:sz w:val="20"/>
          <w:szCs w:val="20"/>
        </w:rPr>
      </w:pPr>
      <w:r w:rsidRPr="00DA0213">
        <w:rPr>
          <w:rStyle w:val="rvts6"/>
          <w:rFonts w:eastAsia="Calibri"/>
          <w:sz w:val="20"/>
          <w:szCs w:val="20"/>
        </w:rPr>
        <w:t>I.Sproģe</w:t>
      </w:r>
    </w:p>
    <w:p w:rsidR="005A09A4" w:rsidRPr="00DA0213" w:rsidRDefault="005A09A4" w:rsidP="005A09A4">
      <w:pPr>
        <w:rPr>
          <w:rStyle w:val="Hyperlink"/>
          <w:sz w:val="20"/>
          <w:szCs w:val="20"/>
        </w:rPr>
      </w:pPr>
      <w:r w:rsidRPr="00DA0213">
        <w:rPr>
          <w:sz w:val="20"/>
          <w:szCs w:val="20"/>
        </w:rPr>
        <w:t xml:space="preserve">67219534, </w:t>
      </w:r>
      <w:hyperlink r:id="rId6" w:history="1">
        <w:r w:rsidRPr="00E76F72">
          <w:rPr>
            <w:rStyle w:val="Hyperlink"/>
            <w:sz w:val="20"/>
            <w:szCs w:val="20"/>
          </w:rPr>
          <w:t>inese.sproge@iem.gov.lv</w:t>
        </w:r>
      </w:hyperlink>
    </w:p>
    <w:p w:rsidR="005A09A4" w:rsidRDefault="005A09A4"/>
    <w:sectPr w:rsidR="005A09A4" w:rsidSect="00F21766">
      <w:headerReference w:type="default" r:id="rId7"/>
      <w:footerReference w:type="default" r:id="rId8"/>
      <w:footerReference w:type="first" r:id="rId9"/>
      <w:pgSz w:w="11906" w:h="16838"/>
      <w:pgMar w:top="1134" w:right="1134" w:bottom="1134" w:left="1701" w:header="708" w:footer="70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F9B" w:rsidRDefault="00CD6F9B" w:rsidP="00F21766">
      <w:r>
        <w:separator/>
      </w:r>
    </w:p>
  </w:endnote>
  <w:endnote w:type="continuationSeparator" w:id="0">
    <w:p w:rsidR="00CD6F9B" w:rsidRDefault="00CD6F9B" w:rsidP="00F2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9B" w:rsidRPr="00E5653D" w:rsidRDefault="00CD6F9B" w:rsidP="00CD6F9B">
    <w:pPr>
      <w:tabs>
        <w:tab w:val="center" w:pos="4153"/>
        <w:tab w:val="right" w:pos="8306"/>
      </w:tabs>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9B" w:rsidRPr="00E5653D" w:rsidRDefault="00CD6F9B" w:rsidP="00CD6F9B">
    <w:pPr>
      <w:tabs>
        <w:tab w:val="center" w:pos="4153"/>
        <w:tab w:val="right" w:pos="8306"/>
      </w:tabs>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F9B" w:rsidRDefault="00CD6F9B" w:rsidP="00F21766">
      <w:r>
        <w:separator/>
      </w:r>
    </w:p>
  </w:footnote>
  <w:footnote w:type="continuationSeparator" w:id="0">
    <w:p w:rsidR="00CD6F9B" w:rsidRDefault="00CD6F9B" w:rsidP="00F21766">
      <w:r>
        <w:continuationSeparator/>
      </w:r>
    </w:p>
  </w:footnote>
  <w:footnote w:id="1">
    <w:p w:rsidR="00CD6F9B" w:rsidRDefault="00CD6F9B" w:rsidP="005D42E1">
      <w:pPr>
        <w:pStyle w:val="FootnoteText"/>
      </w:pPr>
      <w:r>
        <w:rPr>
          <w:rStyle w:val="FootnoteReference"/>
        </w:rPr>
        <w:footnoteRef/>
      </w:r>
      <w:r>
        <w:t xml:space="preserve"> </w:t>
      </w:r>
      <w:hyperlink r:id="rId1" w:history="1">
        <w:r w:rsidRPr="00A565EE">
          <w:rPr>
            <w:rStyle w:val="Hyperlink"/>
          </w:rPr>
          <w:t>https://www.satv.tiesa.gov.lv/wp-content/uploads/2016/02/2003-05-01_Spriedums.pdf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F9B" w:rsidRDefault="00CD6F9B" w:rsidP="00CD6F9B">
    <w:pPr>
      <w:tabs>
        <w:tab w:val="center" w:pos="4153"/>
        <w:tab w:val="right" w:pos="8306"/>
      </w:tabs>
      <w:jc w:val="center"/>
    </w:pPr>
    <w:r>
      <w:fldChar w:fldCharType="begin"/>
    </w:r>
    <w:r>
      <w:instrText>PAGE</w:instrText>
    </w:r>
    <w:r>
      <w:fldChar w:fldCharType="separate"/>
    </w:r>
    <w:r w:rsidR="00C86A73">
      <w:rPr>
        <w:noProof/>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66"/>
    <w:rsid w:val="002112E0"/>
    <w:rsid w:val="002837CB"/>
    <w:rsid w:val="002A5FAC"/>
    <w:rsid w:val="002B73D2"/>
    <w:rsid w:val="005A09A4"/>
    <w:rsid w:val="005D42E1"/>
    <w:rsid w:val="00634184"/>
    <w:rsid w:val="006632E0"/>
    <w:rsid w:val="007B4414"/>
    <w:rsid w:val="007B6800"/>
    <w:rsid w:val="0095707C"/>
    <w:rsid w:val="009A0920"/>
    <w:rsid w:val="009F0B2B"/>
    <w:rsid w:val="00A46CAB"/>
    <w:rsid w:val="00A55A98"/>
    <w:rsid w:val="00A6661B"/>
    <w:rsid w:val="00B54B8D"/>
    <w:rsid w:val="00B6484D"/>
    <w:rsid w:val="00C86A73"/>
    <w:rsid w:val="00CC3723"/>
    <w:rsid w:val="00CD6F9B"/>
    <w:rsid w:val="00DE0C06"/>
    <w:rsid w:val="00F217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6D1BE-1624-45E4-9071-EEF4C376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176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217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Header">
    <w:name w:val="header"/>
    <w:basedOn w:val="Normal"/>
    <w:link w:val="HeaderChar"/>
    <w:uiPriority w:val="99"/>
    <w:unhideWhenUsed/>
    <w:rsid w:val="00F21766"/>
    <w:pPr>
      <w:tabs>
        <w:tab w:val="center" w:pos="4153"/>
        <w:tab w:val="right" w:pos="8306"/>
      </w:tabs>
    </w:pPr>
  </w:style>
  <w:style w:type="character" w:customStyle="1" w:styleId="HeaderChar">
    <w:name w:val="Header Char"/>
    <w:basedOn w:val="DefaultParagraphFont"/>
    <w:link w:val="Header"/>
    <w:uiPriority w:val="99"/>
    <w:rsid w:val="00F21766"/>
    <w:rPr>
      <w:rFonts w:ascii="Times New Roman" w:eastAsia="Times New Roman" w:hAnsi="Times New Roman" w:cs="Times New Roman"/>
      <w:color w:val="000000"/>
      <w:sz w:val="24"/>
      <w:szCs w:val="24"/>
      <w:lang w:eastAsia="lv-LV"/>
    </w:rPr>
  </w:style>
  <w:style w:type="paragraph" w:styleId="Footer">
    <w:name w:val="footer"/>
    <w:basedOn w:val="Normal"/>
    <w:link w:val="FooterChar"/>
    <w:uiPriority w:val="99"/>
    <w:unhideWhenUsed/>
    <w:rsid w:val="00F21766"/>
    <w:pPr>
      <w:tabs>
        <w:tab w:val="center" w:pos="4153"/>
        <w:tab w:val="right" w:pos="8306"/>
      </w:tabs>
    </w:pPr>
  </w:style>
  <w:style w:type="character" w:customStyle="1" w:styleId="FooterChar">
    <w:name w:val="Footer Char"/>
    <w:basedOn w:val="DefaultParagraphFont"/>
    <w:link w:val="Footer"/>
    <w:uiPriority w:val="99"/>
    <w:rsid w:val="00F21766"/>
    <w:rPr>
      <w:rFonts w:ascii="Times New Roman" w:eastAsia="Times New Roman" w:hAnsi="Times New Roman" w:cs="Times New Roman"/>
      <w:color w:val="000000"/>
      <w:sz w:val="24"/>
      <w:szCs w:val="24"/>
      <w:lang w:eastAsia="lv-LV"/>
    </w:rPr>
  </w:style>
  <w:style w:type="paragraph" w:styleId="FootnoteText">
    <w:name w:val="footnote text"/>
    <w:basedOn w:val="Normal"/>
    <w:link w:val="FootnoteTextChar"/>
    <w:uiPriority w:val="99"/>
    <w:semiHidden/>
    <w:unhideWhenUsed/>
    <w:rsid w:val="005D42E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D42E1"/>
    <w:rPr>
      <w:sz w:val="20"/>
      <w:szCs w:val="20"/>
    </w:rPr>
  </w:style>
  <w:style w:type="character" w:styleId="FootnoteReference">
    <w:name w:val="footnote reference"/>
    <w:basedOn w:val="DefaultParagraphFont"/>
    <w:uiPriority w:val="99"/>
    <w:semiHidden/>
    <w:unhideWhenUsed/>
    <w:rsid w:val="005D42E1"/>
    <w:rPr>
      <w:vertAlign w:val="superscript"/>
    </w:rPr>
  </w:style>
  <w:style w:type="character" w:styleId="Hyperlink">
    <w:name w:val="Hyperlink"/>
    <w:basedOn w:val="DefaultParagraphFont"/>
    <w:uiPriority w:val="99"/>
    <w:unhideWhenUsed/>
    <w:rsid w:val="005D42E1"/>
    <w:rPr>
      <w:color w:val="0563C1" w:themeColor="hyperlink"/>
      <w:u w:val="single"/>
    </w:rPr>
  </w:style>
  <w:style w:type="paragraph" w:styleId="NormalWeb">
    <w:name w:val="Normal (Web)"/>
    <w:basedOn w:val="Normal"/>
    <w:uiPriority w:val="99"/>
    <w:semiHidden/>
    <w:unhideWhenUsed/>
    <w:rsid w:val="005A09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rvts6">
    <w:name w:val="rvts6"/>
    <w:basedOn w:val="DefaultParagraphFont"/>
    <w:rsid w:val="005A09A4"/>
  </w:style>
  <w:style w:type="paragraph" w:styleId="BalloonText">
    <w:name w:val="Balloon Text"/>
    <w:basedOn w:val="Normal"/>
    <w:link w:val="BalloonTextChar"/>
    <w:uiPriority w:val="99"/>
    <w:semiHidden/>
    <w:unhideWhenUsed/>
    <w:rsid w:val="00CC3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723"/>
    <w:rPr>
      <w:rFonts w:ascii="Segoe UI" w:eastAsia="Times New Roman" w:hAnsi="Segoe UI" w:cs="Segoe UI"/>
      <w:color w:val="000000"/>
      <w:sz w:val="18"/>
      <w:szCs w:val="18"/>
      <w:lang w:eastAsia="lv-LV"/>
    </w:rPr>
  </w:style>
  <w:style w:type="character" w:styleId="FollowedHyperlink">
    <w:name w:val="FollowedHyperlink"/>
    <w:basedOn w:val="DefaultParagraphFont"/>
    <w:uiPriority w:val="99"/>
    <w:semiHidden/>
    <w:unhideWhenUsed/>
    <w:rsid w:val="007B68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ese.sproge@iem.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tv.tiesa.gov.lv/wp-content/uploads/2016/02/2003-05-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8801</Words>
  <Characters>5017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Sproģe</dc:creator>
  <cp:keywords/>
  <dc:description/>
  <cp:lastModifiedBy>Inese Sproģe</cp:lastModifiedBy>
  <cp:revision>4</cp:revision>
  <cp:lastPrinted>2021-01-18T11:52:00Z</cp:lastPrinted>
  <dcterms:created xsi:type="dcterms:W3CDTF">2021-01-19T10:37:00Z</dcterms:created>
  <dcterms:modified xsi:type="dcterms:W3CDTF">2021-01-26T13:17:00Z</dcterms:modified>
</cp:coreProperties>
</file>