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FB" w:rsidRPr="00AB5E61" w:rsidRDefault="003B17FB" w:rsidP="00C46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B5E61">
        <w:rPr>
          <w:rFonts w:ascii="Times New Roman" w:hAnsi="Times New Roman" w:cs="Times New Roman"/>
          <w:b/>
          <w:bCs/>
          <w:sz w:val="24"/>
          <w:szCs w:val="28"/>
        </w:rPr>
        <w:t xml:space="preserve">Paziņojums </w:t>
      </w:r>
      <w:r w:rsidRPr="00AB5E61">
        <w:rPr>
          <w:rFonts w:ascii="Times New Roman" w:hAnsi="Times New Roman" w:cs="Times New Roman"/>
          <w:b/>
          <w:sz w:val="24"/>
          <w:szCs w:val="28"/>
        </w:rPr>
        <w:t xml:space="preserve">par līdzdalības iespējām </w:t>
      </w:r>
      <w:r w:rsidR="008D4D65" w:rsidRPr="00AB5E61">
        <w:rPr>
          <w:rFonts w:ascii="Times New Roman" w:hAnsi="Times New Roman" w:cs="Times New Roman"/>
          <w:b/>
          <w:sz w:val="24"/>
          <w:szCs w:val="28"/>
        </w:rPr>
        <w:t>Ministru kabineta noteikumu pro</w:t>
      </w:r>
      <w:r w:rsidR="00530954" w:rsidRPr="00AB5E61">
        <w:rPr>
          <w:rFonts w:ascii="Times New Roman" w:hAnsi="Times New Roman" w:cs="Times New Roman"/>
          <w:b/>
          <w:sz w:val="24"/>
          <w:szCs w:val="28"/>
        </w:rPr>
        <w:t xml:space="preserve">jekta </w:t>
      </w:r>
      <w:r w:rsidR="008D2EC9" w:rsidRPr="00AB5E61">
        <w:rPr>
          <w:rFonts w:ascii="Times New Roman" w:hAnsi="Times New Roman" w:cs="Times New Roman"/>
          <w:b/>
          <w:sz w:val="24"/>
          <w:szCs w:val="28"/>
        </w:rPr>
        <w:t>„Grozījumi Ministru kabineta 2014. gada 23. decembra noteikumos Nr. 791 „Noteikumi par kārtību, kādā Valsts robežsardze izsniedz un anulē speciālās caurlaides, un speciālo caurlaižu paraugiem</w:t>
      </w:r>
      <w:r w:rsidR="006E1777">
        <w:rPr>
          <w:rFonts w:ascii="Times New Roman" w:hAnsi="Times New Roman" w:cs="Times New Roman"/>
          <w:b/>
          <w:sz w:val="24"/>
          <w:szCs w:val="28"/>
        </w:rPr>
        <w:t>”</w:t>
      </w:r>
      <w:r w:rsidR="00530954" w:rsidRPr="00AB5E6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B5E61">
        <w:rPr>
          <w:rFonts w:ascii="Times New Roman" w:hAnsi="Times New Roman" w:cs="Times New Roman"/>
          <w:b/>
          <w:sz w:val="24"/>
          <w:szCs w:val="28"/>
        </w:rPr>
        <w:t>izstrādes procesā</w:t>
      </w:r>
    </w:p>
    <w:p w:rsidR="003B17FB" w:rsidRPr="00AB5E61" w:rsidRDefault="003B17FB" w:rsidP="003B17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8"/>
        </w:rPr>
      </w:pPr>
    </w:p>
    <w:tbl>
      <w:tblPr>
        <w:tblW w:w="13325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7"/>
        <w:gridCol w:w="2799"/>
        <w:gridCol w:w="9639"/>
      </w:tblGrid>
      <w:tr w:rsidR="003B17FB" w:rsidTr="00AB5E61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105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6B7056" w:rsidP="006E1777">
            <w:pPr>
              <w:autoSpaceDE w:val="0"/>
              <w:autoSpaceDN w:val="0"/>
              <w:adjustRightInd w:val="0"/>
              <w:spacing w:after="0" w:line="105" w:lineRule="atLeast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4D65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</w:t>
            </w:r>
            <w:r w:rsidR="006E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 kabineta noteikumu projekts.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8D2EC9" w:rsidP="009C2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„Grozījumi Ministru kabineta 2014. gada 23. decembra noteikumos Nr. 791 „Noteikumi par kārtību, kādā Valsts robežsardze izsniedz un anulē speciālās caurlaides, un speciālo caurlaižu paraugiem</w:t>
            </w:r>
            <w:r w:rsidR="006E1777" w:rsidRPr="006E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”” (turpmāk – </w:t>
            </w:r>
            <w:r w:rsidR="009C21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E1777" w:rsidRPr="006E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rojekts).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6B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17FB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Iekšlietu</w:t>
            </w:r>
            <w:proofErr w:type="spellEnd"/>
            <w:r w:rsidR="003B17FB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politika</w:t>
            </w:r>
            <w:r w:rsidR="00EE4AD7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Pr="008D2EC9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D2EC9">
              <w:rPr>
                <w:rFonts w:ascii="Times New Roman" w:hAnsi="Times New Roman" w:cs="Times New Roman"/>
                <w:sz w:val="24"/>
                <w:szCs w:val="24"/>
              </w:rPr>
              <w:t xml:space="preserve">Dokumenta </w:t>
            </w:r>
            <w:proofErr w:type="spellStart"/>
            <w:r w:rsidRPr="008D2EC9">
              <w:rPr>
                <w:rFonts w:ascii="Times New Roman" w:hAnsi="Times New Roman" w:cs="Times New Roman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2EC9" w:rsidRPr="00AB5E61" w:rsidRDefault="008D2EC9" w:rsidP="00515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Personas, kas uzturēsies pierobežas joslā</w:t>
            </w:r>
            <w:r w:rsidR="005023F4"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</w:t>
            </w:r>
            <w:r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kurām atbilstoši Latvijas Republikas valsts robežas likuma 18. panta pirmajai daļai</w:t>
            </w:r>
            <w:r w:rsidR="005023F4"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</w:t>
            </w:r>
            <w:r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nepieciešama speciālā caurlaide.</w:t>
            </w:r>
          </w:p>
          <w:p w:rsidR="003B17FB" w:rsidRPr="00AB5E61" w:rsidRDefault="008D2EC9" w:rsidP="00515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Valsts robežsardzes amatpersonas, kuras nodrošinās caurlaižu izsniegšanu gan elektroniski, gan papīra formā.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5AC2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23B2" w:rsidRPr="00AB5E61" w:rsidRDefault="005123B2" w:rsidP="00515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Projekts sagatavots, lai samazinātu administratīvo slogu personām, kuras iesniegumā speciālo caurlaižu saņemšanai norādījušas, ka vēlas speciālo caurlaidi saņemt Valsts robežsardzes struktūrvienībā. Projektā paredzēta iespēja personām </w:t>
            </w:r>
            <w:r w:rsidR="00245AC2"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>iesniegumā speciālo caurlaižu saņemšanai norādīt</w:t>
            </w: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speciālo caurlaidi </w:t>
            </w:r>
            <w:r w:rsidR="00245AC2"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saņemt </w:t>
            </w: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pa pastu. </w:t>
            </w:r>
          </w:p>
          <w:p w:rsidR="00161A4D" w:rsidRPr="00AB5E61" w:rsidRDefault="00161A4D" w:rsidP="00161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Precizēts speciālo caurlaižu spēkā stāšanās laiks. </w:t>
            </w:r>
          </w:p>
          <w:p w:rsidR="00717821" w:rsidRPr="00AB5E61" w:rsidRDefault="00245AC2" w:rsidP="006E1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>Projekts sagatavots, lai precizētu Ministru kabineta 2014. gada 23. decembra noteikumus Nr. 791 „Noteikumi par kārtību, kādā Valsts robežsardze izsniedz un anulē speciālās caurlaides, un speciālo caurlaižu paraugiem</w:t>
            </w:r>
            <w:r w:rsidR="006E1777">
              <w:rPr>
                <w:rFonts w:ascii="Times New Roman" w:eastAsia="Times New Roman" w:hAnsi="Times New Roman"/>
                <w:color w:val="000000" w:themeColor="text1"/>
                <w:sz w:val="24"/>
              </w:rPr>
              <w:t>”</w:t>
            </w:r>
            <w:r w:rsidRPr="00AB5E6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atbilstoši šā brīža tiesiskajam regulējumam.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7077" w:rsidRPr="00AB5E61" w:rsidRDefault="00F14DF0" w:rsidP="001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Projektu plā</w:t>
            </w:r>
            <w:r w:rsidR="00162166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nots</w:t>
            </w:r>
            <w:r w:rsidR="00814ADD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iesniegt</w:t>
            </w:r>
            <w:r w:rsidR="00162166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50B60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izsludinā</w:t>
            </w:r>
            <w:r w:rsidR="00814ADD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šanai</w:t>
            </w:r>
            <w:r w:rsidR="00BF7077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Valsts sekretāru sanāksmē.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BF7077" w:rsidP="006A50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6A5046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rojekts</w:t>
            </w:r>
            <w:r w:rsidR="003B17FB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5046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 </w:t>
            </w:r>
            <w:r w:rsidR="006A5046" w:rsidRPr="00AB5E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  <w:t>projekta</w:t>
            </w:r>
            <w:r w:rsidR="006A5046" w:rsidRPr="00AB5E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sākotnējās ietekmes novērtējuma ziņojums (anotācija).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3F1A9F" w:rsidP="009C2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Sabiedrības pārstāvji var līdzdarboties, rakstiski sniedzot viedokli</w:t>
            </w:r>
            <w:r w:rsidR="00F14DF0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, iebildumus un priekšlikumus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par </w:t>
            </w:r>
            <w:r w:rsidR="009C21A5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rojektu.</w:t>
            </w:r>
            <w:bookmarkStart w:id="0" w:name="_GoBack"/>
            <w:bookmarkEnd w:id="0"/>
          </w:p>
        </w:tc>
      </w:tr>
      <w:tr w:rsidR="003B17FB" w:rsidTr="00AB5E61">
        <w:trPr>
          <w:trHeight w:val="85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BF7077" w:rsidP="005B11C9">
            <w:pPr>
              <w:tabs>
                <w:tab w:val="left" w:pos="720"/>
              </w:tabs>
              <w:spacing w:after="0" w:line="240" w:lineRule="auto"/>
              <w:ind w:right="135"/>
              <w:jc w:val="both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Viedokli par </w:t>
            </w:r>
            <w:r w:rsidR="009C21A5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rojektu rakstiski var iesniegt uz e-pasta adresi </w:t>
            </w:r>
            <w:r w:rsidR="0013714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  <w:r w:rsidR="00B04C13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ins.</w:t>
            </w:r>
            <w:r w:rsidR="0013714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="00B04C13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renks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@rs.gov.lv</w:t>
            </w:r>
            <w:hyperlink r:id="rId8" w:history="1"/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līdz </w:t>
            </w:r>
            <w:r w:rsidR="008D4D6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20</w:t>
            </w:r>
            <w:r w:rsidR="008D2EC9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6A5046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8D4D6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13714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8D4D65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gada</w:t>
            </w:r>
            <w:r w:rsidR="00C46582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5B11C9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AC0D3B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7A60D3"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5B11C9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februārim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. Iesniedzot viedokli, p</w:t>
            </w:r>
            <w:r w:rsidR="009C21A5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riekšlikumus vai iebildumus par P</w:t>
            </w:r>
            <w:r w:rsidRPr="00AB5E61">
              <w:rPr>
                <w:rFonts w:ascii="Times New Roman" w:hAnsi="Times New Roman"/>
                <w:color w:val="000000" w:themeColor="text1"/>
                <w:sz w:val="24"/>
                <w:szCs w:val="24"/>
                <w:lang w:eastAsia="lv-LV"/>
              </w:rPr>
              <w:t>rojektu, jānorāda iesniedzēja vārds, uzvārds, adrese, tālruņa numurs un e-pasta adrese.</w:t>
            </w:r>
          </w:p>
        </w:tc>
      </w:tr>
      <w:tr w:rsidR="003B17FB" w:rsidTr="00AB5E6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</w:t>
            </w:r>
            <w:r w:rsidR="00AA0EFE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17FB" w:rsidTr="00AB5E61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17FB" w:rsidRDefault="003B17FB" w:rsidP="00AB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AB5E61" w:rsidRDefault="00B04C13" w:rsidP="00AB5E6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</w:rPr>
            </w:pPr>
            <w:r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Dins Šrenks</w:t>
            </w:r>
            <w:r w:rsidR="00BF7077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D2EC9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tālr.</w:t>
            </w:r>
            <w:r w:rsidR="006577AE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67075702, </w:t>
            </w:r>
            <w:r w:rsidR="008D2EC9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e-pasts:</w:t>
            </w:r>
            <w:r w:rsidR="00515846" w:rsidRPr="00AB5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6A5046" w:rsidRPr="00AB5E61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Dins.Srenks@rs.gov.lv</w:t>
              </w:r>
            </w:hyperlink>
          </w:p>
        </w:tc>
      </w:tr>
    </w:tbl>
    <w:p w:rsidR="00116B63" w:rsidRDefault="00AC0D3B" w:rsidP="006E1777"/>
    <w:sectPr w:rsidR="00116B63" w:rsidSect="005B11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51" w:right="1134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91" w:rsidRDefault="00E96991" w:rsidP="00072BBC">
      <w:pPr>
        <w:spacing w:after="0" w:line="240" w:lineRule="auto"/>
      </w:pPr>
      <w:r>
        <w:separator/>
      </w:r>
    </w:p>
  </w:endnote>
  <w:endnote w:type="continuationSeparator" w:id="0">
    <w:p w:rsidR="00E96991" w:rsidRDefault="00E96991" w:rsidP="000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91" w:rsidRDefault="00E96991" w:rsidP="00072BBC">
      <w:pPr>
        <w:spacing w:after="0" w:line="240" w:lineRule="auto"/>
      </w:pPr>
      <w:r>
        <w:separator/>
      </w:r>
    </w:p>
  </w:footnote>
  <w:footnote w:type="continuationSeparator" w:id="0">
    <w:p w:rsidR="00E96991" w:rsidRDefault="00E96991" w:rsidP="0007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8468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2BBC" w:rsidRDefault="00072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1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BBC" w:rsidRDefault="00072B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6E07D2"/>
    <w:lvl w:ilvl="0">
      <w:numFmt w:val="bullet"/>
      <w:lvlText w:val="*"/>
      <w:lvlJc w:val="left"/>
    </w:lvl>
  </w:abstractNum>
  <w:abstractNum w:abstractNumId="1">
    <w:nsid w:val="08677BCE"/>
    <w:multiLevelType w:val="hybridMultilevel"/>
    <w:tmpl w:val="8D3E2B40"/>
    <w:lvl w:ilvl="0" w:tplc="AD1CC03E">
      <w:start w:val="1"/>
      <w:numFmt w:val="decimal"/>
      <w:lvlText w:val="%1."/>
      <w:lvlJc w:val="left"/>
      <w:pPr>
        <w:ind w:left="1416" w:hanging="855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24B55BFA"/>
    <w:multiLevelType w:val="hybridMultilevel"/>
    <w:tmpl w:val="F82E9FC2"/>
    <w:lvl w:ilvl="0" w:tplc="BB08BF42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37" w:hanging="360"/>
      </w:pPr>
    </w:lvl>
    <w:lvl w:ilvl="2" w:tplc="0426001B" w:tentative="1">
      <w:start w:val="1"/>
      <w:numFmt w:val="lowerRoman"/>
      <w:lvlText w:val="%3."/>
      <w:lvlJc w:val="right"/>
      <w:pPr>
        <w:ind w:left="2357" w:hanging="180"/>
      </w:pPr>
    </w:lvl>
    <w:lvl w:ilvl="3" w:tplc="0426000F" w:tentative="1">
      <w:start w:val="1"/>
      <w:numFmt w:val="decimal"/>
      <w:lvlText w:val="%4."/>
      <w:lvlJc w:val="left"/>
      <w:pPr>
        <w:ind w:left="3077" w:hanging="360"/>
      </w:pPr>
    </w:lvl>
    <w:lvl w:ilvl="4" w:tplc="04260019" w:tentative="1">
      <w:start w:val="1"/>
      <w:numFmt w:val="lowerLetter"/>
      <w:lvlText w:val="%5."/>
      <w:lvlJc w:val="left"/>
      <w:pPr>
        <w:ind w:left="3797" w:hanging="360"/>
      </w:pPr>
    </w:lvl>
    <w:lvl w:ilvl="5" w:tplc="0426001B" w:tentative="1">
      <w:start w:val="1"/>
      <w:numFmt w:val="lowerRoman"/>
      <w:lvlText w:val="%6."/>
      <w:lvlJc w:val="right"/>
      <w:pPr>
        <w:ind w:left="4517" w:hanging="180"/>
      </w:pPr>
    </w:lvl>
    <w:lvl w:ilvl="6" w:tplc="0426000F" w:tentative="1">
      <w:start w:val="1"/>
      <w:numFmt w:val="decimal"/>
      <w:lvlText w:val="%7."/>
      <w:lvlJc w:val="left"/>
      <w:pPr>
        <w:ind w:left="5237" w:hanging="360"/>
      </w:pPr>
    </w:lvl>
    <w:lvl w:ilvl="7" w:tplc="04260019" w:tentative="1">
      <w:start w:val="1"/>
      <w:numFmt w:val="lowerLetter"/>
      <w:lvlText w:val="%8."/>
      <w:lvlJc w:val="left"/>
      <w:pPr>
        <w:ind w:left="5957" w:hanging="360"/>
      </w:pPr>
    </w:lvl>
    <w:lvl w:ilvl="8" w:tplc="0426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>
    <w:nsid w:val="32B761C9"/>
    <w:multiLevelType w:val="hybridMultilevel"/>
    <w:tmpl w:val="9D24D498"/>
    <w:lvl w:ilvl="0" w:tplc="57E2F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B"/>
    <w:rsid w:val="00011397"/>
    <w:rsid w:val="0001304F"/>
    <w:rsid w:val="0003297E"/>
    <w:rsid w:val="00072BBC"/>
    <w:rsid w:val="00137145"/>
    <w:rsid w:val="001517F3"/>
    <w:rsid w:val="00161A4D"/>
    <w:rsid w:val="00162166"/>
    <w:rsid w:val="0019461E"/>
    <w:rsid w:val="001A241D"/>
    <w:rsid w:val="001D0B84"/>
    <w:rsid w:val="00217A2F"/>
    <w:rsid w:val="00245AC2"/>
    <w:rsid w:val="00260F7F"/>
    <w:rsid w:val="003B17FB"/>
    <w:rsid w:val="003F1A9F"/>
    <w:rsid w:val="003F2132"/>
    <w:rsid w:val="00436B47"/>
    <w:rsid w:val="00450B60"/>
    <w:rsid w:val="005023F4"/>
    <w:rsid w:val="005123B2"/>
    <w:rsid w:val="00515846"/>
    <w:rsid w:val="00530954"/>
    <w:rsid w:val="005B11C9"/>
    <w:rsid w:val="005C508D"/>
    <w:rsid w:val="006577AE"/>
    <w:rsid w:val="006A5046"/>
    <w:rsid w:val="006B7056"/>
    <w:rsid w:val="006D6C70"/>
    <w:rsid w:val="006E1777"/>
    <w:rsid w:val="006F63B0"/>
    <w:rsid w:val="00717821"/>
    <w:rsid w:val="007A579E"/>
    <w:rsid w:val="007A60D3"/>
    <w:rsid w:val="00814ADD"/>
    <w:rsid w:val="008B4724"/>
    <w:rsid w:val="008D2EC9"/>
    <w:rsid w:val="008D4D65"/>
    <w:rsid w:val="009072E9"/>
    <w:rsid w:val="009C21A5"/>
    <w:rsid w:val="009E2DF4"/>
    <w:rsid w:val="009F19C6"/>
    <w:rsid w:val="00A032A4"/>
    <w:rsid w:val="00A1684E"/>
    <w:rsid w:val="00A91E78"/>
    <w:rsid w:val="00A967A6"/>
    <w:rsid w:val="00AA0EFE"/>
    <w:rsid w:val="00AB5E61"/>
    <w:rsid w:val="00AC0D3B"/>
    <w:rsid w:val="00B04C13"/>
    <w:rsid w:val="00BD3FB7"/>
    <w:rsid w:val="00BF7077"/>
    <w:rsid w:val="00C079E5"/>
    <w:rsid w:val="00C46582"/>
    <w:rsid w:val="00D759D8"/>
    <w:rsid w:val="00E96991"/>
    <w:rsid w:val="00EE4AD7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5ADB8-6247-42E1-9C51-72A58391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7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BBC"/>
  </w:style>
  <w:style w:type="paragraph" w:styleId="Footer">
    <w:name w:val="footer"/>
    <w:basedOn w:val="Normal"/>
    <w:link w:val="FooterChar"/>
    <w:uiPriority w:val="99"/>
    <w:unhideWhenUsed/>
    <w:rsid w:val="00072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BBC"/>
  </w:style>
  <w:style w:type="paragraph" w:styleId="BalloonText">
    <w:name w:val="Balloon Text"/>
    <w:basedOn w:val="Normal"/>
    <w:link w:val="BalloonTextChar"/>
    <w:uiPriority w:val="99"/>
    <w:semiHidden/>
    <w:unhideWhenUsed/>
    <w:rsid w:val="009E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ite.klementjeva@ic.ie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ns.Srenks@rs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80C2-4075-49B1-B423-2110AC07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Dins Šrenks</cp:lastModifiedBy>
  <cp:revision>26</cp:revision>
  <cp:lastPrinted>2015-09-10T11:58:00Z</cp:lastPrinted>
  <dcterms:created xsi:type="dcterms:W3CDTF">2014-11-26T07:43:00Z</dcterms:created>
  <dcterms:modified xsi:type="dcterms:W3CDTF">2021-01-28T11:45:00Z</dcterms:modified>
</cp:coreProperties>
</file>