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12053D" w14:textId="50BB69BA" w:rsidR="00653440" w:rsidRPr="00476C1B" w:rsidRDefault="00446103" w:rsidP="00653440">
      <w:pPr>
        <w:shd w:val="clear" w:color="auto" w:fill="FFFFFF"/>
        <w:spacing w:after="120"/>
        <w:jc w:val="center"/>
        <w:rPr>
          <w:b/>
          <w:bCs/>
        </w:rPr>
      </w:pPr>
      <w:r w:rsidRPr="00476C1B">
        <w:rPr>
          <w:b/>
          <w:bCs/>
        </w:rPr>
        <w:t>Ministru kabineta noteikumu projekta</w:t>
      </w:r>
      <w:r w:rsidR="00DB0AC9" w:rsidRPr="00476C1B">
        <w:rPr>
          <w:b/>
          <w:bCs/>
        </w:rPr>
        <w:t xml:space="preserve"> “</w:t>
      </w:r>
      <w:r w:rsidR="002A4006" w:rsidRPr="00476C1B">
        <w:rPr>
          <w:b/>
          <w:bCs/>
        </w:rPr>
        <w:t>Grozījumi Ministru kabineta 201</w:t>
      </w:r>
      <w:r w:rsidR="0002019D" w:rsidRPr="00476C1B">
        <w:rPr>
          <w:b/>
          <w:bCs/>
        </w:rPr>
        <w:t>1.</w:t>
      </w:r>
      <w:r w:rsidR="00395728">
        <w:rPr>
          <w:b/>
          <w:bCs/>
        </w:rPr>
        <w:t xml:space="preserve"> </w:t>
      </w:r>
      <w:r w:rsidR="0002019D" w:rsidRPr="00476C1B">
        <w:rPr>
          <w:b/>
          <w:bCs/>
        </w:rPr>
        <w:t>gada 27.</w:t>
      </w:r>
      <w:r w:rsidR="00395728">
        <w:rPr>
          <w:b/>
          <w:bCs/>
        </w:rPr>
        <w:t xml:space="preserve"> </w:t>
      </w:r>
      <w:r w:rsidR="0002019D" w:rsidRPr="00476C1B">
        <w:rPr>
          <w:b/>
          <w:bCs/>
        </w:rPr>
        <w:t>decembra noteikumos Nr</w:t>
      </w:r>
      <w:r w:rsidR="002A4006" w:rsidRPr="00476C1B">
        <w:rPr>
          <w:b/>
          <w:bCs/>
        </w:rPr>
        <w:t>.</w:t>
      </w:r>
      <w:r w:rsidR="00395728">
        <w:rPr>
          <w:b/>
          <w:bCs/>
        </w:rPr>
        <w:t xml:space="preserve"> </w:t>
      </w:r>
      <w:r w:rsidR="002A4006" w:rsidRPr="00476C1B">
        <w:rPr>
          <w:b/>
          <w:bCs/>
        </w:rPr>
        <w:t>1025 “Noteikumi par rīcību ar lietiskajiem pierādījumiem un arestēto mantu””</w:t>
      </w:r>
      <w:r w:rsidR="00DB0AC9" w:rsidRPr="00476C1B">
        <w:rPr>
          <w:b/>
          <w:bCs/>
        </w:rPr>
        <w:t xml:space="preserve"> sākotnējās ietekmes novērtējuma ziņojums (anotācija)</w:t>
      </w:r>
    </w:p>
    <w:p w14:paraId="495FB97F" w14:textId="77777777" w:rsidR="00DB0AC9" w:rsidRPr="00476C1B" w:rsidRDefault="00DB0AC9" w:rsidP="00DB0AC9">
      <w:pPr>
        <w:shd w:val="clear" w:color="auto" w:fill="FFFFFF"/>
        <w:ind w:firstLine="300"/>
        <w:jc w:val="center"/>
        <w:rPr>
          <w:iCs/>
        </w:rPr>
      </w:pPr>
    </w:p>
    <w:tbl>
      <w:tblPr>
        <w:tblStyle w:val="TableGrid"/>
        <w:tblW w:w="5500" w:type="pct"/>
        <w:jc w:val="center"/>
        <w:shd w:val="clear" w:color="auto" w:fill="FFFFFF" w:themeFill="background1"/>
        <w:tblLook w:val="04A0" w:firstRow="1" w:lastRow="0" w:firstColumn="1" w:lastColumn="0" w:noHBand="0" w:noVBand="1"/>
      </w:tblPr>
      <w:tblGrid>
        <w:gridCol w:w="3616"/>
        <w:gridCol w:w="6351"/>
      </w:tblGrid>
      <w:tr w:rsidR="00DB0AC9" w:rsidRPr="00476C1B" w14:paraId="7DF05D40" w14:textId="77777777" w:rsidTr="00F1742D">
        <w:trPr>
          <w:jc w:val="center"/>
        </w:trPr>
        <w:tc>
          <w:tcPr>
            <w:tcW w:w="928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85C09C9" w14:textId="77777777" w:rsidR="00DB0AC9" w:rsidRPr="00476C1B" w:rsidRDefault="00DB0AC9" w:rsidP="006D0053">
            <w:pPr>
              <w:jc w:val="center"/>
              <w:rPr>
                <w:b/>
                <w:iCs/>
              </w:rPr>
            </w:pPr>
            <w:r w:rsidRPr="00476C1B">
              <w:rPr>
                <w:b/>
                <w:iCs/>
              </w:rPr>
              <w:t xml:space="preserve">Tiesību akta projekta anotācijas kopsavilkums </w:t>
            </w:r>
          </w:p>
        </w:tc>
      </w:tr>
      <w:tr w:rsidR="00DB0AC9" w:rsidRPr="00476C1B" w14:paraId="31F9DD37" w14:textId="77777777" w:rsidTr="00F1742D">
        <w:trPr>
          <w:jc w:val="center"/>
        </w:trPr>
        <w:tc>
          <w:tcPr>
            <w:tcW w:w="33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365C8F" w14:textId="77777777" w:rsidR="00DB0AC9" w:rsidRPr="00476C1B" w:rsidRDefault="00DB0AC9" w:rsidP="00DB0AC9">
            <w:pPr>
              <w:rPr>
                <w:iCs/>
              </w:rPr>
            </w:pPr>
            <w:r w:rsidRPr="00476C1B">
              <w:rPr>
                <w:iCs/>
              </w:rPr>
              <w:t xml:space="preserve">Mērķis, risinājums un projekta spēkā stāšanās laiks </w:t>
            </w:r>
          </w:p>
        </w:tc>
        <w:tc>
          <w:tcPr>
            <w:tcW w:w="59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5AFC3D" w14:textId="77777777" w:rsidR="00815350" w:rsidRDefault="00135E44" w:rsidP="0023252E">
            <w:pPr>
              <w:pStyle w:val="NormalWeb"/>
              <w:spacing w:after="0"/>
              <w:jc w:val="both"/>
              <w:rPr>
                <w:bCs/>
              </w:rPr>
            </w:pPr>
            <w:r w:rsidRPr="00476C1B">
              <w:rPr>
                <w:bCs/>
              </w:rPr>
              <w:t>Ministru kabineta noteikumu projekta “Grozījumi Ministru kabineta 2011.</w:t>
            </w:r>
            <w:r w:rsidR="0023252E">
              <w:rPr>
                <w:bCs/>
              </w:rPr>
              <w:t xml:space="preserve"> </w:t>
            </w:r>
            <w:r w:rsidRPr="00476C1B">
              <w:rPr>
                <w:bCs/>
              </w:rPr>
              <w:t>gada 27.</w:t>
            </w:r>
            <w:r w:rsidR="0023252E">
              <w:rPr>
                <w:bCs/>
              </w:rPr>
              <w:t xml:space="preserve"> </w:t>
            </w:r>
            <w:r w:rsidRPr="00476C1B">
              <w:rPr>
                <w:bCs/>
              </w:rPr>
              <w:t>d</w:t>
            </w:r>
            <w:r w:rsidR="001C7A65" w:rsidRPr="00476C1B">
              <w:rPr>
                <w:bCs/>
              </w:rPr>
              <w:t>ecembra noteikumos Nr</w:t>
            </w:r>
            <w:r w:rsidRPr="00476C1B">
              <w:rPr>
                <w:bCs/>
              </w:rPr>
              <w:t>.</w:t>
            </w:r>
            <w:r w:rsidR="0023252E">
              <w:rPr>
                <w:bCs/>
              </w:rPr>
              <w:t xml:space="preserve"> </w:t>
            </w:r>
            <w:r w:rsidRPr="00476C1B">
              <w:rPr>
                <w:bCs/>
              </w:rPr>
              <w:t>1025 “Noteikumi par rīcību ar lietiskajiem pierādījumiem un arestēto mantu”” (turpmā</w:t>
            </w:r>
            <w:r w:rsidR="0023252E">
              <w:rPr>
                <w:bCs/>
              </w:rPr>
              <w:t xml:space="preserve">k – projekts) mērķis ir noteikt </w:t>
            </w:r>
            <w:r w:rsidRPr="00476C1B">
              <w:rPr>
                <w:bCs/>
              </w:rPr>
              <w:t>virtuāl</w:t>
            </w:r>
            <w:r w:rsidR="0023252E">
              <w:rPr>
                <w:bCs/>
              </w:rPr>
              <w:t>ās valūtas</w:t>
            </w:r>
            <w:r w:rsidR="007E06D4" w:rsidRPr="00476C1B">
              <w:rPr>
                <w:bCs/>
              </w:rPr>
              <w:t>, kurai kriminālprocesā ir uzlikts arests</w:t>
            </w:r>
            <w:r w:rsidR="0023252E">
              <w:rPr>
                <w:bCs/>
              </w:rPr>
              <w:t xml:space="preserve"> realizācijas kārtību</w:t>
            </w:r>
            <w:r w:rsidR="007E06D4" w:rsidRPr="00476C1B">
              <w:rPr>
                <w:bCs/>
              </w:rPr>
              <w:t>.</w:t>
            </w:r>
          </w:p>
          <w:p w14:paraId="0AFD4983" w14:textId="337A6620" w:rsidR="0023252E" w:rsidRPr="00476C1B" w:rsidRDefault="0023252E" w:rsidP="0023252E">
            <w:pPr>
              <w:pStyle w:val="NormalWeb"/>
              <w:spacing w:after="0"/>
              <w:jc w:val="both"/>
              <w:rPr>
                <w:shd w:val="clear" w:color="auto" w:fill="FFFFFF"/>
              </w:rPr>
            </w:pPr>
            <w:r>
              <w:t>Projekta spēkā stāšanās paredzēta vispārējā kārtībā.</w:t>
            </w:r>
          </w:p>
        </w:tc>
      </w:tr>
    </w:tbl>
    <w:p w14:paraId="59A84A6A" w14:textId="4DFAA8BC" w:rsidR="00DB0AC9" w:rsidRPr="00476C1B" w:rsidRDefault="00DB0AC9" w:rsidP="00DB0AC9">
      <w:pPr>
        <w:shd w:val="clear" w:color="auto" w:fill="FFFFFF"/>
        <w:ind w:firstLine="300"/>
        <w:jc w:val="center"/>
        <w:rPr>
          <w:iCs/>
        </w:rPr>
      </w:pPr>
    </w:p>
    <w:tbl>
      <w:tblPr>
        <w:tblW w:w="5582"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18"/>
        <w:gridCol w:w="2647"/>
        <w:gridCol w:w="7044"/>
      </w:tblGrid>
      <w:tr w:rsidR="00DB0AC9" w:rsidRPr="00476C1B" w14:paraId="14F3EE74" w14:textId="77777777" w:rsidTr="00F1742D">
        <w:trPr>
          <w:trHeight w:val="249"/>
          <w:jc w:val="center"/>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283BB0A2" w14:textId="77777777" w:rsidR="00DB0AC9" w:rsidRPr="00476C1B" w:rsidRDefault="00DB0AC9" w:rsidP="006D0053">
            <w:pPr>
              <w:jc w:val="center"/>
              <w:rPr>
                <w:b/>
                <w:bCs/>
              </w:rPr>
            </w:pPr>
            <w:r w:rsidRPr="00476C1B">
              <w:rPr>
                <w:b/>
                <w:bCs/>
              </w:rPr>
              <w:t>I. Tiesību akta projekta izstrādes nepieciešamība</w:t>
            </w:r>
          </w:p>
        </w:tc>
      </w:tr>
      <w:tr w:rsidR="00DB0AC9" w:rsidRPr="00476C1B" w14:paraId="1FCCAE93" w14:textId="77777777" w:rsidTr="00F1742D">
        <w:trPr>
          <w:trHeight w:val="197"/>
          <w:jc w:val="center"/>
        </w:trPr>
        <w:tc>
          <w:tcPr>
            <w:tcW w:w="207" w:type="pct"/>
            <w:tcBorders>
              <w:top w:val="outset" w:sz="6" w:space="0" w:color="414142"/>
              <w:left w:val="outset" w:sz="6" w:space="0" w:color="414142"/>
              <w:bottom w:val="outset" w:sz="6" w:space="0" w:color="414142"/>
              <w:right w:val="outset" w:sz="6" w:space="0" w:color="414142"/>
            </w:tcBorders>
            <w:hideMark/>
          </w:tcPr>
          <w:p w14:paraId="6D0F8312" w14:textId="77777777" w:rsidR="00DB0AC9" w:rsidRPr="00476C1B" w:rsidRDefault="00DB0AC9" w:rsidP="006D0053">
            <w:pPr>
              <w:jc w:val="center"/>
            </w:pPr>
            <w:r w:rsidRPr="00476C1B">
              <w:t>1.</w:t>
            </w:r>
          </w:p>
        </w:tc>
        <w:tc>
          <w:tcPr>
            <w:tcW w:w="1309" w:type="pct"/>
            <w:tcBorders>
              <w:top w:val="outset" w:sz="6" w:space="0" w:color="414142"/>
              <w:left w:val="outset" w:sz="6" w:space="0" w:color="414142"/>
              <w:bottom w:val="outset" w:sz="6" w:space="0" w:color="414142"/>
              <w:right w:val="outset" w:sz="6" w:space="0" w:color="414142"/>
            </w:tcBorders>
            <w:hideMark/>
          </w:tcPr>
          <w:p w14:paraId="07244CD1" w14:textId="77777777" w:rsidR="00DB0AC9" w:rsidRPr="00476C1B" w:rsidRDefault="00DB0AC9" w:rsidP="006D0053">
            <w:r w:rsidRPr="00476C1B">
              <w:t>Pamatojums</w:t>
            </w:r>
          </w:p>
        </w:tc>
        <w:tc>
          <w:tcPr>
            <w:tcW w:w="3484" w:type="pct"/>
            <w:tcBorders>
              <w:top w:val="outset" w:sz="6" w:space="0" w:color="414142"/>
              <w:left w:val="outset" w:sz="6" w:space="0" w:color="414142"/>
              <w:bottom w:val="outset" w:sz="6" w:space="0" w:color="414142"/>
              <w:right w:val="outset" w:sz="6" w:space="0" w:color="414142"/>
            </w:tcBorders>
          </w:tcPr>
          <w:p w14:paraId="16A3AA65" w14:textId="08C14DAA" w:rsidR="00DB0AC9" w:rsidRPr="00476C1B" w:rsidRDefault="00EB5FB4" w:rsidP="006601AF">
            <w:pPr>
              <w:contextualSpacing/>
              <w:jc w:val="both"/>
            </w:pPr>
            <w:r w:rsidRPr="00476C1B">
              <w:t>2020.</w:t>
            </w:r>
            <w:r w:rsidR="00C529EF" w:rsidRPr="00476C1B">
              <w:t xml:space="preserve"> </w:t>
            </w:r>
            <w:r w:rsidRPr="00476C1B">
              <w:t>gada 11.</w:t>
            </w:r>
            <w:r w:rsidR="00C529EF" w:rsidRPr="00476C1B">
              <w:t xml:space="preserve"> </w:t>
            </w:r>
            <w:r w:rsidRPr="00476C1B">
              <w:t>jūnija likuma “Grozījumi Kriminālprocesa likumā” (turpmāk – Likums) 27.</w:t>
            </w:r>
            <w:r w:rsidR="00C529EF" w:rsidRPr="00476C1B">
              <w:t xml:space="preserve"> </w:t>
            </w:r>
            <w:r w:rsidRPr="00476C1B">
              <w:t>pants, kas paredz papildināt Kriminālprocesa likuma 365.</w:t>
            </w:r>
            <w:r w:rsidR="00C529EF" w:rsidRPr="00476C1B">
              <w:t xml:space="preserve"> </w:t>
            </w:r>
            <w:r w:rsidRPr="00476C1B">
              <w:t>panta 2.</w:t>
            </w:r>
            <w:r w:rsidRPr="00476C1B">
              <w:rPr>
                <w:vertAlign w:val="superscript"/>
              </w:rPr>
              <w:t xml:space="preserve">1 </w:t>
            </w:r>
            <w:r w:rsidRPr="00476C1B">
              <w:t>daļu ar deleģējumu Ministru kabinetam noteikt virtuālās valūtas realizācijas kārtību.</w:t>
            </w:r>
          </w:p>
        </w:tc>
      </w:tr>
      <w:tr w:rsidR="00DB0AC9" w:rsidRPr="00476C1B" w14:paraId="165BBE9D" w14:textId="77777777" w:rsidTr="00F1742D">
        <w:trPr>
          <w:trHeight w:val="465"/>
          <w:jc w:val="center"/>
        </w:trPr>
        <w:tc>
          <w:tcPr>
            <w:tcW w:w="207" w:type="pct"/>
            <w:tcBorders>
              <w:top w:val="outset" w:sz="6" w:space="0" w:color="414142"/>
              <w:left w:val="outset" w:sz="6" w:space="0" w:color="414142"/>
              <w:bottom w:val="single" w:sz="4" w:space="0" w:color="auto"/>
              <w:right w:val="outset" w:sz="6" w:space="0" w:color="414142"/>
            </w:tcBorders>
            <w:hideMark/>
          </w:tcPr>
          <w:p w14:paraId="0A51F4A1" w14:textId="77777777" w:rsidR="00DB0AC9" w:rsidRPr="00476C1B" w:rsidRDefault="00DB0AC9" w:rsidP="006D0053">
            <w:pPr>
              <w:jc w:val="center"/>
            </w:pPr>
            <w:r w:rsidRPr="00476C1B">
              <w:t>2.</w:t>
            </w:r>
          </w:p>
        </w:tc>
        <w:tc>
          <w:tcPr>
            <w:tcW w:w="1309" w:type="pct"/>
            <w:tcBorders>
              <w:top w:val="outset" w:sz="6" w:space="0" w:color="414142"/>
              <w:left w:val="outset" w:sz="6" w:space="0" w:color="414142"/>
              <w:bottom w:val="single" w:sz="4" w:space="0" w:color="auto"/>
              <w:right w:val="outset" w:sz="6" w:space="0" w:color="414142"/>
            </w:tcBorders>
            <w:hideMark/>
          </w:tcPr>
          <w:p w14:paraId="052272F3" w14:textId="77777777" w:rsidR="00DB0AC9" w:rsidRPr="00476C1B" w:rsidRDefault="00DB0AC9" w:rsidP="006D0053">
            <w:r w:rsidRPr="00476C1B">
              <w:t>Pašreizējā situācija un problēmas, kuru risināšanai tiesību akta projekts izstrādāts, tiesiskā regulējuma mērķis un būtība</w:t>
            </w:r>
          </w:p>
        </w:tc>
        <w:tc>
          <w:tcPr>
            <w:tcW w:w="3484" w:type="pct"/>
            <w:tcBorders>
              <w:top w:val="outset" w:sz="6" w:space="0" w:color="414142"/>
              <w:left w:val="outset" w:sz="6" w:space="0" w:color="414142"/>
              <w:bottom w:val="single" w:sz="4" w:space="0" w:color="auto"/>
              <w:right w:val="outset" w:sz="6" w:space="0" w:color="414142"/>
            </w:tcBorders>
            <w:hideMark/>
          </w:tcPr>
          <w:p w14:paraId="386C68B2" w14:textId="6F5705F4" w:rsidR="00763572" w:rsidRPr="00476C1B" w:rsidRDefault="00011389" w:rsidP="005D05FD">
            <w:pPr>
              <w:pStyle w:val="tv213"/>
              <w:shd w:val="clear" w:color="auto" w:fill="FFFFFF"/>
              <w:spacing w:before="0" w:beforeAutospacing="0" w:after="0" w:afterAutospacing="0" w:line="293" w:lineRule="atLeast"/>
              <w:jc w:val="both"/>
            </w:pPr>
            <w:r w:rsidRPr="00476C1B">
              <w:rPr>
                <w:bCs/>
              </w:rPr>
              <w:t xml:space="preserve">Latvijas Republikas </w:t>
            </w:r>
            <w:r w:rsidR="00622FE7" w:rsidRPr="00476C1B">
              <w:t>Saeima</w:t>
            </w:r>
            <w:r w:rsidRPr="00476C1B">
              <w:t xml:space="preserve"> </w:t>
            </w:r>
            <w:r w:rsidR="0050554F" w:rsidRPr="00476C1B">
              <w:t>2020.</w:t>
            </w:r>
            <w:r w:rsidR="0023252E">
              <w:t xml:space="preserve"> </w:t>
            </w:r>
            <w:r w:rsidR="0050554F" w:rsidRPr="00476C1B">
              <w:t>gada 11.</w:t>
            </w:r>
            <w:r w:rsidR="0023252E">
              <w:t xml:space="preserve"> </w:t>
            </w:r>
            <w:r w:rsidR="0050554F" w:rsidRPr="00476C1B">
              <w:t>jūnijā galīgajā lasījumā pieņ</w:t>
            </w:r>
            <w:r w:rsidR="008048A5" w:rsidRPr="00476C1B">
              <w:t>ēma Likumu</w:t>
            </w:r>
            <w:r w:rsidR="00763572" w:rsidRPr="00476C1B">
              <w:t>.</w:t>
            </w:r>
          </w:p>
          <w:p w14:paraId="48EB5894" w14:textId="15FA9BB5" w:rsidR="00011389" w:rsidRPr="00476C1B" w:rsidRDefault="00EB5FB4" w:rsidP="005D05FD">
            <w:pPr>
              <w:pStyle w:val="tv213"/>
              <w:shd w:val="clear" w:color="auto" w:fill="FFFFFF"/>
              <w:spacing w:before="0" w:beforeAutospacing="0" w:after="0" w:afterAutospacing="0" w:line="293" w:lineRule="atLeast"/>
              <w:jc w:val="both"/>
            </w:pPr>
            <w:r w:rsidRPr="00476C1B">
              <w:t>Likuma 27</w:t>
            </w:r>
            <w:r w:rsidR="00763572" w:rsidRPr="00476C1B">
              <w:t>.</w:t>
            </w:r>
            <w:r w:rsidR="00C529EF" w:rsidRPr="00476C1B">
              <w:t xml:space="preserve"> </w:t>
            </w:r>
            <w:r w:rsidR="00763572" w:rsidRPr="00476C1B">
              <w:t>pan</w:t>
            </w:r>
            <w:r w:rsidR="008048A5" w:rsidRPr="00476C1B">
              <w:t xml:space="preserve">ts paredz papildināt </w:t>
            </w:r>
            <w:r w:rsidR="00763572" w:rsidRPr="00476C1B">
              <w:t>Kriminālprocesa likuma 365.</w:t>
            </w:r>
            <w:r w:rsidR="00C529EF" w:rsidRPr="00476C1B">
              <w:t xml:space="preserve"> </w:t>
            </w:r>
            <w:r w:rsidR="00763572" w:rsidRPr="00476C1B">
              <w:t>panta 2.</w:t>
            </w:r>
            <w:r w:rsidR="00763572" w:rsidRPr="00476C1B">
              <w:rPr>
                <w:vertAlign w:val="superscript"/>
              </w:rPr>
              <w:t xml:space="preserve">1 </w:t>
            </w:r>
            <w:r w:rsidR="008048A5" w:rsidRPr="00476C1B">
              <w:t xml:space="preserve">daļu </w:t>
            </w:r>
            <w:r w:rsidR="00763572" w:rsidRPr="00476C1B">
              <w:t>ar ceturto un piekto teikumu,</w:t>
            </w:r>
            <w:r w:rsidR="008048A5" w:rsidRPr="00476C1B">
              <w:t xml:space="preserve"> kas nosaka</w:t>
            </w:r>
            <w:r w:rsidR="00763572" w:rsidRPr="00476C1B">
              <w:t xml:space="preserve">, ka, ja </w:t>
            </w:r>
            <w:r w:rsidR="00011389" w:rsidRPr="00476C1B">
              <w:t xml:space="preserve">tiek uzlikts arests virtuālajai valūtai, to ar procesa virzītāja lēmumu nodod realizācijai, un ka Ministru kabinets nosaka virtuālās valūtas realizācijas kārtību, kā arī </w:t>
            </w:r>
            <w:r w:rsidR="008048A5" w:rsidRPr="00476C1B">
              <w:t xml:space="preserve">Likums paredz papildināt </w:t>
            </w:r>
            <w:r w:rsidR="00763572" w:rsidRPr="00476C1B">
              <w:t>Kriminālp</w:t>
            </w:r>
            <w:r w:rsidR="008048A5" w:rsidRPr="00476C1B">
              <w:t>rocesa likuma 365.</w:t>
            </w:r>
            <w:r w:rsidR="00C529EF" w:rsidRPr="00476C1B">
              <w:t xml:space="preserve"> </w:t>
            </w:r>
            <w:r w:rsidR="008048A5" w:rsidRPr="00476C1B">
              <w:t>pantu</w:t>
            </w:r>
            <w:r w:rsidR="00763572" w:rsidRPr="00476C1B">
              <w:t xml:space="preserve"> </w:t>
            </w:r>
            <w:r w:rsidR="00011389" w:rsidRPr="00476C1B">
              <w:t>ar jaunu 2.</w:t>
            </w:r>
            <w:r w:rsidR="00011389" w:rsidRPr="00476C1B">
              <w:rPr>
                <w:vertAlign w:val="superscript"/>
              </w:rPr>
              <w:t xml:space="preserve">2 </w:t>
            </w:r>
            <w:r w:rsidR="008048A5" w:rsidRPr="00476C1B">
              <w:t>daļu, kas nosaka</w:t>
            </w:r>
            <w:r w:rsidR="00011389" w:rsidRPr="00476C1B">
              <w:t>, ka lēmuma par arestētās mantas realizāciju vai iznīcināšanu kopiju procesa virzītājs nosūta arestētās mantas īpašniekam vai likumīgajam valdītājam, informējot viņu par tiesībām šo lēmumu pirmstiesas kriminālprocesā pārsūdzēt izmeklēšanas tiesnesim. Līdz sūdzības izskatīšanai lēmuma izpilde tiek apturēta. Lēmuma izpildes apturēšana neattiecas uz mantu, kuras ilgstoša uzglabāšana nav iespējama. Izmeklēšanas tiesneša lēmums nav pārsūdzams.</w:t>
            </w:r>
          </w:p>
          <w:p w14:paraId="793781F2" w14:textId="4A34218E" w:rsidR="00EB4BFF" w:rsidRPr="00476C1B" w:rsidRDefault="00763572" w:rsidP="005D05FD">
            <w:pPr>
              <w:pStyle w:val="tv213"/>
              <w:shd w:val="clear" w:color="auto" w:fill="FFFFFF"/>
              <w:spacing w:before="0" w:beforeAutospacing="0" w:after="0" w:afterAutospacing="0" w:line="293" w:lineRule="atLeast"/>
              <w:jc w:val="both"/>
            </w:pPr>
            <w:r w:rsidRPr="00476C1B">
              <w:t>Vienlaikus Likums</w:t>
            </w:r>
            <w:r w:rsidR="002528D9" w:rsidRPr="00476C1B">
              <w:t xml:space="preserve"> paredz papildināt Kriminālprocesa likuma pārejas noteikumus ar 72.</w:t>
            </w:r>
            <w:r w:rsidR="00C529EF" w:rsidRPr="00476C1B">
              <w:t xml:space="preserve"> </w:t>
            </w:r>
            <w:r w:rsidR="002528D9" w:rsidRPr="00476C1B">
              <w:t>punktu, kas noteic, ka Kriminālprocesa likuma 365. panta 2.</w:t>
            </w:r>
            <w:r w:rsidR="002528D9" w:rsidRPr="00476C1B">
              <w:rPr>
                <w:vertAlign w:val="superscript"/>
              </w:rPr>
              <w:t>1</w:t>
            </w:r>
            <w:r w:rsidR="002528D9" w:rsidRPr="00476C1B">
              <w:t> daļas ceturtais un piektais teikums stājas spēkā 2021. gada 1. janvārī.</w:t>
            </w:r>
          </w:p>
          <w:p w14:paraId="13B849AB" w14:textId="42A9EE42" w:rsidR="00B97B67" w:rsidRPr="00476C1B" w:rsidRDefault="006C44B6" w:rsidP="006C44B6">
            <w:pPr>
              <w:pStyle w:val="tv213"/>
              <w:shd w:val="clear" w:color="auto" w:fill="FFFFFF"/>
              <w:spacing w:before="0" w:beforeAutospacing="0" w:after="0" w:afterAutospacing="0" w:line="293" w:lineRule="atLeast"/>
              <w:jc w:val="both"/>
              <w:rPr>
                <w:bCs/>
              </w:rPr>
            </w:pPr>
            <w:r w:rsidRPr="00476C1B">
              <w:rPr>
                <w:bCs/>
              </w:rPr>
              <w:t xml:space="preserve">Rīcību ar lietiskajiem pierādījumiem un arestēto mantu, tostarp </w:t>
            </w:r>
            <w:r w:rsidR="00767F61" w:rsidRPr="00476C1B">
              <w:rPr>
                <w:bCs/>
              </w:rPr>
              <w:t xml:space="preserve">lietisko pierādījumu un </w:t>
            </w:r>
            <w:r w:rsidRPr="00476C1B">
              <w:rPr>
                <w:bCs/>
              </w:rPr>
              <w:t>arestētās mantas realizācijas kārtību šobrīd nosaka Ministru kabineta 2011.</w:t>
            </w:r>
            <w:r w:rsidR="00A01294">
              <w:rPr>
                <w:bCs/>
              </w:rPr>
              <w:t xml:space="preserve"> </w:t>
            </w:r>
            <w:r w:rsidRPr="00476C1B">
              <w:rPr>
                <w:bCs/>
              </w:rPr>
              <w:t>gada 27.</w:t>
            </w:r>
            <w:r w:rsidR="00A01294">
              <w:rPr>
                <w:bCs/>
              </w:rPr>
              <w:t xml:space="preserve"> </w:t>
            </w:r>
            <w:r w:rsidRPr="00476C1B">
              <w:rPr>
                <w:bCs/>
              </w:rPr>
              <w:t xml:space="preserve">decembra noteikumi Nr.1025 “Noteikumi par rīcību ar lietiskajiem pierādījumiem un arestēto mantu” (turpmāk – Noteikumi Nr.1025). </w:t>
            </w:r>
          </w:p>
          <w:p w14:paraId="6CC39FE6" w14:textId="3874850A" w:rsidR="006C44B6" w:rsidRPr="00476C1B" w:rsidRDefault="00B97B67" w:rsidP="006C44B6">
            <w:pPr>
              <w:pStyle w:val="tv213"/>
              <w:shd w:val="clear" w:color="auto" w:fill="FFFFFF"/>
              <w:spacing w:before="0" w:beforeAutospacing="0" w:after="0" w:afterAutospacing="0" w:line="293" w:lineRule="atLeast"/>
              <w:jc w:val="both"/>
              <w:rPr>
                <w:shd w:val="clear" w:color="auto" w:fill="FFFFFF"/>
              </w:rPr>
            </w:pPr>
            <w:r w:rsidRPr="00476C1B">
              <w:rPr>
                <w:bCs/>
              </w:rPr>
              <w:t>Līdz ar to, izpildot Likumā ietverto deleģējumu Ministru kabinetam</w:t>
            </w:r>
            <w:r w:rsidR="008048A5" w:rsidRPr="00476C1B">
              <w:rPr>
                <w:bCs/>
              </w:rPr>
              <w:t>, nepieciešams</w:t>
            </w:r>
            <w:r w:rsidR="007A402C" w:rsidRPr="00476C1B">
              <w:rPr>
                <w:bCs/>
              </w:rPr>
              <w:t xml:space="preserve"> izstrādāt </w:t>
            </w:r>
            <w:r w:rsidRPr="00476C1B">
              <w:rPr>
                <w:bCs/>
              </w:rPr>
              <w:t>grozījumus</w:t>
            </w:r>
            <w:r w:rsidR="007A402C" w:rsidRPr="00476C1B">
              <w:rPr>
                <w:bCs/>
              </w:rPr>
              <w:t xml:space="preserve"> Noteikumos Nr.1025</w:t>
            </w:r>
            <w:r w:rsidRPr="00476C1B">
              <w:rPr>
                <w:bCs/>
              </w:rPr>
              <w:t xml:space="preserve"> un</w:t>
            </w:r>
            <w:r w:rsidR="007A402C" w:rsidRPr="00476C1B">
              <w:rPr>
                <w:bCs/>
              </w:rPr>
              <w:t xml:space="preserve"> paredzēt kārtību, kādā realizē virtuālo valūtu, kurai kriminālprocesā ir uzlikts arests.</w:t>
            </w:r>
          </w:p>
          <w:p w14:paraId="6E8B88A2" w14:textId="2E03C89A" w:rsidR="00767F61" w:rsidRPr="00476C1B" w:rsidRDefault="00767F61" w:rsidP="005D05FD">
            <w:pPr>
              <w:pStyle w:val="tv213"/>
              <w:shd w:val="clear" w:color="auto" w:fill="FFFFFF"/>
              <w:spacing w:before="0" w:beforeAutospacing="0" w:after="0" w:afterAutospacing="0" w:line="293" w:lineRule="atLeast"/>
              <w:jc w:val="both"/>
            </w:pPr>
            <w:r w:rsidRPr="00476C1B">
              <w:t>Eiropas Centrālā banka ir norādījusi, ka saskaņā ar Padomes 1998.</w:t>
            </w:r>
            <w:r w:rsidR="00A01294">
              <w:t xml:space="preserve"> </w:t>
            </w:r>
            <w:r w:rsidRPr="00476C1B">
              <w:t>gada 3.</w:t>
            </w:r>
            <w:r w:rsidR="00A01294">
              <w:t xml:space="preserve"> </w:t>
            </w:r>
            <w:r w:rsidRPr="00476C1B">
              <w:t xml:space="preserve">maija Regulu (EK) Nr.974/98 par </w:t>
            </w:r>
            <w:proofErr w:type="spellStart"/>
            <w:r w:rsidRPr="00476C1B">
              <w:rPr>
                <w:i/>
              </w:rPr>
              <w:t>e</w:t>
            </w:r>
            <w:r w:rsidR="00B97B67" w:rsidRPr="00476C1B">
              <w:rPr>
                <w:i/>
              </w:rPr>
              <w:t>u</w:t>
            </w:r>
            <w:r w:rsidRPr="00476C1B">
              <w:rPr>
                <w:i/>
              </w:rPr>
              <w:t>ro</w:t>
            </w:r>
            <w:proofErr w:type="spellEnd"/>
            <w:r w:rsidRPr="00476C1B">
              <w:t xml:space="preserve"> ieviešanu </w:t>
            </w:r>
            <w:proofErr w:type="spellStart"/>
            <w:r w:rsidRPr="00476C1B">
              <w:rPr>
                <w:i/>
              </w:rPr>
              <w:t>euro</w:t>
            </w:r>
            <w:proofErr w:type="spellEnd"/>
            <w:r w:rsidRPr="00476C1B">
              <w:rPr>
                <w:i/>
              </w:rPr>
              <w:t xml:space="preserve"> </w:t>
            </w:r>
            <w:r w:rsidRPr="00476C1B">
              <w:t xml:space="preserve">ir vienīgā valūta Eiropas Savienības ekonomiskajā un monetārajā savienībā un ka virtuālā valūta atbilstoši Eiropas Savienības viedoklim faktiski nav valūta, jo tās </w:t>
            </w:r>
            <w:r w:rsidRPr="00476C1B">
              <w:lastRenderedPageBreak/>
              <w:t>emisija un izmantošana netiek regulēta vai uzraudzīta un tā juridiski nav piesaistīta nevienas valsts oficiālajai valūtai</w:t>
            </w:r>
            <w:r w:rsidR="00C529EF" w:rsidRPr="00476C1B">
              <w:t xml:space="preserve"> </w:t>
            </w:r>
            <w:proofErr w:type="gramStart"/>
            <w:r w:rsidR="00F23AFA" w:rsidRPr="00476C1B">
              <w:t>(</w:t>
            </w:r>
            <w:proofErr w:type="gramEnd"/>
            <w:r w:rsidR="00F23AFA" w:rsidRPr="00476C1B">
              <w:t>skat.https://www.vid.gov.lv/sites/default/files/virtuala-valuta-vadlinijas-2019_1.pdf-3.lpp.)</w:t>
            </w:r>
            <w:r w:rsidR="00C529EF" w:rsidRPr="00476C1B">
              <w:t>.</w:t>
            </w:r>
          </w:p>
          <w:p w14:paraId="543AB82E" w14:textId="4E3B4532" w:rsidR="00767F61" w:rsidRPr="00476C1B" w:rsidRDefault="00767F61" w:rsidP="005D05FD">
            <w:pPr>
              <w:pStyle w:val="tv213"/>
              <w:shd w:val="clear" w:color="auto" w:fill="FFFFFF"/>
              <w:spacing w:before="0" w:beforeAutospacing="0" w:after="0" w:afterAutospacing="0" w:line="293" w:lineRule="atLeast"/>
              <w:jc w:val="both"/>
            </w:pPr>
            <w:r w:rsidRPr="00476C1B">
              <w:t>Tā kā virtuālajai valūtai nav likumīga maksāšanas līdzekļa statusa, to varētu uzskatīt par maiņas līdzekli, nevis par maksāšanas līdzekli.</w:t>
            </w:r>
          </w:p>
          <w:p w14:paraId="26647C2C" w14:textId="7E464B88" w:rsidR="003C42A4" w:rsidRPr="00476C1B" w:rsidRDefault="003C42A4" w:rsidP="005D05FD">
            <w:pPr>
              <w:pStyle w:val="tv213"/>
              <w:shd w:val="clear" w:color="auto" w:fill="FFFFFF"/>
              <w:spacing w:before="0" w:beforeAutospacing="0" w:after="0" w:afterAutospacing="0" w:line="293" w:lineRule="atLeast"/>
              <w:jc w:val="both"/>
            </w:pPr>
            <w:r w:rsidRPr="00476C1B">
              <w:t>Šo</w:t>
            </w:r>
            <w:r w:rsidR="008352A6" w:rsidRPr="00476C1B">
              <w:t>brīd pasaulē ir vairāk nekā 2000</w:t>
            </w:r>
            <w:r w:rsidR="00973AE9" w:rsidRPr="00476C1B">
              <w:t xml:space="preserve"> (skat. https://coinmarketcap.com/)</w:t>
            </w:r>
            <w:r w:rsidRPr="00476C1B">
              <w:t xml:space="preserve"> virtuālo valūtu, no kurām liela daļa atšķirībā no to sākotnējā mērķa – kļūt par pamatu alternatīvai finanšu sistēmai – attīstītas kā augsta riska spekulāciju objekts bieži vien bez jebkāda ekonomiska pamatojuma. </w:t>
            </w:r>
          </w:p>
          <w:p w14:paraId="52DA7331" w14:textId="3C646F49" w:rsidR="003C42A4" w:rsidRPr="00476C1B" w:rsidRDefault="003C42A4" w:rsidP="005D05FD">
            <w:pPr>
              <w:pStyle w:val="tv213"/>
              <w:shd w:val="clear" w:color="auto" w:fill="FFFFFF"/>
              <w:spacing w:before="0" w:beforeAutospacing="0" w:after="0" w:afterAutospacing="0" w:line="293" w:lineRule="atLeast"/>
              <w:jc w:val="both"/>
            </w:pPr>
            <w:r w:rsidRPr="00476C1B">
              <w:t>Eiropas Parlamenta un Padomes 2018.</w:t>
            </w:r>
            <w:r w:rsidR="0023252E">
              <w:t xml:space="preserve"> </w:t>
            </w:r>
            <w:r w:rsidRPr="00476C1B">
              <w:t>gada 30.</w:t>
            </w:r>
            <w:r w:rsidR="0023252E">
              <w:t xml:space="preserve"> </w:t>
            </w:r>
            <w:r w:rsidRPr="00476C1B">
              <w:t xml:space="preserve">maija Direktīvā (ES) 2018/843, ar ko groza Direktīvu (ES) 2015/849 par to, lai nepieļautu finanšu sistēmas izmantošanu nelikumīgi iegūtu līdzekļu legalizēšanai vai teroristu finansēšanai, un ar ko groza Direktīvas 2009/138/EK un 2013/36/ES </w:t>
            </w:r>
            <w:proofErr w:type="gramStart"/>
            <w:r w:rsidRPr="00476C1B">
              <w:t>(</w:t>
            </w:r>
            <w:proofErr w:type="gramEnd"/>
            <w:r w:rsidRPr="00476C1B">
              <w:t>turpmāk – Direktīva 2018/843) ieviests pirmais Eiropas Savienības līmeņa virtuālo valūtu regulējums. Direktīvā 2018/843 noteikta virtuālo valūtu definīcija, proti, “virtuālās valūtas” ir vērtības digitāls atspoguļojums, ko neizsniedz vai negarantē centrālā banka vai valsts iestāde, kas nav obligāti piesaistītas likumīgi izveidotai valūtai un kurām nav valūtas vai naudas juridiskā statusa, bet ko fiziskas vai juridiskas personas pieņem kā maiņas līdzekli un ko var pārskaitīt, glabāt un tirgot elektroniskā veidā.</w:t>
            </w:r>
          </w:p>
          <w:p w14:paraId="1F32634C" w14:textId="74D35C61" w:rsidR="003C42A4" w:rsidRPr="00476C1B" w:rsidRDefault="003C42A4" w:rsidP="005D05FD">
            <w:pPr>
              <w:pStyle w:val="tv213"/>
              <w:shd w:val="clear" w:color="auto" w:fill="FFFFFF"/>
              <w:spacing w:before="0" w:beforeAutospacing="0" w:after="0" w:afterAutospacing="0" w:line="293" w:lineRule="atLeast"/>
              <w:jc w:val="both"/>
            </w:pPr>
            <w:r w:rsidRPr="00476C1B">
              <w:t>Eiropas Savienības Tiesas 2015.</w:t>
            </w:r>
            <w:r w:rsidR="0023252E">
              <w:t xml:space="preserve"> </w:t>
            </w:r>
            <w:r w:rsidRPr="00476C1B">
              <w:t>gada 22.</w:t>
            </w:r>
            <w:r w:rsidR="0023252E">
              <w:t xml:space="preserve"> </w:t>
            </w:r>
            <w:r w:rsidRPr="00476C1B">
              <w:t>oktobra spriedum</w:t>
            </w:r>
            <w:r w:rsidR="004159A8" w:rsidRPr="00476C1B">
              <w:t>a</w:t>
            </w:r>
            <w:r w:rsidR="00BB184C" w:rsidRPr="00476C1B">
              <w:t xml:space="preserve"> </w:t>
            </w:r>
            <w:r w:rsidRPr="00476C1B">
              <w:t>C264/14</w:t>
            </w:r>
            <w:r w:rsidR="004159A8" w:rsidRPr="00476C1B">
              <w:t xml:space="preserve"> 42.</w:t>
            </w:r>
            <w:r w:rsidR="0023252E">
              <w:t xml:space="preserve"> </w:t>
            </w:r>
            <w:r w:rsidR="004159A8" w:rsidRPr="00476C1B">
              <w:t>punktā</w:t>
            </w:r>
            <w:r w:rsidRPr="00476C1B">
              <w:t xml:space="preserve"> noteikts, ka “[..] virtuālā valūta “</w:t>
            </w:r>
            <w:proofErr w:type="spellStart"/>
            <w:r w:rsidRPr="00476C1B">
              <w:t>bitcoin</w:t>
            </w:r>
            <w:proofErr w:type="spellEnd"/>
            <w:r w:rsidRPr="00476C1B">
              <w:t>” ir līgumisks maksāšanas līdzeklis, to nevar, pirmkārt, uzskatīt ne par norēķinu kontu, ne par noguldījumu, maksājumu vai pārskaitījumu. Otrkārt, [..] tas ir tiešs maksāšanas līdzeklis to uzņēmumu starpā, kas to akceptē”.</w:t>
            </w:r>
          </w:p>
          <w:p w14:paraId="0D28F88F" w14:textId="74CC0429" w:rsidR="00192D48" w:rsidRPr="00476C1B" w:rsidRDefault="00F6108A" w:rsidP="00192D48">
            <w:pPr>
              <w:pStyle w:val="tv213"/>
              <w:shd w:val="clear" w:color="auto" w:fill="FFFFFF"/>
              <w:spacing w:before="0" w:beforeAutospacing="0" w:after="0" w:afterAutospacing="0" w:line="293" w:lineRule="atLeast"/>
              <w:jc w:val="both"/>
            </w:pPr>
            <w:r w:rsidRPr="00476C1B">
              <w:t>Nacionālajā līmenī v</w:t>
            </w:r>
            <w:r w:rsidR="00192D48" w:rsidRPr="00476C1B">
              <w:t xml:space="preserve">irtuālā valūta ir definēta Noziedzīgi iegūtu līdzekļu legalizācijas un terorisma un </w:t>
            </w:r>
            <w:proofErr w:type="spellStart"/>
            <w:r w:rsidR="00192D48" w:rsidRPr="00476C1B">
              <w:t>proliferācijas</w:t>
            </w:r>
            <w:proofErr w:type="spellEnd"/>
            <w:r w:rsidR="00192D48" w:rsidRPr="00476C1B">
              <w:t xml:space="preserve"> finansēšanas novēršanas likuma 1. panta 2.</w:t>
            </w:r>
            <w:r w:rsidR="00192D48" w:rsidRPr="00476C1B">
              <w:rPr>
                <w:vertAlign w:val="superscript"/>
              </w:rPr>
              <w:t xml:space="preserve">2 </w:t>
            </w:r>
            <w:r w:rsidR="00192D48" w:rsidRPr="00476C1B">
              <w:t xml:space="preserve">punktā, </w:t>
            </w:r>
            <w:proofErr w:type="gramStart"/>
            <w:r w:rsidR="00192D48" w:rsidRPr="00476C1B">
              <w:t>kas paredz, ka virtuālā valūta ir vērtības digitālais atspoguļojums, kas var būt digitāli nosūtīts, glabāts vai tirgots</w:t>
            </w:r>
            <w:proofErr w:type="gramEnd"/>
            <w:r w:rsidR="00192D48" w:rsidRPr="00476C1B">
              <w:t xml:space="preserve"> un funkcionēt kā apmaiņas līdzeklis, bet nav atzīts par likumīgu maksāšanas līdzekli, nav uzskatāms par banknoti un monētu, bezskaidru naudu un elektronisko naudu, kā arī nav monetārā vērtība, kura uzkrāta maksājuma instrumentā, kas tiek izmantots Maksājumu pakalpojumu un elektroniskās naudas likuma 3. panta 10. un 11. punktā minētajos gadījumos. </w:t>
            </w:r>
          </w:p>
          <w:p w14:paraId="3D22A3C3" w14:textId="17A31354" w:rsidR="002D14E9" w:rsidRPr="00476C1B" w:rsidRDefault="002D14E9" w:rsidP="005D05FD">
            <w:pPr>
              <w:pStyle w:val="tv213"/>
              <w:shd w:val="clear" w:color="auto" w:fill="FFFFFF"/>
              <w:spacing w:before="0" w:beforeAutospacing="0" w:after="0" w:afterAutospacing="0" w:line="293" w:lineRule="atLeast"/>
              <w:jc w:val="both"/>
            </w:pPr>
            <w:r w:rsidRPr="00476C1B">
              <w:t xml:space="preserve">Maksājumu pakalpojumu un elektroniskās naudas likumā, kā arī citos normatīvajos aktos, piemēram, </w:t>
            </w:r>
            <w:r w:rsidR="00D9210D" w:rsidRPr="00476C1B">
              <w:t>Finanšu instrumentu tirgus likumā</w:t>
            </w:r>
            <w:r w:rsidR="003F2555" w:rsidRPr="00476C1B">
              <w:t>, Gada pārskatu un k</w:t>
            </w:r>
            <w:r w:rsidRPr="00476C1B">
              <w:t xml:space="preserve">onsolidēto gada pārskatu likumā </w:t>
            </w:r>
            <w:r w:rsidR="003F2555" w:rsidRPr="00476C1B">
              <w:t xml:space="preserve">minētais skaidri norāda, ka virtuālā valūta nav uzskatāma par finanšu instrumentu, jo nav atzīstama kā vienošanās, kas rada finanšu aktīvus, bet citai personai – finanšu saistības vai kapitāla vērtspapīrus, tā nav valūta, tai nav likumīga maksāšanas līdzekļa statusa, tās emisiju un izmantošanu neregulē un neuzrauga un tā juridiski nav piesaistīta nevienas valsts oficiālajai valūtai. </w:t>
            </w:r>
          </w:p>
          <w:p w14:paraId="1613F1A3" w14:textId="075E6A25" w:rsidR="003F2555" w:rsidRPr="00476C1B" w:rsidRDefault="002D14E9" w:rsidP="005D05FD">
            <w:pPr>
              <w:pStyle w:val="tv213"/>
              <w:shd w:val="clear" w:color="auto" w:fill="FFFFFF"/>
              <w:spacing w:before="0" w:beforeAutospacing="0" w:after="0" w:afterAutospacing="0" w:line="293" w:lineRule="atLeast"/>
              <w:jc w:val="both"/>
            </w:pPr>
            <w:r w:rsidRPr="00476C1B">
              <w:t>V</w:t>
            </w:r>
            <w:r w:rsidR="003F2555" w:rsidRPr="00476C1B">
              <w:t>irtu</w:t>
            </w:r>
            <w:r w:rsidR="00D04D1F" w:rsidRPr="00476C1B">
              <w:t>ālā valūta pēc būtības ir prece</w:t>
            </w:r>
            <w:r w:rsidRPr="00476C1B">
              <w:t>. Tātad, ja sabiedrība par precēm vai pakalpojumiem norēķinās virtuālajā valūtā, pēc ekonomiskās būtības tiek veikts preču maiņas (bartera) dar</w:t>
            </w:r>
            <w:r w:rsidR="00B343E6" w:rsidRPr="00476C1B">
              <w:t>ījums, nevis naudas darījums, fiziskām</w:t>
            </w:r>
            <w:r w:rsidR="00F9506E" w:rsidRPr="00476C1B">
              <w:t xml:space="preserve"> vai juridiskām personām civiltiesiski vienojoties par vērtību.</w:t>
            </w:r>
          </w:p>
          <w:p w14:paraId="03507818" w14:textId="6B8BE2C8" w:rsidR="000C1374" w:rsidRPr="00476C1B" w:rsidRDefault="006C44B6" w:rsidP="006C44B6">
            <w:pPr>
              <w:jc w:val="both"/>
            </w:pPr>
            <w:r w:rsidRPr="00476C1B">
              <w:lastRenderedPageBreak/>
              <w:t xml:space="preserve">Virtuālās valūtas vērtību pilnībā nosaka brīvā tirgus ekonomikas principi, proti, virtuālās valūtas vērtību nosaka tās pieprasījums un piedāvājums. Virtuālā valūta netiek uzraudzīta no valsts puses un tā brīvā veidā ir komersantu un fizisku personu pārraudzībā. Turklāt nav noteikts tiesiskais regulējums, kas garantētu virtuālās valūtas glabāšanu, kā arī nav iespējams nodrošināties pret straujiem virtuālās valūtas vērtības maiņas riskiem. Ņemot vērā virtuālās valūtas īpatnības, proti, straujās virtuālās valūtas vērtības svārstības, </w:t>
            </w:r>
            <w:r w:rsidR="006B4D5B" w:rsidRPr="00476C1B">
              <w:t xml:space="preserve">kā arī to, ka virtuālā </w:t>
            </w:r>
            <w:r w:rsidR="00F50A6F" w:rsidRPr="00476C1B">
              <w:t>valūta netiek uzraudzīta no valsts puses</w:t>
            </w:r>
            <w:r w:rsidR="0023252E">
              <w:t>,</w:t>
            </w:r>
            <w:r w:rsidR="00F50A6F" w:rsidRPr="00476C1B">
              <w:t xml:space="preserve"> un tā brīvā veidā ir komersantu un fizisku personu pārraudzībā, </w:t>
            </w:r>
            <w:r w:rsidRPr="00476C1B">
              <w:t>ir būtiski nodrošināt</w:t>
            </w:r>
            <w:r w:rsidR="00D917D4" w:rsidRPr="00476C1B">
              <w:t xml:space="preserve"> pēc iespējas ātrāku </w:t>
            </w:r>
            <w:r w:rsidR="00F50A6F" w:rsidRPr="00476C1B">
              <w:t xml:space="preserve">arestētās </w:t>
            </w:r>
            <w:r w:rsidRPr="00476C1B">
              <w:t xml:space="preserve">virtuālās valūtas realizāciju un to pārvēršanu naudas izteiksmē pirms galīgā nolēmuma spēkā stāšanās. </w:t>
            </w:r>
            <w:r w:rsidR="00644134" w:rsidRPr="00476C1B">
              <w:t>Šādā</w:t>
            </w:r>
            <w:r w:rsidRPr="00476C1B">
              <w:t xml:space="preserve"> veidā tiktu iegūti naudas līdzekļi, kuriem ir noteikta vērtība un sa</w:t>
            </w:r>
            <w:r w:rsidR="00D917D4" w:rsidRPr="00476C1B">
              <w:t xml:space="preserve">līdzinoši minimālas svārstības. </w:t>
            </w:r>
            <w:r w:rsidRPr="00476C1B">
              <w:t xml:space="preserve">Attiecīgi realizētās virtuālās valūtas vērtība naudas izteiksmē tiktu glabāta </w:t>
            </w:r>
            <w:r w:rsidR="00DC23C7" w:rsidRPr="00476C1B">
              <w:t xml:space="preserve">deponēto līdzekļu kontā </w:t>
            </w:r>
            <w:r w:rsidRPr="00476C1B">
              <w:t xml:space="preserve">līdz galīgā nolēmuma pieņemšanai kriminālprocesā, lai </w:t>
            </w:r>
            <w:r w:rsidR="002913A0" w:rsidRPr="00476C1B">
              <w:t>to izmantotu mantisko jautājumu risinājum</w:t>
            </w:r>
            <w:r w:rsidR="0002019D" w:rsidRPr="00476C1B">
              <w:t>a nodrošināšanai</w:t>
            </w:r>
            <w:r w:rsidR="002913A0" w:rsidRPr="00476C1B">
              <w:t>.</w:t>
            </w:r>
          </w:p>
          <w:p w14:paraId="12C5840E" w14:textId="2D960095" w:rsidR="003019B9" w:rsidRDefault="00644134" w:rsidP="006C44B6">
            <w:pPr>
              <w:jc w:val="both"/>
            </w:pPr>
            <w:r w:rsidRPr="00476C1B">
              <w:t xml:space="preserve">Izvērtējot apzināto ārvalstu praksi par virtuālās valūtas realizāciju, secināms, ka, </w:t>
            </w:r>
            <w:r w:rsidR="006021B2" w:rsidRPr="00476C1B">
              <w:t xml:space="preserve">tā ir ļoti dažāda, </w:t>
            </w:r>
            <w:r w:rsidRPr="00476C1B">
              <w:t>piemēram, Beļģijā virtuālā val</w:t>
            </w:r>
            <w:r w:rsidR="0005650B" w:rsidRPr="00476C1B">
              <w:t>ūta tiek realizēta</w:t>
            </w:r>
            <w:r w:rsidRPr="00476C1B">
              <w:t xml:space="preserve"> 3 mēnešu laikā izsolē; Nīderlandē virtuālo val</w:t>
            </w:r>
            <w:r w:rsidR="0005650B" w:rsidRPr="00476C1B">
              <w:t>ūtu realizē</w:t>
            </w:r>
            <w:r w:rsidRPr="00476C1B">
              <w:t xml:space="preserve"> uz izmeklētāja lēmuma pamata 48 stundu laikā p</w:t>
            </w:r>
            <w:r w:rsidR="00F50A6F" w:rsidRPr="00476C1B">
              <w:t xml:space="preserve">ēc tās izņemšanas; </w:t>
            </w:r>
            <w:r w:rsidRPr="00476C1B">
              <w:t>Slov</w:t>
            </w:r>
            <w:r w:rsidR="0005650B" w:rsidRPr="00476C1B">
              <w:t xml:space="preserve">ākijā izņemtā virtuālā valūta netiek realizēta līdz kriminālprocesa pabeigšanai; </w:t>
            </w:r>
            <w:r w:rsidR="00F50A6F" w:rsidRPr="00476C1B">
              <w:t>Lielbritānijā</w:t>
            </w:r>
            <w:r w:rsidR="0005650B" w:rsidRPr="00476C1B">
              <w:t xml:space="preserve"> pastāv elastīga pieeja attiecībā uz virtuālās valūtas realizāciju, proti, risinājumi tiek rasti, izvērtējot individuāli katru gadījumu. Parasti virtuālā valūta pēc izņemšanas tiek konvertēta naudā.</w:t>
            </w:r>
          </w:p>
          <w:p w14:paraId="70880212" w14:textId="77777777" w:rsidR="0023252E" w:rsidRPr="00476C1B" w:rsidRDefault="0023252E" w:rsidP="006C44B6">
            <w:pPr>
              <w:jc w:val="both"/>
            </w:pPr>
          </w:p>
          <w:p w14:paraId="1EEBCF2F" w14:textId="05E8D822" w:rsidR="00B528E6" w:rsidRPr="00476C1B" w:rsidRDefault="00B528E6" w:rsidP="006C44B6">
            <w:pPr>
              <w:jc w:val="both"/>
            </w:pPr>
            <w:r w:rsidRPr="00476C1B">
              <w:t>Lai izpildītu Kriminālprocesa likuma 365.</w:t>
            </w:r>
            <w:r w:rsidR="006A7651" w:rsidRPr="00476C1B">
              <w:t xml:space="preserve"> </w:t>
            </w:r>
            <w:r w:rsidRPr="00476C1B">
              <w:t>panta 2.</w:t>
            </w:r>
            <w:r w:rsidRPr="00476C1B">
              <w:rPr>
                <w:vertAlign w:val="superscript"/>
              </w:rPr>
              <w:t xml:space="preserve">1 </w:t>
            </w:r>
            <w:r w:rsidR="006A7651" w:rsidRPr="00476C1B">
              <w:t>daļā Ministru kabinetam doto deleģējumu</w:t>
            </w:r>
            <w:r w:rsidR="004B3380" w:rsidRPr="00476C1B">
              <w:t>,</w:t>
            </w:r>
            <w:r w:rsidRPr="00476C1B">
              <w:t xml:space="preserve"> projekt</w:t>
            </w:r>
            <w:r w:rsidR="00CF52BF" w:rsidRPr="00476C1B">
              <w:t>s p</w:t>
            </w:r>
            <w:r w:rsidR="00FD0A3F" w:rsidRPr="00476C1B">
              <w:t>a</w:t>
            </w:r>
            <w:r w:rsidR="00CF52BF" w:rsidRPr="00476C1B">
              <w:t>redz</w:t>
            </w:r>
            <w:r w:rsidRPr="00476C1B">
              <w:t xml:space="preserve"> noteikt, ka virtuālo valūtu ar procesa virzītāja lēmu</w:t>
            </w:r>
            <w:r w:rsidR="00F0544B" w:rsidRPr="00476C1B">
              <w:t>mu nodod realizācijai Nodrošinājuma valsts aģentūrai (turpmāk – aģentūra)</w:t>
            </w:r>
            <w:r w:rsidR="00DB2420" w:rsidRPr="00476C1B">
              <w:t>.</w:t>
            </w:r>
          </w:p>
          <w:p w14:paraId="301116DC" w14:textId="6920B077" w:rsidR="00691BFF" w:rsidRPr="00476C1B" w:rsidRDefault="00691BFF" w:rsidP="00691BFF">
            <w:pPr>
              <w:jc w:val="both"/>
            </w:pPr>
            <w:r w:rsidRPr="00476C1B">
              <w:t>Tādējādi tiek paredzēts, ka aģentūra ir centralizēta iestāde valstī, kas izveido un uztur oficiāli piereģistrētu virtuālās valūtas maku (kas nav vienreizēja darījuma maks), veic tirgus izpēti un nodrošina virtuālās valūtas realizāciju.</w:t>
            </w:r>
          </w:p>
          <w:p w14:paraId="1AA6C247" w14:textId="77777777" w:rsidR="00691BFF" w:rsidRPr="00476C1B" w:rsidRDefault="00691BFF" w:rsidP="00691BFF">
            <w:pPr>
              <w:jc w:val="both"/>
            </w:pPr>
            <w:r w:rsidRPr="00476C1B">
              <w:t>Virtuālo valūtu realizācijai aģentūrai nodos jebkuras Kriminālprocesa likumā noteiktās izmeklēšanas iestādes procesa virzītājs, kas savā lietvedībā esošā kriminālprocesā būs pieņēmis lēmumu par arestētās virtuālās valūtas realizāciju.</w:t>
            </w:r>
          </w:p>
          <w:p w14:paraId="7F2B02A3" w14:textId="760243A0" w:rsidR="00691BFF" w:rsidRPr="00476C1B" w:rsidRDefault="00691BFF" w:rsidP="006C44B6">
            <w:pPr>
              <w:jc w:val="both"/>
            </w:pPr>
            <w:r w:rsidRPr="00476C1B">
              <w:t>Minētā centralizētā pieeja ir efektīva, jo, pirmkārt, tādējādi tiks veidota virtuālās valūtas realizācijas vienota prakse visā valstī, otrkārt – tiks atslogotas izmeklēšanas iestādes no tām neraksturīgu funkciju veikšanas, pašām realizējot virtuālo valūtu.</w:t>
            </w:r>
          </w:p>
          <w:p w14:paraId="7D2E6B79" w14:textId="4248A378" w:rsidR="006A7651" w:rsidRPr="00476C1B" w:rsidRDefault="00B528E6" w:rsidP="006C44B6">
            <w:pPr>
              <w:jc w:val="both"/>
            </w:pPr>
            <w:r w:rsidRPr="00476C1B">
              <w:t xml:space="preserve">Lai nodrošinātu virtuālās valūtas </w:t>
            </w:r>
            <w:r w:rsidR="00F0544B" w:rsidRPr="00476C1B">
              <w:t xml:space="preserve">realizāciju, aģentūra </w:t>
            </w:r>
            <w:r w:rsidR="00555EFB" w:rsidRPr="00476C1B">
              <w:t>uztur šim mērķim izveidotu virtuālās valūtas maku (makus)</w:t>
            </w:r>
            <w:r w:rsidR="00903051" w:rsidRPr="00476C1B">
              <w:t xml:space="preserve"> Latvijā vai </w:t>
            </w:r>
            <w:r w:rsidR="00C05814" w:rsidRPr="00476C1B">
              <w:t>E</w:t>
            </w:r>
            <w:r w:rsidR="00A863D9" w:rsidRPr="00476C1B">
              <w:t>iropas S</w:t>
            </w:r>
            <w:r w:rsidR="00C05814" w:rsidRPr="00476C1B">
              <w:t>avienības, Eiropas Ekonomikas zonas vai Ziemeļatlantijas līguma organizācijas dalībvalstī</w:t>
            </w:r>
            <w:r w:rsidR="00A148CB" w:rsidRPr="00476C1B">
              <w:t xml:space="preserve"> </w:t>
            </w:r>
            <w:r w:rsidR="00C05814" w:rsidRPr="00476C1B">
              <w:t>reģistrēta</w:t>
            </w:r>
            <w:r w:rsidR="00903051" w:rsidRPr="00476C1B">
              <w:t xml:space="preserve"> virtuālā</w:t>
            </w:r>
            <w:r w:rsidR="00C05814" w:rsidRPr="00476C1B">
              <w:t>s valūtas pakalpojuma sniedzēja platformā</w:t>
            </w:r>
            <w:r w:rsidR="00903051" w:rsidRPr="00476C1B">
              <w:t>.</w:t>
            </w:r>
          </w:p>
          <w:p w14:paraId="77B3FF3E" w14:textId="77777777" w:rsidR="00691BFF" w:rsidRPr="00476C1B" w:rsidRDefault="00A863D9" w:rsidP="006C44B6">
            <w:pPr>
              <w:jc w:val="both"/>
              <w:rPr>
                <w:bCs/>
                <w:shd w:val="clear" w:color="auto" w:fill="FFFFFF"/>
              </w:rPr>
            </w:pPr>
            <w:r w:rsidRPr="00476C1B">
              <w:rPr>
                <w:shd w:val="clear" w:color="auto" w:fill="FFFFFF"/>
              </w:rPr>
              <w:t>Prasība par virtuālās valūtas maka izveidi Eiropas Savienības, Eiropas Ekonomikas zonas vai Ziemeļatlantijas līguma organizācijas dalībvalstī reģistrēta virtuālās valūtas pakalpojuma sniedzēj</w:t>
            </w:r>
            <w:r w:rsidR="00F132F6" w:rsidRPr="00476C1B">
              <w:rPr>
                <w:shd w:val="clear" w:color="auto" w:fill="FFFFFF"/>
              </w:rPr>
              <w:t>a</w:t>
            </w:r>
            <w:r w:rsidRPr="00476C1B">
              <w:rPr>
                <w:shd w:val="clear" w:color="auto" w:fill="FFFFFF"/>
              </w:rPr>
              <w:t xml:space="preserve"> platformā</w:t>
            </w:r>
            <w:r w:rsidR="00F132F6" w:rsidRPr="00476C1B">
              <w:rPr>
                <w:shd w:val="clear" w:color="auto" w:fill="FFFFFF"/>
              </w:rPr>
              <w:t xml:space="preserve"> ir pamatojama ar vispārējiem Valsts drošības dienesta ieteikumiem</w:t>
            </w:r>
            <w:r w:rsidR="00F132F6" w:rsidRPr="00476C1B">
              <w:rPr>
                <w:bCs/>
                <w:shd w:val="clear" w:color="auto" w:fill="FFFFFF"/>
              </w:rPr>
              <w:t xml:space="preserve"> informācijas tehnoloģiju drošības pārvaldībai valsts un pašvaldību institūcijās.</w:t>
            </w:r>
          </w:p>
          <w:p w14:paraId="28FD65D4" w14:textId="77777777" w:rsidR="00691BFF" w:rsidRPr="00476C1B" w:rsidRDefault="00691BFF" w:rsidP="006C44B6">
            <w:pPr>
              <w:jc w:val="both"/>
            </w:pPr>
            <w:r w:rsidRPr="00476C1B">
              <w:lastRenderedPageBreak/>
              <w:t xml:space="preserve">Veidojot virtuālo maku, aģentūra izvērtē, vai attiecīgajai virtuālās valūta pakalpojuma sniedzēja platformai ir iespēja veikt maksājumus vienotajā </w:t>
            </w:r>
            <w:proofErr w:type="spellStart"/>
            <w:r w:rsidRPr="00476C1B">
              <w:rPr>
                <w:i/>
              </w:rPr>
              <w:t>euro</w:t>
            </w:r>
            <w:proofErr w:type="spellEnd"/>
            <w:r w:rsidRPr="00476C1B">
              <w:t xml:space="preserve"> maksājumu telpā, vai virtuālās valūtas pakalpojuma sniedzējs ir reģistrēts valstī, ar kuru iespējams nodrošināt krimināltiesisko sadarbību, kā arī, kādus virtuālās valūtas veidus tā realizē </w:t>
            </w:r>
            <w:proofErr w:type="gramStart"/>
            <w:r w:rsidRPr="00476C1B">
              <w:t>(</w:t>
            </w:r>
            <w:proofErr w:type="gramEnd"/>
            <w:r w:rsidRPr="00476C1B">
              <w:t>vismaz vairākas un visbiežāk izmantojamās virtuālās valūtas, piemēram, BTC, ETH, XPR, LTC, USDT, BCH, LIBRA u.c.).</w:t>
            </w:r>
          </w:p>
          <w:p w14:paraId="35DE076F" w14:textId="77777777" w:rsidR="00691BFF" w:rsidRPr="00476C1B" w:rsidRDefault="00691BFF" w:rsidP="00691BFF">
            <w:pPr>
              <w:jc w:val="both"/>
            </w:pPr>
            <w:r w:rsidRPr="00476C1B">
              <w:t>Lai izveidotu virtuālās valūtas maku, nepieciešams reģistrēties attiecīgās platformas vietnē, norādot reģistrācijai pieprasīto nepieciešamo informāciju.</w:t>
            </w:r>
          </w:p>
          <w:p w14:paraId="4D8BBC0C" w14:textId="0722000D" w:rsidR="00A863D9" w:rsidRPr="00476C1B" w:rsidRDefault="00691BFF" w:rsidP="006C44B6">
            <w:pPr>
              <w:jc w:val="both"/>
            </w:pPr>
            <w:r w:rsidRPr="00476C1B">
              <w:t xml:space="preserve">Gan </w:t>
            </w:r>
            <w:proofErr w:type="spellStart"/>
            <w:r w:rsidRPr="00476C1B">
              <w:t>LocalBitcoins</w:t>
            </w:r>
            <w:proofErr w:type="spellEnd"/>
            <w:r w:rsidRPr="00476C1B">
              <w:t xml:space="preserve">, gan </w:t>
            </w:r>
            <w:proofErr w:type="spellStart"/>
            <w:r w:rsidRPr="00476C1B">
              <w:t>Kraken</w:t>
            </w:r>
            <w:proofErr w:type="spellEnd"/>
            <w:r w:rsidRPr="00476C1B">
              <w:t xml:space="preserve"> un </w:t>
            </w:r>
            <w:proofErr w:type="spellStart"/>
            <w:r w:rsidRPr="00476C1B">
              <w:t>Binance</w:t>
            </w:r>
            <w:proofErr w:type="spellEnd"/>
            <w:r w:rsidRPr="00476C1B">
              <w:t xml:space="preserve"> platformā visi virtuālās valūtas maki ir jau iepriekš sagatavoti un platformu lietošana ir vienkārša un saprotama.  Atšķirībā, piemēram, no</w:t>
            </w:r>
            <w:r w:rsidR="00574BEB" w:rsidRPr="00476C1B">
              <w:t xml:space="preserve"> </w:t>
            </w:r>
            <w:r w:rsidRPr="00476C1B">
              <w:t xml:space="preserve">platformas </w:t>
            </w:r>
            <w:proofErr w:type="spellStart"/>
            <w:r w:rsidRPr="00476C1B">
              <w:t>LocalBitcoins</w:t>
            </w:r>
            <w:proofErr w:type="spellEnd"/>
            <w:r w:rsidRPr="00476C1B">
              <w:t xml:space="preserve">, kur ir iespējams veikt darbības tikai ar virtuālo valūtu </w:t>
            </w:r>
            <w:proofErr w:type="spellStart"/>
            <w:r w:rsidRPr="00476C1B">
              <w:t>Bitcoin</w:t>
            </w:r>
            <w:proofErr w:type="spellEnd"/>
            <w:r w:rsidRPr="00476C1B">
              <w:t xml:space="preserve"> (BTC), </w:t>
            </w:r>
            <w:proofErr w:type="spellStart"/>
            <w:r w:rsidRPr="00476C1B">
              <w:t>Kraken</w:t>
            </w:r>
            <w:proofErr w:type="spellEnd"/>
            <w:r w:rsidRPr="00476C1B">
              <w:t xml:space="preserve"> un </w:t>
            </w:r>
            <w:proofErr w:type="spellStart"/>
            <w:r w:rsidRPr="00476C1B">
              <w:t>Binance</w:t>
            </w:r>
            <w:proofErr w:type="spellEnd"/>
            <w:r w:rsidRPr="00476C1B">
              <w:t xml:space="preserve"> ir iespējams iegādāties vai realizēt dažādas virtuālās valūtas, piemēram, populārās - </w:t>
            </w:r>
            <w:proofErr w:type="spellStart"/>
            <w:r w:rsidRPr="00476C1B">
              <w:t>Bitcoin</w:t>
            </w:r>
            <w:proofErr w:type="spellEnd"/>
            <w:r w:rsidRPr="00476C1B">
              <w:t xml:space="preserve">, </w:t>
            </w:r>
            <w:proofErr w:type="spellStart"/>
            <w:r w:rsidRPr="00476C1B">
              <w:t>Etherium</w:t>
            </w:r>
            <w:proofErr w:type="spellEnd"/>
            <w:r w:rsidRPr="00476C1B">
              <w:t xml:space="preserve"> </w:t>
            </w:r>
            <w:proofErr w:type="spellStart"/>
            <w:r w:rsidRPr="00476C1B">
              <w:t>Tether</w:t>
            </w:r>
            <w:proofErr w:type="spellEnd"/>
            <w:r w:rsidRPr="00476C1B">
              <w:t xml:space="preserve">, kā arī mazāk populāras. </w:t>
            </w:r>
            <w:proofErr w:type="gramStart"/>
            <w:r w:rsidRPr="00476C1B">
              <w:t xml:space="preserve">Turklāt </w:t>
            </w:r>
            <w:proofErr w:type="spellStart"/>
            <w:r w:rsidRPr="00476C1B">
              <w:t>Kraken</w:t>
            </w:r>
            <w:proofErr w:type="spellEnd"/>
            <w:r w:rsidRPr="00476C1B">
              <w:t xml:space="preserve"> un </w:t>
            </w:r>
            <w:proofErr w:type="spellStart"/>
            <w:r w:rsidRPr="00476C1B">
              <w:t>Binance</w:t>
            </w:r>
            <w:proofErr w:type="spellEnd"/>
            <w:r w:rsidRPr="00476C1B">
              <w:t xml:space="preserve"> ir</w:t>
            </w:r>
            <w:proofErr w:type="gramEnd"/>
            <w:r w:rsidRPr="00476C1B">
              <w:t xml:space="preserve"> iespējams gan pašam norādīt iegādes/realizācijas cenu, gan izvelēties uz to brīdi viņu piedāvāto vidējo cenu, pēc kā virtuālā valūta par norādīto summu tiks realizēta automātiski. Savukārt </w:t>
            </w:r>
            <w:proofErr w:type="spellStart"/>
            <w:r w:rsidRPr="00476C1B">
              <w:t>LocalBitcoins</w:t>
            </w:r>
            <w:proofErr w:type="spellEnd"/>
            <w:r w:rsidRPr="00476C1B">
              <w:t xml:space="preserve"> platformā darbības tiek veiktas starp platformas lietotājiem, līdz ar to virtuālās valūtas realizētājam pašam nepieciešams meklēt personas, kuras iegādāsies virtuālo valūtu konkrētā apjomā par realizētāja </w:t>
            </w:r>
            <w:r w:rsidR="0023252E" w:rsidRPr="00476C1B">
              <w:t>norādīto</w:t>
            </w:r>
            <w:r w:rsidRPr="00476C1B">
              <w:t xml:space="preserve"> cenu. </w:t>
            </w:r>
          </w:p>
          <w:p w14:paraId="4B5C1B06" w14:textId="091F6E1A" w:rsidR="00A61D23" w:rsidRPr="00476C1B" w:rsidRDefault="00A61D23" w:rsidP="006C44B6">
            <w:pPr>
              <w:jc w:val="both"/>
            </w:pPr>
            <w:r w:rsidRPr="00476C1B">
              <w:t xml:space="preserve">Lai nodrošinātu virtuālā maka izveidošanu virtuālās valūtas pakalpojuma sniedzēja platformā, kā arī nodrošinātu norēķinus ar virtuālās valūtas pakalpojuma sniedzēju, aģentūra </w:t>
            </w:r>
            <w:r w:rsidR="001A57BF">
              <w:t>var atvērt</w:t>
            </w:r>
            <w:r w:rsidRPr="00476C1B">
              <w:t xml:space="preserve"> kontu kredītiestādē, kura nodrošina atbilstošus līdzekļus norēķiniem internetā (norēķinu kartes, autentifikācija internetā u.c.).</w:t>
            </w:r>
          </w:p>
          <w:p w14:paraId="4CBC8DE7" w14:textId="7155F5E9" w:rsidR="003A6F93" w:rsidRPr="00476C1B" w:rsidRDefault="003A6F93" w:rsidP="006C44B6">
            <w:pPr>
              <w:jc w:val="both"/>
            </w:pPr>
          </w:p>
          <w:p w14:paraId="41D2D2E0" w14:textId="1E932830" w:rsidR="00501232" w:rsidRPr="00476C1B" w:rsidRDefault="0089352C" w:rsidP="00501232">
            <w:pPr>
              <w:jc w:val="both"/>
            </w:pPr>
            <w:r w:rsidRPr="00476C1B">
              <w:t xml:space="preserve">Projekts paredz noteikt, </w:t>
            </w:r>
            <w:proofErr w:type="gramStart"/>
            <w:r w:rsidRPr="00476C1B">
              <w:t xml:space="preserve">ka procesa virzītājs, kas saskaņā ar Kriminālprocesa likumu ir pieņēmis lēmumu par </w:t>
            </w:r>
            <w:r w:rsidR="00501232" w:rsidRPr="00476C1B">
              <w:t xml:space="preserve">aresta uzlikšanu virtuālajai valūtai, </w:t>
            </w:r>
            <w:r w:rsidR="00330C8E" w:rsidRPr="00476C1B">
              <w:t xml:space="preserve">nekavējoties </w:t>
            </w:r>
            <w:r w:rsidR="00501232" w:rsidRPr="00476C1B">
              <w:t>ie</w:t>
            </w:r>
            <w:r w:rsidR="00DB64E9" w:rsidRPr="00476C1B">
              <w:t>vieto virtuālo valūtu aģentūras</w:t>
            </w:r>
            <w:r w:rsidR="00501232" w:rsidRPr="00476C1B">
              <w:t xml:space="preserve"> izveidotajā virtuālajā makā</w:t>
            </w:r>
            <w:proofErr w:type="gramEnd"/>
            <w:r w:rsidR="00501232" w:rsidRPr="00476C1B">
              <w:t xml:space="preserve"> un vienas dienas laikā rak</w:t>
            </w:r>
            <w:r w:rsidR="00DB64E9" w:rsidRPr="00476C1B">
              <w:t>stveidā paziņo par to aģentūrai</w:t>
            </w:r>
            <w:r w:rsidR="00501232" w:rsidRPr="00476C1B">
              <w:t>, norādot tās apmēru, ievietošanas laiku, īsu kriminālprocesa fabulu un pievieno transakcijas identifikācijas numuru.</w:t>
            </w:r>
          </w:p>
          <w:p w14:paraId="3E398861" w14:textId="3CF732A6" w:rsidR="00032C5B" w:rsidRPr="00476C1B" w:rsidRDefault="00032C5B" w:rsidP="006C44B6">
            <w:pPr>
              <w:jc w:val="both"/>
            </w:pPr>
            <w:r w:rsidRPr="00476C1B">
              <w:t xml:space="preserve">Pirms virtuālās valūtas ievietošanas virtuālajā makā, procesa virzītājs noskaidro, </w:t>
            </w:r>
            <w:proofErr w:type="gramStart"/>
            <w:r w:rsidRPr="00476C1B">
              <w:t>kurā virtuālajā makā ir jāievieto attiecīgā virtuālā valūta</w:t>
            </w:r>
            <w:proofErr w:type="gramEnd"/>
            <w:r w:rsidRPr="00476C1B">
              <w:t xml:space="preserve"> vai arī izv</w:t>
            </w:r>
            <w:r w:rsidR="00A73B93" w:rsidRPr="00476C1B">
              <w:t>ēlas to no aģentūras</w:t>
            </w:r>
            <w:r w:rsidR="00D4049D" w:rsidRPr="00476C1B">
              <w:t xml:space="preserve"> izveidotā saraksta, kas pieejams procesa virzītājam.</w:t>
            </w:r>
          </w:p>
          <w:p w14:paraId="3EE8A40F" w14:textId="765FEBA3" w:rsidR="00547921" w:rsidRPr="00476C1B" w:rsidRDefault="00547921" w:rsidP="006C44B6">
            <w:pPr>
              <w:jc w:val="both"/>
            </w:pPr>
            <w:r w:rsidRPr="00476C1B">
              <w:t xml:space="preserve">Procesa virzītājs </w:t>
            </w:r>
            <w:r w:rsidR="0063758A">
              <w:t>lēmumu</w:t>
            </w:r>
            <w:r w:rsidRPr="00476C1B">
              <w:t xml:space="preserve"> par virtuālās valūtas nodošanu realizācijai </w:t>
            </w:r>
            <w:r w:rsidR="00A73B93" w:rsidRPr="00476C1B">
              <w:t>nodod aģentūrai</w:t>
            </w:r>
            <w:r w:rsidRPr="00476C1B">
              <w:t xml:space="preserve"> un rakstveidā informē par datumu, kādā atļauts uzsākt realizāciju.</w:t>
            </w:r>
          </w:p>
          <w:p w14:paraId="22E9C106" w14:textId="7F6AD18F" w:rsidR="00547921" w:rsidRPr="00476C1B" w:rsidRDefault="00330C8E" w:rsidP="00547921">
            <w:pPr>
              <w:jc w:val="both"/>
            </w:pPr>
            <w:r w:rsidRPr="00476C1B">
              <w:t xml:space="preserve">Jāņem vērā, ka </w:t>
            </w:r>
            <w:r w:rsidR="00547921" w:rsidRPr="00476C1B">
              <w:t>Kriminālprocesa likuma 365.</w:t>
            </w:r>
            <w:r w:rsidRPr="00476C1B">
              <w:t xml:space="preserve"> </w:t>
            </w:r>
            <w:r w:rsidR="00547921" w:rsidRPr="00476C1B">
              <w:t xml:space="preserve">panta </w:t>
            </w:r>
            <w:proofErr w:type="gramStart"/>
            <w:r w:rsidR="00547921" w:rsidRPr="00476C1B">
              <w:t>2.</w:t>
            </w:r>
            <w:r w:rsidR="00547921" w:rsidRPr="00476C1B">
              <w:rPr>
                <w:vertAlign w:val="superscript"/>
              </w:rPr>
              <w:t>2</w:t>
            </w:r>
            <w:r w:rsidR="00547921" w:rsidRPr="00476C1B">
              <w:t> daļa</w:t>
            </w:r>
            <w:proofErr w:type="gramEnd"/>
            <w:r w:rsidR="00547921" w:rsidRPr="00476C1B">
              <w:t xml:space="preserve"> noteic, ka lēmuma par arestētās mantas realizāciju vai iznīcināšanu kopiju procesa virzītājs nosūta arestētās mantas īpašniekam vai likumīgajam valdītājam, informējot viņu par tiesībām šo lēmumu pirmstiesas kriminālprocesā pārsūdzēt izmeklēšanas tiesnesim. Līdz sūdzības izskatīšanai lēmuma izpilde tiek apturēta. </w:t>
            </w:r>
            <w:r w:rsidR="00CA5EC6" w:rsidRPr="00476C1B">
              <w:t>Virtuālās valūta tiks realizēta p</w:t>
            </w:r>
            <w:r w:rsidR="00547921" w:rsidRPr="00476C1B">
              <w:t xml:space="preserve">ēc pārsūdzības termiņa beigām, </w:t>
            </w:r>
            <w:proofErr w:type="gramStart"/>
            <w:r w:rsidR="00547921" w:rsidRPr="00476C1B">
              <w:t>ja šāda sūdzība netiks iesniegta</w:t>
            </w:r>
            <w:proofErr w:type="gramEnd"/>
            <w:r w:rsidR="00547921" w:rsidRPr="00476C1B">
              <w:t xml:space="preserve"> vai pēc šī lēmuma pārsūdzības un sūdzības izskatīšanas</w:t>
            </w:r>
            <w:r w:rsidR="00CA5EC6" w:rsidRPr="00476C1B">
              <w:t>.</w:t>
            </w:r>
            <w:r w:rsidR="00547921" w:rsidRPr="00476C1B">
              <w:t xml:space="preserve"> </w:t>
            </w:r>
          </w:p>
          <w:p w14:paraId="5C13DA3E" w14:textId="7AD116C1" w:rsidR="00F657BD" w:rsidRPr="00476C1B" w:rsidRDefault="00330C8E" w:rsidP="00547921">
            <w:pPr>
              <w:jc w:val="both"/>
            </w:pPr>
            <w:r w:rsidRPr="00476C1B">
              <w:t>Projektā paredzēts, ka a</w:t>
            </w:r>
            <w:r w:rsidR="00A73B93" w:rsidRPr="00476C1B">
              <w:t>ģentūra</w:t>
            </w:r>
            <w:r w:rsidR="00DE3913" w:rsidRPr="00476C1B">
              <w:t xml:space="preserve"> </w:t>
            </w:r>
            <w:r w:rsidR="00A73B93" w:rsidRPr="00476C1B">
              <w:t>5</w:t>
            </w:r>
            <w:r w:rsidR="006A01EC" w:rsidRPr="00476C1B">
              <w:t xml:space="preserve"> darb</w:t>
            </w:r>
            <w:r w:rsidR="00DE3913" w:rsidRPr="00476C1B">
              <w:t>dienu laikā pēc informācijas saņemšanas par atļauju uzsākt</w:t>
            </w:r>
            <w:r w:rsidR="00B67944" w:rsidRPr="00476C1B">
              <w:t xml:space="preserve"> virtuālās valūtas</w:t>
            </w:r>
            <w:r w:rsidR="00DE3913" w:rsidRPr="00476C1B">
              <w:t xml:space="preserve"> realizāciju</w:t>
            </w:r>
            <w:r w:rsidR="00B67944" w:rsidRPr="00476C1B">
              <w:t xml:space="preserve"> veic tirgus </w:t>
            </w:r>
            <w:r w:rsidR="00B67944" w:rsidRPr="00476C1B">
              <w:lastRenderedPageBreak/>
              <w:t xml:space="preserve">izpēti, </w:t>
            </w:r>
            <w:r w:rsidR="002B3DA0" w:rsidRPr="00476C1B">
              <w:t xml:space="preserve">izvērtējot vismaz trīs pakalpojuma sniedzēja piedāvātās realizācijas iespējas. </w:t>
            </w:r>
            <w:r w:rsidR="00096B35" w:rsidRPr="00476C1B">
              <w:t>Aģentūra i</w:t>
            </w:r>
            <w:r w:rsidR="002B3DA0" w:rsidRPr="00476C1B">
              <w:t>zvēl</w:t>
            </w:r>
            <w:r w:rsidR="00096B35" w:rsidRPr="00476C1B">
              <w:t>ās</w:t>
            </w:r>
            <w:r w:rsidR="001D6B2E" w:rsidRPr="00476C1B">
              <w:t xml:space="preserve"> </w:t>
            </w:r>
            <w:r w:rsidR="002B3DA0" w:rsidRPr="00476C1B">
              <w:t>virtuālās valūtas</w:t>
            </w:r>
            <w:r w:rsidR="004725C0" w:rsidRPr="00476C1B">
              <w:t xml:space="preserve"> pakalpojuma sniedzēja platformā </w:t>
            </w:r>
            <w:r w:rsidR="00B10DCF" w:rsidRPr="00476C1B">
              <w:t>pieejamo</w:t>
            </w:r>
            <w:r w:rsidR="002B3DA0" w:rsidRPr="00476C1B">
              <w:t xml:space="preserve"> visizdevīgāko </w:t>
            </w:r>
            <w:r w:rsidR="005D146B">
              <w:t>realizācijas</w:t>
            </w:r>
            <w:r w:rsidR="00B10DCF" w:rsidRPr="00476C1B">
              <w:t xml:space="preserve"> </w:t>
            </w:r>
            <w:r w:rsidR="00E91777" w:rsidRPr="00476C1B">
              <w:t>piedāvājumu</w:t>
            </w:r>
            <w:r w:rsidR="001D6B2E" w:rsidRPr="00476C1B">
              <w:t>, ņem</w:t>
            </w:r>
            <w:r w:rsidR="00300880" w:rsidRPr="00476C1B">
              <w:t>ot</w:t>
            </w:r>
            <w:r w:rsidR="001D6B2E" w:rsidRPr="00476C1B">
              <w:t xml:space="preserve"> vērā</w:t>
            </w:r>
            <w:r w:rsidR="0060072E" w:rsidRPr="00476C1B">
              <w:t xml:space="preserve"> </w:t>
            </w:r>
            <w:r w:rsidR="00096B35" w:rsidRPr="00476C1B">
              <w:t>virtuālās valūtas realizācijas cen</w:t>
            </w:r>
            <w:r w:rsidR="00300880" w:rsidRPr="00476C1B">
              <w:t>u</w:t>
            </w:r>
            <w:r w:rsidR="005D146B">
              <w:t xml:space="preserve">, </w:t>
            </w:r>
            <w:r w:rsidR="00096B35" w:rsidRPr="00476C1B">
              <w:t>realizācijas izmaksas</w:t>
            </w:r>
            <w:r w:rsidR="005D146B">
              <w:t>, kā arī iespēju virtuālo valūtu apmainīt pret citu virtuālo valūtu, tādējādi iegūstot izdevīgāku realizācijas piedāvājumu</w:t>
            </w:r>
            <w:r w:rsidR="00300880" w:rsidRPr="00476C1B">
              <w:t>.</w:t>
            </w:r>
            <w:bookmarkStart w:id="0" w:name="_GoBack"/>
            <w:bookmarkEnd w:id="0"/>
          </w:p>
          <w:p w14:paraId="5D83456E" w14:textId="6307A2E9" w:rsidR="00AA39B0" w:rsidRPr="00476C1B" w:rsidRDefault="005610E0" w:rsidP="00547921">
            <w:pPr>
              <w:jc w:val="both"/>
            </w:pPr>
            <w:r w:rsidRPr="00476C1B">
              <w:t xml:space="preserve">Pēc minēto darbību veikšanas aģentūra </w:t>
            </w:r>
            <w:r w:rsidR="00B67944" w:rsidRPr="00476C1B">
              <w:t>realizē virtuālo val</w:t>
            </w:r>
            <w:r w:rsidR="00E84276" w:rsidRPr="00476C1B">
              <w:t xml:space="preserve">ūtu </w:t>
            </w:r>
            <w:r w:rsidR="0014430A" w:rsidRPr="00476C1B">
              <w:t>atbilstoši izvēlētajam visizdevīgākajam piedāvājumam</w:t>
            </w:r>
            <w:r w:rsidR="007240F0" w:rsidRPr="00476C1B">
              <w:t xml:space="preserve"> un paziņo par to procesa virzītājam</w:t>
            </w:r>
            <w:r w:rsidR="009B0A04" w:rsidRPr="00476C1B">
              <w:t>.</w:t>
            </w:r>
          </w:p>
          <w:p w14:paraId="59CEE548" w14:textId="50A88A24" w:rsidR="00DE3913" w:rsidRPr="00476C1B" w:rsidRDefault="00AA39B0" w:rsidP="00547921">
            <w:pPr>
              <w:jc w:val="both"/>
            </w:pPr>
            <w:r w:rsidRPr="00476C1B">
              <w:t>Lai novērstu kiberdrošības apdraudējumus, kā arī nelikumīgi iegūtu līdzekļu legalizēšanas vai terorisma finansēšanas riskus, virtuālā valūta tiek realizēta tikai aģentūras izvēlētajam virtuālās valūtas pakalpojuma</w:t>
            </w:r>
            <w:proofErr w:type="gramStart"/>
            <w:r w:rsidRPr="00476C1B">
              <w:t xml:space="preserve">  </w:t>
            </w:r>
            <w:proofErr w:type="gramEnd"/>
            <w:r w:rsidRPr="00476C1B">
              <w:t>sniedzējam.</w:t>
            </w:r>
          </w:p>
          <w:p w14:paraId="4683B3C0" w14:textId="151ECAA8" w:rsidR="006131D9" w:rsidRPr="00476C1B" w:rsidRDefault="006131D9" w:rsidP="00547921">
            <w:pPr>
              <w:jc w:val="both"/>
              <w:rPr>
                <w:bCs/>
              </w:rPr>
            </w:pPr>
            <w:r w:rsidRPr="00476C1B">
              <w:t xml:space="preserve">Ja virtuālo valūtu nav iespējams realizēt </w:t>
            </w:r>
            <w:r w:rsidR="005F3797" w:rsidRPr="00476C1B">
              <w:t xml:space="preserve">iepriekš </w:t>
            </w:r>
            <w:r w:rsidR="00A73B93" w:rsidRPr="00476C1B">
              <w:t>minētajā kārtībā, aģentūra</w:t>
            </w:r>
            <w:r w:rsidR="00AE4B0A" w:rsidRPr="00476C1B">
              <w:t xml:space="preserve"> virtuālo valūtu realizē izsolē, kuru organizē</w:t>
            </w:r>
            <w:r w:rsidR="00617133" w:rsidRPr="00476C1B">
              <w:t>,</w:t>
            </w:r>
            <w:r w:rsidR="00AE4B0A" w:rsidRPr="00476C1B">
              <w:t xml:space="preserve"> ievērojot </w:t>
            </w:r>
            <w:r w:rsidR="00A15E2A" w:rsidRPr="00476C1B">
              <w:rPr>
                <w:bCs/>
              </w:rPr>
              <w:t>Noteikumu Nr.1025 25.</w:t>
            </w:r>
            <w:r w:rsidR="00A15E2A" w:rsidRPr="00476C1B">
              <w:rPr>
                <w:bCs/>
                <w:vertAlign w:val="superscript"/>
              </w:rPr>
              <w:t xml:space="preserve">1 </w:t>
            </w:r>
            <w:r w:rsidR="00A15E2A" w:rsidRPr="00476C1B">
              <w:rPr>
                <w:bCs/>
              </w:rPr>
              <w:t>punktā noteikto kārtību.</w:t>
            </w:r>
          </w:p>
          <w:p w14:paraId="2C5B3746" w14:textId="506AADFB" w:rsidR="004561C9" w:rsidRPr="00476C1B" w:rsidRDefault="009B7F48" w:rsidP="00547921">
            <w:pPr>
              <w:jc w:val="both"/>
              <w:rPr>
                <w:bCs/>
              </w:rPr>
            </w:pPr>
            <w:r w:rsidRPr="00476C1B">
              <w:t>Virtuālās valūtas realizācijas rezultātā iegūtie finanšu līdzekļi tiek ieskaitīti aģentūras atvērtajā deponēto līdzekļu kontā</w:t>
            </w:r>
            <w:r w:rsidR="00617133" w:rsidRPr="00476C1B">
              <w:t xml:space="preserve">, kur </w:t>
            </w:r>
            <w:r w:rsidR="00617133" w:rsidRPr="00476C1B">
              <w:rPr>
                <w:bCs/>
              </w:rPr>
              <w:t xml:space="preserve">tie </w:t>
            </w:r>
            <w:r w:rsidR="004561C9" w:rsidRPr="00476C1B">
              <w:rPr>
                <w:bCs/>
              </w:rPr>
              <w:t>glabā</w:t>
            </w:r>
            <w:r w:rsidR="00617133" w:rsidRPr="00476C1B">
              <w:rPr>
                <w:bCs/>
              </w:rPr>
              <w:t>jas</w:t>
            </w:r>
            <w:r w:rsidR="004561C9" w:rsidRPr="00476C1B">
              <w:rPr>
                <w:bCs/>
              </w:rPr>
              <w:t xml:space="preserve"> līdz nolēmuma pieņemšanai krimināllietā par rīcību ar tiem.</w:t>
            </w:r>
          </w:p>
          <w:p w14:paraId="6941A4CA" w14:textId="7D236061" w:rsidR="00E451B3" w:rsidRPr="00476C1B" w:rsidRDefault="00C529EF" w:rsidP="009172E7">
            <w:pPr>
              <w:shd w:val="clear" w:color="auto" w:fill="FFFFFF"/>
              <w:spacing w:line="293" w:lineRule="atLeast"/>
              <w:jc w:val="both"/>
            </w:pPr>
            <w:r w:rsidRPr="00476C1B">
              <w:t>Tāpat</w:t>
            </w:r>
            <w:r w:rsidR="006436D8" w:rsidRPr="00476C1B">
              <w:t xml:space="preserve"> norādām, ka s</w:t>
            </w:r>
            <w:r w:rsidR="00E451B3" w:rsidRPr="00476C1B">
              <w:t xml:space="preserve">askaņā ar grozījumiem Valsts drošības iestāžu likumā, kas stājās spēkā 2019. gada 1. janvārī, Drošības policijas nosaukums tika mainīts uz Valsts drošības dienestu. Valsts drošības iestāžu likuma Pārejas noteikumu 12. punkts paredz, ka normatīvajos aktos lietotais valsts drošības iestādes nosaukums “Drošības policija” līdz šo aktu redakcijas pakāpeniskai precizēšanai turpmāk saprotams kā valsts drošības iestādes nosaukums "Valsts drošības dienests". </w:t>
            </w:r>
            <w:r w:rsidR="00FB66DD" w:rsidRPr="00476C1B">
              <w:t>Tādējādi saistībā ar Drošības policijas nosaukuma maiņu,</w:t>
            </w:r>
            <w:r w:rsidR="00E451B3" w:rsidRPr="00476C1B">
              <w:t xml:space="preserve"> projekts paredz redakcionāli precizēt Noteikumu Nr. 1025 7.3.</w:t>
            </w:r>
            <w:r w:rsidR="00E451B3" w:rsidRPr="00476C1B">
              <w:rPr>
                <w:vertAlign w:val="superscript"/>
              </w:rPr>
              <w:t>1</w:t>
            </w:r>
            <w:r w:rsidR="00E451B3" w:rsidRPr="00476C1B">
              <w:t xml:space="preserve"> apakšpunktu</w:t>
            </w:r>
            <w:r w:rsidR="00FB66DD" w:rsidRPr="00476C1B">
              <w:t>.</w:t>
            </w:r>
          </w:p>
        </w:tc>
      </w:tr>
      <w:tr w:rsidR="00DB0AC9" w:rsidRPr="00476C1B" w14:paraId="116D6F53" w14:textId="77777777" w:rsidTr="00F1742D">
        <w:trPr>
          <w:trHeight w:val="465"/>
          <w:jc w:val="center"/>
        </w:trPr>
        <w:tc>
          <w:tcPr>
            <w:tcW w:w="207" w:type="pct"/>
            <w:tcBorders>
              <w:top w:val="single" w:sz="4" w:space="0" w:color="auto"/>
              <w:left w:val="outset" w:sz="6" w:space="0" w:color="414142"/>
              <w:bottom w:val="outset" w:sz="6" w:space="0" w:color="414142"/>
              <w:right w:val="outset" w:sz="6" w:space="0" w:color="414142"/>
            </w:tcBorders>
            <w:hideMark/>
          </w:tcPr>
          <w:p w14:paraId="58AC4FB8" w14:textId="0AE85478" w:rsidR="00DB0AC9" w:rsidRPr="00476C1B" w:rsidRDefault="00DB0AC9" w:rsidP="006D0053">
            <w:pPr>
              <w:jc w:val="center"/>
            </w:pPr>
            <w:r w:rsidRPr="00476C1B">
              <w:lastRenderedPageBreak/>
              <w:t>3.</w:t>
            </w:r>
          </w:p>
        </w:tc>
        <w:tc>
          <w:tcPr>
            <w:tcW w:w="1309" w:type="pct"/>
            <w:tcBorders>
              <w:top w:val="single" w:sz="4" w:space="0" w:color="auto"/>
              <w:left w:val="outset" w:sz="6" w:space="0" w:color="414142"/>
              <w:bottom w:val="outset" w:sz="6" w:space="0" w:color="414142"/>
              <w:right w:val="outset" w:sz="6" w:space="0" w:color="414142"/>
            </w:tcBorders>
            <w:hideMark/>
          </w:tcPr>
          <w:p w14:paraId="657B3902" w14:textId="77777777" w:rsidR="00DB0AC9" w:rsidRPr="00476C1B" w:rsidRDefault="00DB0AC9" w:rsidP="006D0053">
            <w:r w:rsidRPr="00476C1B">
              <w:t>Projekta izstrādē iesaistītās institūcijas un publiskas personas kapitālsabiedrības</w:t>
            </w:r>
          </w:p>
        </w:tc>
        <w:tc>
          <w:tcPr>
            <w:tcW w:w="3484" w:type="pct"/>
            <w:tcBorders>
              <w:top w:val="single" w:sz="4" w:space="0" w:color="auto"/>
              <w:left w:val="outset" w:sz="6" w:space="0" w:color="414142"/>
              <w:bottom w:val="outset" w:sz="6" w:space="0" w:color="414142"/>
              <w:right w:val="outset" w:sz="6" w:space="0" w:color="414142"/>
            </w:tcBorders>
            <w:hideMark/>
          </w:tcPr>
          <w:p w14:paraId="4346E289" w14:textId="74359823" w:rsidR="00DB0AC9" w:rsidRPr="00476C1B" w:rsidRDefault="001D3B3B" w:rsidP="00066D40">
            <w:pPr>
              <w:spacing w:after="120"/>
              <w:jc w:val="both"/>
            </w:pPr>
            <w:r w:rsidRPr="00476C1B">
              <w:t>Valsts policija</w:t>
            </w:r>
            <w:r w:rsidR="00D22D3F" w:rsidRPr="00476C1B">
              <w:t xml:space="preserve"> </w:t>
            </w:r>
            <w:r w:rsidR="00D82C3A" w:rsidRPr="00476C1B">
              <w:t>un Nodrošinājuma valsts aģentūra</w:t>
            </w:r>
            <w:r w:rsidR="001A00B9">
              <w:t>.</w:t>
            </w:r>
          </w:p>
        </w:tc>
      </w:tr>
      <w:tr w:rsidR="00DB0AC9" w:rsidRPr="00476C1B" w14:paraId="09E8048C" w14:textId="77777777" w:rsidTr="00F1742D">
        <w:trPr>
          <w:jc w:val="center"/>
        </w:trPr>
        <w:tc>
          <w:tcPr>
            <w:tcW w:w="207" w:type="pct"/>
            <w:tcBorders>
              <w:top w:val="outset" w:sz="6" w:space="0" w:color="414142"/>
              <w:left w:val="outset" w:sz="6" w:space="0" w:color="414142"/>
              <w:bottom w:val="outset" w:sz="6" w:space="0" w:color="414142"/>
              <w:right w:val="outset" w:sz="6" w:space="0" w:color="414142"/>
            </w:tcBorders>
            <w:hideMark/>
          </w:tcPr>
          <w:p w14:paraId="2E54768E" w14:textId="77777777" w:rsidR="00DB0AC9" w:rsidRPr="00476C1B" w:rsidRDefault="00DB0AC9" w:rsidP="006D0053">
            <w:pPr>
              <w:jc w:val="center"/>
            </w:pPr>
            <w:r w:rsidRPr="00476C1B">
              <w:t>4.</w:t>
            </w:r>
          </w:p>
        </w:tc>
        <w:tc>
          <w:tcPr>
            <w:tcW w:w="1309" w:type="pct"/>
            <w:tcBorders>
              <w:top w:val="outset" w:sz="6" w:space="0" w:color="414142"/>
              <w:left w:val="outset" w:sz="6" w:space="0" w:color="414142"/>
              <w:bottom w:val="outset" w:sz="6" w:space="0" w:color="414142"/>
              <w:right w:val="outset" w:sz="6" w:space="0" w:color="414142"/>
            </w:tcBorders>
            <w:hideMark/>
          </w:tcPr>
          <w:p w14:paraId="7954F049" w14:textId="77777777" w:rsidR="00DB0AC9" w:rsidRPr="00476C1B" w:rsidRDefault="00DB0AC9" w:rsidP="006D0053">
            <w:r w:rsidRPr="00476C1B">
              <w:t>Cita informācija</w:t>
            </w:r>
          </w:p>
        </w:tc>
        <w:tc>
          <w:tcPr>
            <w:tcW w:w="3484" w:type="pct"/>
            <w:tcBorders>
              <w:top w:val="outset" w:sz="6" w:space="0" w:color="414142"/>
              <w:left w:val="outset" w:sz="6" w:space="0" w:color="414142"/>
              <w:bottom w:val="outset" w:sz="6" w:space="0" w:color="414142"/>
              <w:right w:val="outset" w:sz="6" w:space="0" w:color="414142"/>
            </w:tcBorders>
            <w:hideMark/>
          </w:tcPr>
          <w:p w14:paraId="4A932465" w14:textId="77777777" w:rsidR="00DB0AC9" w:rsidRPr="00476C1B" w:rsidRDefault="00DB0AC9" w:rsidP="006D0053">
            <w:r w:rsidRPr="00476C1B">
              <w:t>Nav</w:t>
            </w:r>
          </w:p>
        </w:tc>
      </w:tr>
    </w:tbl>
    <w:p w14:paraId="250317C6" w14:textId="77777777" w:rsidR="00DB0AC9" w:rsidRPr="00476C1B" w:rsidRDefault="00DB0AC9" w:rsidP="00DB0AC9">
      <w:pPr>
        <w:shd w:val="clear" w:color="auto" w:fill="FFFFFF"/>
        <w:ind w:firstLine="300"/>
      </w:pPr>
    </w:p>
    <w:tbl>
      <w:tblPr>
        <w:tblW w:w="5500"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604"/>
        <w:gridCol w:w="3012"/>
        <w:gridCol w:w="6345"/>
      </w:tblGrid>
      <w:tr w:rsidR="00DB0AC9" w:rsidRPr="00476C1B" w14:paraId="4505ADD0" w14:textId="77777777" w:rsidTr="00F1742D">
        <w:trPr>
          <w:trHeight w:val="220"/>
          <w:jc w:val="center"/>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02B3C127" w14:textId="77777777" w:rsidR="00DB0AC9" w:rsidRPr="00476C1B" w:rsidRDefault="00DB0AC9" w:rsidP="006D0053">
            <w:pPr>
              <w:jc w:val="center"/>
              <w:rPr>
                <w:b/>
                <w:bCs/>
              </w:rPr>
            </w:pPr>
            <w:r w:rsidRPr="00476C1B">
              <w:rPr>
                <w:b/>
                <w:bCs/>
              </w:rPr>
              <w:t>II. Tiesību akta projekta ietekme uz sabiedrību, tautsaimniecības attīstību un administratīvo slogu</w:t>
            </w:r>
          </w:p>
        </w:tc>
      </w:tr>
      <w:tr w:rsidR="00DB0AC9" w:rsidRPr="00476C1B" w14:paraId="5A0D2A50" w14:textId="77777777" w:rsidTr="00F1742D">
        <w:trPr>
          <w:trHeight w:val="465"/>
          <w:jc w:val="center"/>
        </w:trPr>
        <w:tc>
          <w:tcPr>
            <w:tcW w:w="303" w:type="pct"/>
            <w:tcBorders>
              <w:top w:val="outset" w:sz="6" w:space="0" w:color="414142"/>
              <w:left w:val="outset" w:sz="6" w:space="0" w:color="414142"/>
              <w:bottom w:val="outset" w:sz="6" w:space="0" w:color="414142"/>
              <w:right w:val="outset" w:sz="6" w:space="0" w:color="414142"/>
            </w:tcBorders>
            <w:hideMark/>
          </w:tcPr>
          <w:p w14:paraId="05E9EAB2" w14:textId="77777777" w:rsidR="00DB0AC9" w:rsidRPr="00476C1B" w:rsidRDefault="00DB0AC9" w:rsidP="006D0053">
            <w:r w:rsidRPr="00476C1B">
              <w:t>1.</w:t>
            </w:r>
          </w:p>
        </w:tc>
        <w:tc>
          <w:tcPr>
            <w:tcW w:w="1512" w:type="pct"/>
            <w:tcBorders>
              <w:top w:val="outset" w:sz="6" w:space="0" w:color="414142"/>
              <w:left w:val="outset" w:sz="6" w:space="0" w:color="414142"/>
              <w:bottom w:val="outset" w:sz="6" w:space="0" w:color="414142"/>
              <w:right w:val="outset" w:sz="6" w:space="0" w:color="414142"/>
            </w:tcBorders>
            <w:hideMark/>
          </w:tcPr>
          <w:p w14:paraId="79DD68E1" w14:textId="77777777" w:rsidR="00DB0AC9" w:rsidRPr="00476C1B" w:rsidRDefault="00DB0AC9" w:rsidP="006D0053">
            <w:r w:rsidRPr="00476C1B">
              <w:t>Sabiedrības mērķgrupas, kuras tiesiskais regulējums ietekmē vai varētu ietekmēt</w:t>
            </w:r>
          </w:p>
        </w:tc>
        <w:tc>
          <w:tcPr>
            <w:tcW w:w="3185" w:type="pct"/>
            <w:tcBorders>
              <w:top w:val="outset" w:sz="6" w:space="0" w:color="414142"/>
              <w:left w:val="outset" w:sz="6" w:space="0" w:color="414142"/>
              <w:bottom w:val="outset" w:sz="6" w:space="0" w:color="414142"/>
              <w:right w:val="outset" w:sz="6" w:space="0" w:color="414142"/>
            </w:tcBorders>
            <w:hideMark/>
          </w:tcPr>
          <w:p w14:paraId="12772F1C" w14:textId="095A081F" w:rsidR="00265910" w:rsidRPr="00476C1B" w:rsidRDefault="00DF6849" w:rsidP="00E620BB">
            <w:pPr>
              <w:spacing w:before="100" w:beforeAutospacing="1" w:after="100" w:afterAutospacing="1"/>
              <w:contextualSpacing/>
              <w:jc w:val="both"/>
            </w:pPr>
            <w:r w:rsidRPr="00476C1B">
              <w:t>Personas, kuru mantai</w:t>
            </w:r>
            <w:r w:rsidR="004211D8" w:rsidRPr="00476C1B">
              <w:t xml:space="preserve"> (virtuālajai valūtai)</w:t>
            </w:r>
            <w:r w:rsidRPr="00476C1B">
              <w:t xml:space="preserve"> uzlikts arests kriminālprocesā.</w:t>
            </w:r>
            <w:r w:rsidR="00326F96" w:rsidRPr="00476C1B">
              <w:t xml:space="preserve"> Procesa virzītāji, aģentūra.</w:t>
            </w:r>
          </w:p>
          <w:p w14:paraId="0156EED6" w14:textId="77777777" w:rsidR="00265910" w:rsidRPr="00476C1B" w:rsidRDefault="00265910" w:rsidP="00E620BB">
            <w:pPr>
              <w:spacing w:before="100" w:beforeAutospacing="1" w:after="100" w:afterAutospacing="1"/>
              <w:contextualSpacing/>
              <w:jc w:val="both"/>
            </w:pPr>
          </w:p>
          <w:p w14:paraId="7F153AEA" w14:textId="77777777" w:rsidR="00265910" w:rsidRPr="00476C1B" w:rsidRDefault="00265910" w:rsidP="00E620BB">
            <w:pPr>
              <w:spacing w:before="100" w:beforeAutospacing="1" w:after="100" w:afterAutospacing="1"/>
              <w:contextualSpacing/>
              <w:jc w:val="both"/>
            </w:pPr>
          </w:p>
          <w:p w14:paraId="2BE70DE7" w14:textId="68EA956E" w:rsidR="00DF6849" w:rsidRPr="00476C1B" w:rsidRDefault="00DF6849" w:rsidP="00E620BB">
            <w:pPr>
              <w:spacing w:before="100" w:beforeAutospacing="1" w:after="100" w:afterAutospacing="1"/>
              <w:contextualSpacing/>
              <w:jc w:val="both"/>
            </w:pPr>
          </w:p>
        </w:tc>
      </w:tr>
      <w:tr w:rsidR="00DB0AC9" w:rsidRPr="00476C1B" w14:paraId="7EE216A6" w14:textId="77777777" w:rsidTr="00F1742D">
        <w:trPr>
          <w:trHeight w:val="1388"/>
          <w:jc w:val="center"/>
        </w:trPr>
        <w:tc>
          <w:tcPr>
            <w:tcW w:w="303" w:type="pct"/>
            <w:tcBorders>
              <w:top w:val="outset" w:sz="6" w:space="0" w:color="414142"/>
              <w:left w:val="outset" w:sz="6" w:space="0" w:color="414142"/>
              <w:bottom w:val="outset" w:sz="6" w:space="0" w:color="414142"/>
              <w:right w:val="outset" w:sz="6" w:space="0" w:color="414142"/>
            </w:tcBorders>
            <w:hideMark/>
          </w:tcPr>
          <w:p w14:paraId="461D1F45" w14:textId="77777777" w:rsidR="00DB0AC9" w:rsidRPr="00936460" w:rsidRDefault="00DB0AC9" w:rsidP="006D0053">
            <w:r w:rsidRPr="00936460">
              <w:t>2.</w:t>
            </w:r>
          </w:p>
        </w:tc>
        <w:tc>
          <w:tcPr>
            <w:tcW w:w="1512" w:type="pct"/>
            <w:tcBorders>
              <w:top w:val="outset" w:sz="6" w:space="0" w:color="414142"/>
              <w:left w:val="outset" w:sz="6" w:space="0" w:color="414142"/>
              <w:bottom w:val="outset" w:sz="6" w:space="0" w:color="414142"/>
              <w:right w:val="outset" w:sz="6" w:space="0" w:color="414142"/>
            </w:tcBorders>
            <w:hideMark/>
          </w:tcPr>
          <w:p w14:paraId="66457C98" w14:textId="77777777" w:rsidR="00DB0AC9" w:rsidRPr="0063758A" w:rsidRDefault="00DB0AC9" w:rsidP="006D0053">
            <w:r w:rsidRPr="0063758A">
              <w:t>Tiesiskā regulējuma ietekme uz tautsaimniecību un administratīvo slogu</w:t>
            </w:r>
          </w:p>
        </w:tc>
        <w:tc>
          <w:tcPr>
            <w:tcW w:w="3185" w:type="pct"/>
            <w:tcBorders>
              <w:top w:val="outset" w:sz="6" w:space="0" w:color="414142"/>
              <w:left w:val="outset" w:sz="6" w:space="0" w:color="414142"/>
              <w:bottom w:val="outset" w:sz="6" w:space="0" w:color="414142"/>
              <w:right w:val="outset" w:sz="6" w:space="0" w:color="414142"/>
            </w:tcBorders>
            <w:hideMark/>
          </w:tcPr>
          <w:p w14:paraId="62EED158" w14:textId="34E896A4" w:rsidR="00AC3190" w:rsidRPr="0063758A" w:rsidRDefault="00395728" w:rsidP="00936460">
            <w:pPr>
              <w:spacing w:before="100" w:beforeAutospacing="1" w:after="100" w:afterAutospacing="1"/>
              <w:contextualSpacing/>
              <w:jc w:val="both"/>
            </w:pPr>
            <w:r>
              <w:t>Projekts šo jomu neskar.</w:t>
            </w:r>
          </w:p>
        </w:tc>
      </w:tr>
      <w:tr w:rsidR="00C202D6" w:rsidRPr="00476C1B" w14:paraId="7FBACEEC" w14:textId="77777777" w:rsidTr="00F1742D">
        <w:trPr>
          <w:trHeight w:val="676"/>
          <w:jc w:val="center"/>
        </w:trPr>
        <w:tc>
          <w:tcPr>
            <w:tcW w:w="303" w:type="pct"/>
            <w:tcBorders>
              <w:top w:val="outset" w:sz="6" w:space="0" w:color="414142"/>
              <w:left w:val="outset" w:sz="6" w:space="0" w:color="414142"/>
              <w:bottom w:val="outset" w:sz="6" w:space="0" w:color="414142"/>
              <w:right w:val="outset" w:sz="6" w:space="0" w:color="414142"/>
            </w:tcBorders>
          </w:tcPr>
          <w:p w14:paraId="5024E606" w14:textId="59641389" w:rsidR="00C202D6" w:rsidRPr="00936460" w:rsidRDefault="00C202D6" w:rsidP="006D0053">
            <w:r w:rsidRPr="00936460">
              <w:t>3.</w:t>
            </w:r>
          </w:p>
        </w:tc>
        <w:tc>
          <w:tcPr>
            <w:tcW w:w="1512" w:type="pct"/>
            <w:tcBorders>
              <w:top w:val="outset" w:sz="6" w:space="0" w:color="414142"/>
              <w:left w:val="outset" w:sz="6" w:space="0" w:color="414142"/>
              <w:bottom w:val="outset" w:sz="6" w:space="0" w:color="414142"/>
              <w:right w:val="outset" w:sz="6" w:space="0" w:color="414142"/>
            </w:tcBorders>
          </w:tcPr>
          <w:p w14:paraId="32994E9F" w14:textId="1AD5D326" w:rsidR="00C202D6" w:rsidRPr="0063758A" w:rsidRDefault="005350F0" w:rsidP="006D0053">
            <w:r w:rsidRPr="0063758A">
              <w:t>Administratīvo izmaksu monetārs novērtējums</w:t>
            </w:r>
          </w:p>
        </w:tc>
        <w:tc>
          <w:tcPr>
            <w:tcW w:w="3185" w:type="pct"/>
            <w:tcBorders>
              <w:top w:val="outset" w:sz="6" w:space="0" w:color="414142"/>
              <w:left w:val="outset" w:sz="6" w:space="0" w:color="414142"/>
              <w:bottom w:val="outset" w:sz="6" w:space="0" w:color="414142"/>
              <w:right w:val="outset" w:sz="6" w:space="0" w:color="414142"/>
            </w:tcBorders>
          </w:tcPr>
          <w:p w14:paraId="3E69E674" w14:textId="17932152" w:rsidR="00C202D6" w:rsidRPr="0063758A" w:rsidRDefault="00395728" w:rsidP="009172E7">
            <w:pPr>
              <w:spacing w:after="120"/>
              <w:jc w:val="both"/>
            </w:pPr>
            <w:r>
              <w:t>Projekts šo jomu neskar.</w:t>
            </w:r>
          </w:p>
        </w:tc>
      </w:tr>
      <w:tr w:rsidR="00C202D6" w:rsidRPr="00476C1B" w14:paraId="0321C900" w14:textId="77777777" w:rsidTr="00F1742D">
        <w:trPr>
          <w:trHeight w:val="772"/>
          <w:jc w:val="center"/>
        </w:trPr>
        <w:tc>
          <w:tcPr>
            <w:tcW w:w="303" w:type="pct"/>
            <w:tcBorders>
              <w:top w:val="outset" w:sz="6" w:space="0" w:color="414142"/>
              <w:left w:val="outset" w:sz="6" w:space="0" w:color="414142"/>
              <w:bottom w:val="outset" w:sz="6" w:space="0" w:color="414142"/>
              <w:right w:val="outset" w:sz="6" w:space="0" w:color="414142"/>
            </w:tcBorders>
          </w:tcPr>
          <w:p w14:paraId="096EB7F9" w14:textId="162F7412" w:rsidR="00C202D6" w:rsidRPr="00476C1B" w:rsidRDefault="00C202D6" w:rsidP="006D0053">
            <w:pPr>
              <w:rPr>
                <w:highlight w:val="yellow"/>
              </w:rPr>
            </w:pPr>
            <w:r w:rsidRPr="0063758A">
              <w:lastRenderedPageBreak/>
              <w:t>4.</w:t>
            </w:r>
          </w:p>
        </w:tc>
        <w:tc>
          <w:tcPr>
            <w:tcW w:w="1512" w:type="pct"/>
            <w:tcBorders>
              <w:top w:val="outset" w:sz="6" w:space="0" w:color="414142"/>
              <w:left w:val="outset" w:sz="6" w:space="0" w:color="414142"/>
              <w:bottom w:val="outset" w:sz="6" w:space="0" w:color="414142"/>
              <w:right w:val="outset" w:sz="6" w:space="0" w:color="414142"/>
            </w:tcBorders>
          </w:tcPr>
          <w:p w14:paraId="77948633" w14:textId="11FCCD9E" w:rsidR="00C202D6" w:rsidRPr="0063758A" w:rsidRDefault="005350F0" w:rsidP="006D0053">
            <w:r w:rsidRPr="0063758A">
              <w:t>Atbilstības izmaksu monetārs novērtējums</w:t>
            </w:r>
          </w:p>
        </w:tc>
        <w:tc>
          <w:tcPr>
            <w:tcW w:w="3185" w:type="pct"/>
            <w:tcBorders>
              <w:top w:val="outset" w:sz="6" w:space="0" w:color="414142"/>
              <w:left w:val="outset" w:sz="6" w:space="0" w:color="414142"/>
              <w:bottom w:val="outset" w:sz="6" w:space="0" w:color="414142"/>
              <w:right w:val="outset" w:sz="6" w:space="0" w:color="414142"/>
            </w:tcBorders>
          </w:tcPr>
          <w:p w14:paraId="17ED3BF4" w14:textId="58982FEC" w:rsidR="00C202D6" w:rsidRPr="0063758A" w:rsidRDefault="002979AE" w:rsidP="00D82C3A">
            <w:r w:rsidRPr="0063758A">
              <w:t>Projekts šo jomu neskars.</w:t>
            </w:r>
          </w:p>
        </w:tc>
      </w:tr>
      <w:tr w:rsidR="00C202D6" w:rsidRPr="00476C1B" w14:paraId="6FBDA4B1" w14:textId="77777777" w:rsidTr="00F1742D">
        <w:trPr>
          <w:trHeight w:val="628"/>
          <w:jc w:val="center"/>
        </w:trPr>
        <w:tc>
          <w:tcPr>
            <w:tcW w:w="303" w:type="pct"/>
            <w:tcBorders>
              <w:top w:val="outset" w:sz="6" w:space="0" w:color="414142"/>
              <w:left w:val="outset" w:sz="6" w:space="0" w:color="414142"/>
              <w:bottom w:val="outset" w:sz="6" w:space="0" w:color="414142"/>
              <w:right w:val="outset" w:sz="6" w:space="0" w:color="414142"/>
            </w:tcBorders>
          </w:tcPr>
          <w:p w14:paraId="1390BC3D" w14:textId="58EDA644" w:rsidR="00C202D6" w:rsidRPr="00476C1B" w:rsidRDefault="00C202D6" w:rsidP="006D0053">
            <w:r w:rsidRPr="00476C1B">
              <w:t>5.</w:t>
            </w:r>
          </w:p>
        </w:tc>
        <w:tc>
          <w:tcPr>
            <w:tcW w:w="1512" w:type="pct"/>
            <w:tcBorders>
              <w:top w:val="outset" w:sz="6" w:space="0" w:color="414142"/>
              <w:left w:val="outset" w:sz="6" w:space="0" w:color="414142"/>
              <w:bottom w:val="outset" w:sz="6" w:space="0" w:color="414142"/>
              <w:right w:val="outset" w:sz="6" w:space="0" w:color="414142"/>
            </w:tcBorders>
          </w:tcPr>
          <w:p w14:paraId="32921CE5" w14:textId="70CBBED9" w:rsidR="00C202D6" w:rsidRPr="00476C1B" w:rsidRDefault="005350F0" w:rsidP="006D0053">
            <w:r w:rsidRPr="00476C1B">
              <w:t>Cita informācija</w:t>
            </w:r>
          </w:p>
        </w:tc>
        <w:tc>
          <w:tcPr>
            <w:tcW w:w="3185" w:type="pct"/>
            <w:tcBorders>
              <w:top w:val="outset" w:sz="6" w:space="0" w:color="414142"/>
              <w:left w:val="outset" w:sz="6" w:space="0" w:color="414142"/>
              <w:bottom w:val="outset" w:sz="6" w:space="0" w:color="414142"/>
              <w:right w:val="outset" w:sz="6" w:space="0" w:color="414142"/>
            </w:tcBorders>
          </w:tcPr>
          <w:p w14:paraId="2A6B4187" w14:textId="55E95A38" w:rsidR="00C202D6" w:rsidRPr="00476C1B" w:rsidRDefault="005350F0" w:rsidP="006D0053">
            <w:pPr>
              <w:spacing w:after="120"/>
              <w:jc w:val="both"/>
            </w:pPr>
            <w:r w:rsidRPr="00476C1B">
              <w:t>Nav.</w:t>
            </w:r>
          </w:p>
        </w:tc>
      </w:tr>
    </w:tbl>
    <w:p w14:paraId="38A87A45" w14:textId="77777777" w:rsidR="00476C1B" w:rsidRPr="00476C1B" w:rsidRDefault="00DB0AC9" w:rsidP="003C17D9">
      <w:pPr>
        <w:shd w:val="clear" w:color="auto" w:fill="FFFFFF"/>
        <w:ind w:firstLine="300"/>
      </w:pPr>
      <w:r w:rsidRPr="00476C1B">
        <w:t> </w:t>
      </w:r>
    </w:p>
    <w:tbl>
      <w:tblPr>
        <w:tblW w:w="5505"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
        <w:gridCol w:w="1732"/>
        <w:gridCol w:w="1005"/>
        <w:gridCol w:w="1111"/>
        <w:gridCol w:w="899"/>
        <w:gridCol w:w="1111"/>
        <w:gridCol w:w="899"/>
        <w:gridCol w:w="1111"/>
        <w:gridCol w:w="2094"/>
      </w:tblGrid>
      <w:tr w:rsidR="00476C1B" w:rsidRPr="00476C1B" w14:paraId="4701DC5E" w14:textId="77777777" w:rsidTr="00476C1B">
        <w:trPr>
          <w:gridBefore w:val="1"/>
          <w:wBefore w:w="4" w:type="pct"/>
          <w:trHeight w:val="288"/>
          <w:jc w:val="center"/>
        </w:trPr>
        <w:tc>
          <w:tcPr>
            <w:tcW w:w="4996" w:type="pct"/>
            <w:gridSpan w:val="8"/>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2677BB7" w14:textId="77777777" w:rsidR="00476C1B" w:rsidRPr="00476C1B" w:rsidRDefault="00476C1B" w:rsidP="00476C1B">
            <w:pPr>
              <w:spacing w:after="120"/>
              <w:jc w:val="center"/>
              <w:rPr>
                <w:b/>
                <w:bCs/>
                <w:highlight w:val="yellow"/>
              </w:rPr>
            </w:pPr>
            <w:r w:rsidRPr="00476C1B">
              <w:rPr>
                <w:b/>
                <w:bCs/>
              </w:rPr>
              <w:t>III. Tiesību akta projekta ietekme uz valsts budžetu un pašvaldību budžetiem</w:t>
            </w:r>
          </w:p>
        </w:tc>
      </w:tr>
      <w:tr w:rsidR="00476C1B" w:rsidRPr="00476C1B" w14:paraId="46A96EC4" w14:textId="77777777" w:rsidTr="00476C1B">
        <w:tblPrEx>
          <w:jc w:val="left"/>
          <w:shd w:val="clear" w:color="auto" w:fill="FFFFFF"/>
          <w:tblCellMar>
            <w:top w:w="30" w:type="dxa"/>
            <w:left w:w="30" w:type="dxa"/>
            <w:bottom w:w="30" w:type="dxa"/>
            <w:right w:w="30" w:type="dxa"/>
          </w:tblCellMar>
        </w:tblPrEx>
        <w:tc>
          <w:tcPr>
            <w:tcW w:w="873" w:type="pct"/>
            <w:gridSpan w:val="2"/>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6FE787" w14:textId="77777777" w:rsidR="00476C1B" w:rsidRPr="00476C1B" w:rsidRDefault="00476C1B" w:rsidP="003E21DD">
            <w:pPr>
              <w:spacing w:before="100" w:beforeAutospacing="1" w:after="100" w:afterAutospacing="1" w:line="293" w:lineRule="atLeast"/>
              <w:jc w:val="center"/>
            </w:pPr>
            <w:r w:rsidRPr="00476C1B">
              <w:t>Rādītāji</w:t>
            </w:r>
          </w:p>
        </w:tc>
        <w:tc>
          <w:tcPr>
            <w:tcW w:w="1061" w:type="pct"/>
            <w:gridSpan w:val="2"/>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11F6AB" w14:textId="68793DE7" w:rsidR="00476C1B" w:rsidRPr="00476C1B" w:rsidRDefault="00476C1B" w:rsidP="00476C1B">
            <w:pPr>
              <w:spacing w:before="100" w:beforeAutospacing="1" w:after="100" w:afterAutospacing="1" w:line="293" w:lineRule="atLeast"/>
              <w:jc w:val="center"/>
            </w:pPr>
            <w:r w:rsidRPr="00476C1B">
              <w:rPr>
                <w:bCs/>
                <w:lang w:eastAsia="en-US"/>
              </w:rPr>
              <w:t>202</w:t>
            </w:r>
            <w:r>
              <w:rPr>
                <w:bCs/>
                <w:lang w:eastAsia="en-US"/>
              </w:rPr>
              <w:t>1</w:t>
            </w:r>
          </w:p>
        </w:tc>
        <w:tc>
          <w:tcPr>
            <w:tcW w:w="3066" w:type="pct"/>
            <w:gridSpan w:val="5"/>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30C2AF" w14:textId="77777777" w:rsidR="00476C1B" w:rsidRPr="00476C1B" w:rsidRDefault="00476C1B" w:rsidP="003E21DD">
            <w:pPr>
              <w:spacing w:before="100" w:beforeAutospacing="1" w:after="100" w:afterAutospacing="1" w:line="293" w:lineRule="atLeast"/>
              <w:jc w:val="center"/>
            </w:pPr>
            <w:r w:rsidRPr="00476C1B">
              <w:t>Turpmākie trīs gadi (</w:t>
            </w:r>
            <w:proofErr w:type="spellStart"/>
            <w:r w:rsidRPr="00476C1B">
              <w:rPr>
                <w:i/>
                <w:iCs/>
              </w:rPr>
              <w:t>euro</w:t>
            </w:r>
            <w:proofErr w:type="spellEnd"/>
            <w:r w:rsidRPr="00476C1B">
              <w:t>)</w:t>
            </w:r>
          </w:p>
        </w:tc>
      </w:tr>
      <w:tr w:rsidR="00476C1B" w:rsidRPr="00476C1B" w14:paraId="1AA00016" w14:textId="77777777" w:rsidTr="00476C1B">
        <w:tblPrEx>
          <w:jc w:val="left"/>
          <w:shd w:val="clear" w:color="auto" w:fill="FFFFFF"/>
          <w:tblCellMar>
            <w:top w:w="30" w:type="dxa"/>
            <w:left w:w="30" w:type="dxa"/>
            <w:bottom w:w="30" w:type="dxa"/>
            <w:right w:w="30" w:type="dxa"/>
          </w:tblCellMar>
        </w:tblPrEx>
        <w:tc>
          <w:tcPr>
            <w:tcW w:w="873" w:type="pct"/>
            <w:gridSpan w:val="2"/>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0B4213" w14:textId="77777777" w:rsidR="00476C1B" w:rsidRPr="00476C1B" w:rsidRDefault="00476C1B" w:rsidP="003E21DD"/>
        </w:tc>
        <w:tc>
          <w:tcPr>
            <w:tcW w:w="0" w:type="auto"/>
            <w:gridSpan w:val="2"/>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3F2B548" w14:textId="77777777" w:rsidR="00476C1B" w:rsidRPr="00476C1B" w:rsidRDefault="00476C1B" w:rsidP="003E21DD"/>
        </w:tc>
        <w:tc>
          <w:tcPr>
            <w:tcW w:w="1008"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217806" w14:textId="11381715" w:rsidR="00476C1B" w:rsidRPr="00476C1B" w:rsidRDefault="00476C1B" w:rsidP="003E21DD">
            <w:pPr>
              <w:spacing w:before="100" w:beforeAutospacing="1" w:after="100" w:afterAutospacing="1" w:line="293" w:lineRule="atLeast"/>
              <w:jc w:val="center"/>
            </w:pPr>
            <w:r>
              <w:rPr>
                <w:bCs/>
                <w:lang w:eastAsia="en-US"/>
              </w:rPr>
              <w:t>2022</w:t>
            </w:r>
          </w:p>
        </w:tc>
        <w:tc>
          <w:tcPr>
            <w:tcW w:w="1008"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067B76" w14:textId="1920CE99" w:rsidR="00476C1B" w:rsidRPr="00476C1B" w:rsidRDefault="00476C1B" w:rsidP="003E21DD">
            <w:pPr>
              <w:spacing w:before="100" w:beforeAutospacing="1" w:after="100" w:afterAutospacing="1" w:line="293" w:lineRule="atLeast"/>
              <w:jc w:val="center"/>
            </w:pPr>
            <w:r>
              <w:rPr>
                <w:bCs/>
                <w:lang w:eastAsia="en-US"/>
              </w:rPr>
              <w:t>2023</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BB2C52" w14:textId="6750ACB4" w:rsidR="00476C1B" w:rsidRPr="00476C1B" w:rsidRDefault="00476C1B" w:rsidP="003E21DD">
            <w:pPr>
              <w:spacing w:before="100" w:beforeAutospacing="1" w:after="100" w:afterAutospacing="1" w:line="293" w:lineRule="atLeast"/>
              <w:jc w:val="center"/>
            </w:pPr>
            <w:r>
              <w:rPr>
                <w:bCs/>
                <w:lang w:eastAsia="en-US"/>
              </w:rPr>
              <w:t>2024</w:t>
            </w:r>
          </w:p>
        </w:tc>
      </w:tr>
      <w:tr w:rsidR="00476C1B" w:rsidRPr="00476C1B" w14:paraId="36491A24" w14:textId="77777777" w:rsidTr="00476C1B">
        <w:tblPrEx>
          <w:jc w:val="left"/>
          <w:shd w:val="clear" w:color="auto" w:fill="FFFFFF"/>
          <w:tblCellMar>
            <w:top w:w="30" w:type="dxa"/>
            <w:left w:w="30" w:type="dxa"/>
            <w:bottom w:w="30" w:type="dxa"/>
            <w:right w:w="30" w:type="dxa"/>
          </w:tblCellMar>
        </w:tblPrEx>
        <w:tc>
          <w:tcPr>
            <w:tcW w:w="873" w:type="pct"/>
            <w:gridSpan w:val="2"/>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300B9C" w14:textId="77777777" w:rsidR="00476C1B" w:rsidRPr="00476C1B" w:rsidRDefault="00476C1B" w:rsidP="003E21DD"/>
        </w:tc>
        <w:tc>
          <w:tcPr>
            <w:tcW w:w="5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3A1B50" w14:textId="77777777" w:rsidR="00476C1B" w:rsidRPr="00476C1B" w:rsidRDefault="00476C1B" w:rsidP="003E21DD">
            <w:pPr>
              <w:spacing w:before="100" w:beforeAutospacing="1" w:after="100" w:afterAutospacing="1" w:line="293" w:lineRule="atLeast"/>
              <w:jc w:val="center"/>
            </w:pPr>
            <w:r w:rsidRPr="00476C1B">
              <w:t>saskaņā ar valsts budžetu kārtējam gadam</w:t>
            </w:r>
          </w:p>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36BC62" w14:textId="77777777" w:rsidR="00476C1B" w:rsidRPr="00476C1B" w:rsidRDefault="00476C1B" w:rsidP="003E21DD">
            <w:pPr>
              <w:spacing w:before="100" w:beforeAutospacing="1" w:after="100" w:afterAutospacing="1" w:line="293" w:lineRule="atLeast"/>
              <w:jc w:val="center"/>
            </w:pPr>
            <w:r w:rsidRPr="00476C1B">
              <w:t>izmaiņas kārtējā gadā, salīdzinot ar valsts budžetu kārtējam gadam</w:t>
            </w:r>
          </w:p>
        </w:tc>
        <w:tc>
          <w:tcPr>
            <w:tcW w:w="4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E5B9CB" w14:textId="77777777" w:rsidR="00476C1B" w:rsidRPr="00476C1B" w:rsidRDefault="00476C1B" w:rsidP="003E21DD">
            <w:pPr>
              <w:spacing w:before="100" w:beforeAutospacing="1" w:after="100" w:afterAutospacing="1" w:line="293" w:lineRule="atLeast"/>
              <w:jc w:val="center"/>
            </w:pPr>
            <w:r w:rsidRPr="00476C1B">
              <w:t>saskaņā ar vidēja termiņa budžeta ietvaru</w:t>
            </w:r>
          </w:p>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157171" w14:textId="77777777" w:rsidR="00476C1B" w:rsidRPr="00476C1B" w:rsidRDefault="00476C1B" w:rsidP="003E21DD">
            <w:pPr>
              <w:spacing w:before="100" w:beforeAutospacing="1" w:after="100" w:afterAutospacing="1" w:line="293" w:lineRule="atLeast"/>
              <w:jc w:val="center"/>
            </w:pPr>
            <w:r w:rsidRPr="00476C1B">
              <w:t>izmaiņas, salīdzinot ar vidēja termiņa budžeta ietvaru n+1 gadam</w:t>
            </w:r>
          </w:p>
        </w:tc>
        <w:tc>
          <w:tcPr>
            <w:tcW w:w="4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0ADEDF1" w14:textId="77777777" w:rsidR="00476C1B" w:rsidRPr="00476C1B" w:rsidRDefault="00476C1B" w:rsidP="003E21DD">
            <w:pPr>
              <w:spacing w:before="100" w:beforeAutospacing="1" w:after="100" w:afterAutospacing="1" w:line="293" w:lineRule="atLeast"/>
              <w:jc w:val="center"/>
            </w:pPr>
            <w:r w:rsidRPr="00476C1B">
              <w:t>saskaņā ar vidēja termiņa budžeta ietvaru</w:t>
            </w:r>
          </w:p>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B8E13FD" w14:textId="77777777" w:rsidR="00476C1B" w:rsidRPr="00476C1B" w:rsidRDefault="00476C1B" w:rsidP="003E21DD">
            <w:pPr>
              <w:spacing w:before="100" w:beforeAutospacing="1" w:after="100" w:afterAutospacing="1" w:line="293" w:lineRule="atLeast"/>
              <w:jc w:val="center"/>
            </w:pPr>
            <w:r w:rsidRPr="00476C1B">
              <w:t>izmaiņas, salīdzinot ar vidēja termiņa budžeta ietvaru n+2 gadam</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A197CB" w14:textId="77777777" w:rsidR="00476C1B" w:rsidRPr="00476C1B" w:rsidRDefault="00476C1B" w:rsidP="003E21DD">
            <w:pPr>
              <w:spacing w:before="100" w:beforeAutospacing="1" w:after="100" w:afterAutospacing="1" w:line="293" w:lineRule="atLeast"/>
              <w:jc w:val="center"/>
            </w:pPr>
            <w:r w:rsidRPr="00476C1B">
              <w:t>izmaiņas, salīdzinot ar vidēja termiņa budžeta ietvaru n+2 gadam</w:t>
            </w:r>
          </w:p>
        </w:tc>
      </w:tr>
      <w:tr w:rsidR="00476C1B" w:rsidRPr="00476C1B" w14:paraId="4C47AB7E" w14:textId="77777777" w:rsidTr="00476C1B">
        <w:tblPrEx>
          <w:jc w:val="left"/>
          <w:shd w:val="clear" w:color="auto" w:fill="FFFFFF"/>
          <w:tblCellMar>
            <w:top w:w="30" w:type="dxa"/>
            <w:left w:w="30" w:type="dxa"/>
            <w:bottom w:w="30" w:type="dxa"/>
            <w:right w:w="30" w:type="dxa"/>
          </w:tblCellMar>
        </w:tblPrEx>
        <w:tc>
          <w:tcPr>
            <w:tcW w:w="873"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7CB74A" w14:textId="77777777" w:rsidR="00476C1B" w:rsidRPr="00476C1B" w:rsidRDefault="00476C1B" w:rsidP="003E21DD">
            <w:pPr>
              <w:spacing w:before="100" w:beforeAutospacing="1" w:after="100" w:afterAutospacing="1" w:line="293" w:lineRule="atLeast"/>
              <w:jc w:val="center"/>
            </w:pPr>
            <w:r w:rsidRPr="00476C1B">
              <w:t>1</w:t>
            </w:r>
          </w:p>
        </w:tc>
        <w:tc>
          <w:tcPr>
            <w:tcW w:w="5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904E0D" w14:textId="77777777" w:rsidR="00476C1B" w:rsidRPr="00476C1B" w:rsidRDefault="00476C1B" w:rsidP="003E21DD">
            <w:pPr>
              <w:spacing w:before="100" w:beforeAutospacing="1" w:after="100" w:afterAutospacing="1" w:line="293" w:lineRule="atLeast"/>
              <w:jc w:val="center"/>
            </w:pPr>
            <w:r w:rsidRPr="00476C1B">
              <w:t>2</w:t>
            </w:r>
          </w:p>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F0F1D17" w14:textId="77777777" w:rsidR="00476C1B" w:rsidRPr="00476C1B" w:rsidRDefault="00476C1B" w:rsidP="003E21DD">
            <w:pPr>
              <w:spacing w:before="100" w:beforeAutospacing="1" w:after="100" w:afterAutospacing="1" w:line="293" w:lineRule="atLeast"/>
              <w:jc w:val="center"/>
            </w:pPr>
            <w:r w:rsidRPr="00476C1B">
              <w:t>3</w:t>
            </w:r>
          </w:p>
        </w:tc>
        <w:tc>
          <w:tcPr>
            <w:tcW w:w="4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DBE96E" w14:textId="77777777" w:rsidR="00476C1B" w:rsidRPr="00476C1B" w:rsidRDefault="00476C1B" w:rsidP="003E21DD">
            <w:pPr>
              <w:spacing w:before="100" w:beforeAutospacing="1" w:after="100" w:afterAutospacing="1" w:line="293" w:lineRule="atLeast"/>
              <w:jc w:val="center"/>
            </w:pPr>
            <w:r w:rsidRPr="00476C1B">
              <w:t>4</w:t>
            </w:r>
          </w:p>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96CDEB" w14:textId="77777777" w:rsidR="00476C1B" w:rsidRPr="00476C1B" w:rsidRDefault="00476C1B" w:rsidP="003E21DD">
            <w:pPr>
              <w:spacing w:before="100" w:beforeAutospacing="1" w:after="100" w:afterAutospacing="1" w:line="293" w:lineRule="atLeast"/>
              <w:jc w:val="center"/>
            </w:pPr>
            <w:r w:rsidRPr="00476C1B">
              <w:t>5</w:t>
            </w:r>
          </w:p>
        </w:tc>
        <w:tc>
          <w:tcPr>
            <w:tcW w:w="4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066899D" w14:textId="77777777" w:rsidR="00476C1B" w:rsidRPr="00476C1B" w:rsidRDefault="00476C1B" w:rsidP="003E21DD">
            <w:pPr>
              <w:spacing w:before="100" w:beforeAutospacing="1" w:after="100" w:afterAutospacing="1" w:line="293" w:lineRule="atLeast"/>
              <w:jc w:val="center"/>
            </w:pPr>
            <w:r w:rsidRPr="00476C1B">
              <w:t>6</w:t>
            </w:r>
          </w:p>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BA0C52" w14:textId="77777777" w:rsidR="00476C1B" w:rsidRPr="00476C1B" w:rsidRDefault="00476C1B" w:rsidP="003E21DD">
            <w:pPr>
              <w:spacing w:before="100" w:beforeAutospacing="1" w:after="100" w:afterAutospacing="1" w:line="293" w:lineRule="atLeast"/>
              <w:jc w:val="center"/>
            </w:pPr>
            <w:r w:rsidRPr="00476C1B">
              <w:t>7</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77A027" w14:textId="77777777" w:rsidR="00476C1B" w:rsidRPr="00476C1B" w:rsidRDefault="00476C1B" w:rsidP="003E21DD">
            <w:pPr>
              <w:spacing w:before="100" w:beforeAutospacing="1" w:after="100" w:afterAutospacing="1" w:line="293" w:lineRule="atLeast"/>
              <w:jc w:val="center"/>
            </w:pPr>
            <w:r w:rsidRPr="00476C1B">
              <w:t>8</w:t>
            </w:r>
          </w:p>
        </w:tc>
      </w:tr>
      <w:tr w:rsidR="00476C1B" w:rsidRPr="00476C1B" w14:paraId="62C898A0" w14:textId="77777777" w:rsidTr="00476C1B">
        <w:tblPrEx>
          <w:jc w:val="left"/>
          <w:shd w:val="clear" w:color="auto" w:fill="FFFFFF"/>
          <w:tblCellMar>
            <w:top w:w="30" w:type="dxa"/>
            <w:left w:w="30" w:type="dxa"/>
            <w:bottom w:w="30" w:type="dxa"/>
            <w:right w:w="30" w:type="dxa"/>
          </w:tblCellMar>
        </w:tblPrEx>
        <w:tc>
          <w:tcPr>
            <w:tcW w:w="873"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48AEADE" w14:textId="77777777" w:rsidR="00476C1B" w:rsidRPr="00476C1B" w:rsidRDefault="00476C1B" w:rsidP="003E21DD">
            <w:r w:rsidRPr="00476C1B">
              <w:t>1. Budžeta ieņēmumi</w:t>
            </w:r>
          </w:p>
        </w:tc>
        <w:tc>
          <w:tcPr>
            <w:tcW w:w="5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614EA6" w14:textId="77777777" w:rsidR="00476C1B" w:rsidRPr="00476C1B" w:rsidRDefault="00476C1B" w:rsidP="003E21DD">
            <w:r w:rsidRPr="00476C1B">
              <w:t> </w:t>
            </w:r>
          </w:p>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012DD7F" w14:textId="77777777" w:rsidR="00476C1B" w:rsidRPr="00476C1B" w:rsidRDefault="00476C1B" w:rsidP="003E21DD">
            <w:r w:rsidRPr="00476C1B">
              <w:t> </w:t>
            </w:r>
          </w:p>
        </w:tc>
        <w:tc>
          <w:tcPr>
            <w:tcW w:w="4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C80489" w14:textId="77777777" w:rsidR="00476C1B" w:rsidRPr="00476C1B" w:rsidRDefault="00476C1B" w:rsidP="003E21DD">
            <w:r w:rsidRPr="00476C1B">
              <w:t> </w:t>
            </w:r>
          </w:p>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62ECD7" w14:textId="77777777" w:rsidR="00476C1B" w:rsidRPr="00476C1B" w:rsidRDefault="00476C1B" w:rsidP="003E21DD">
            <w:r w:rsidRPr="00476C1B">
              <w:t> </w:t>
            </w:r>
          </w:p>
        </w:tc>
        <w:tc>
          <w:tcPr>
            <w:tcW w:w="4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24B8F8" w14:textId="77777777" w:rsidR="00476C1B" w:rsidRPr="00476C1B" w:rsidRDefault="00476C1B" w:rsidP="003E21DD">
            <w:r w:rsidRPr="00476C1B">
              <w:t> </w:t>
            </w:r>
          </w:p>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D8B2CB" w14:textId="77777777" w:rsidR="00476C1B" w:rsidRPr="00476C1B" w:rsidRDefault="00476C1B" w:rsidP="003E21DD">
            <w:r w:rsidRPr="00476C1B">
              <w:t> </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350187E" w14:textId="77777777" w:rsidR="00476C1B" w:rsidRPr="00476C1B" w:rsidRDefault="00476C1B" w:rsidP="003E21DD">
            <w:r w:rsidRPr="00476C1B">
              <w:t> </w:t>
            </w:r>
          </w:p>
        </w:tc>
      </w:tr>
      <w:tr w:rsidR="00476C1B" w:rsidRPr="00476C1B" w14:paraId="51C53084" w14:textId="77777777" w:rsidTr="00476C1B">
        <w:tblPrEx>
          <w:jc w:val="left"/>
          <w:shd w:val="clear" w:color="auto" w:fill="FFFFFF"/>
          <w:tblCellMar>
            <w:top w:w="30" w:type="dxa"/>
            <w:left w:w="30" w:type="dxa"/>
            <w:bottom w:w="30" w:type="dxa"/>
            <w:right w:w="30" w:type="dxa"/>
          </w:tblCellMar>
        </w:tblPrEx>
        <w:tc>
          <w:tcPr>
            <w:tcW w:w="873"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4941FE5" w14:textId="77777777" w:rsidR="00476C1B" w:rsidRPr="00476C1B" w:rsidRDefault="00476C1B" w:rsidP="003E21DD">
            <w:r w:rsidRPr="00476C1B">
              <w:t>1.1. valsts pamatbudžets, tai skaitā ieņēmumi no maksas pakalpojumiem un citi pašu ieņēmumi</w:t>
            </w:r>
          </w:p>
        </w:tc>
        <w:tc>
          <w:tcPr>
            <w:tcW w:w="5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987201" w14:textId="77777777" w:rsidR="00476C1B" w:rsidRPr="00476C1B" w:rsidRDefault="00476C1B" w:rsidP="003E21DD">
            <w:r w:rsidRPr="00476C1B">
              <w:t> </w:t>
            </w:r>
          </w:p>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05A53B9" w14:textId="77777777" w:rsidR="00476C1B" w:rsidRPr="00476C1B" w:rsidRDefault="00476C1B" w:rsidP="003E21DD">
            <w:r w:rsidRPr="00476C1B">
              <w:t> </w:t>
            </w:r>
          </w:p>
        </w:tc>
        <w:tc>
          <w:tcPr>
            <w:tcW w:w="4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4AC55D" w14:textId="77777777" w:rsidR="00476C1B" w:rsidRPr="00476C1B" w:rsidRDefault="00476C1B" w:rsidP="003E21DD">
            <w:r w:rsidRPr="00476C1B">
              <w:t> </w:t>
            </w:r>
          </w:p>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8247F8" w14:textId="77777777" w:rsidR="00476C1B" w:rsidRPr="00476C1B" w:rsidRDefault="00476C1B" w:rsidP="003E21DD">
            <w:r w:rsidRPr="00476C1B">
              <w:t> </w:t>
            </w:r>
          </w:p>
        </w:tc>
        <w:tc>
          <w:tcPr>
            <w:tcW w:w="4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80FBE00" w14:textId="77777777" w:rsidR="00476C1B" w:rsidRPr="00476C1B" w:rsidRDefault="00476C1B" w:rsidP="003E21DD">
            <w:r w:rsidRPr="00476C1B">
              <w:t> </w:t>
            </w:r>
          </w:p>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F8D5B8" w14:textId="77777777" w:rsidR="00476C1B" w:rsidRPr="00476C1B" w:rsidRDefault="00476C1B" w:rsidP="003E21DD">
            <w:r w:rsidRPr="00476C1B">
              <w:t> </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2BFE3D" w14:textId="77777777" w:rsidR="00476C1B" w:rsidRPr="00476C1B" w:rsidRDefault="00476C1B" w:rsidP="003E21DD">
            <w:r w:rsidRPr="00476C1B">
              <w:t> </w:t>
            </w:r>
          </w:p>
        </w:tc>
      </w:tr>
      <w:tr w:rsidR="00476C1B" w:rsidRPr="00476C1B" w14:paraId="3C94DD12" w14:textId="77777777" w:rsidTr="00476C1B">
        <w:tblPrEx>
          <w:jc w:val="left"/>
          <w:shd w:val="clear" w:color="auto" w:fill="FFFFFF"/>
          <w:tblCellMar>
            <w:top w:w="30" w:type="dxa"/>
            <w:left w:w="30" w:type="dxa"/>
            <w:bottom w:w="30" w:type="dxa"/>
            <w:right w:w="30" w:type="dxa"/>
          </w:tblCellMar>
        </w:tblPrEx>
        <w:tc>
          <w:tcPr>
            <w:tcW w:w="873"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4E3274D" w14:textId="77777777" w:rsidR="00476C1B" w:rsidRPr="00476C1B" w:rsidRDefault="00476C1B" w:rsidP="003E21DD">
            <w:r w:rsidRPr="00476C1B">
              <w:t>1.2. valsts speciālais budžets</w:t>
            </w:r>
          </w:p>
        </w:tc>
        <w:tc>
          <w:tcPr>
            <w:tcW w:w="5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967654D" w14:textId="77777777" w:rsidR="00476C1B" w:rsidRPr="00476C1B" w:rsidRDefault="00476C1B" w:rsidP="003E21DD">
            <w:r w:rsidRPr="00476C1B">
              <w:t> </w:t>
            </w:r>
          </w:p>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A61AE2" w14:textId="77777777" w:rsidR="00476C1B" w:rsidRPr="00476C1B" w:rsidRDefault="00476C1B" w:rsidP="003E21DD">
            <w:r w:rsidRPr="00476C1B">
              <w:t> </w:t>
            </w:r>
          </w:p>
        </w:tc>
        <w:tc>
          <w:tcPr>
            <w:tcW w:w="4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6216C3" w14:textId="77777777" w:rsidR="00476C1B" w:rsidRPr="00476C1B" w:rsidRDefault="00476C1B" w:rsidP="003E21DD">
            <w:r w:rsidRPr="00476C1B">
              <w:t> </w:t>
            </w:r>
          </w:p>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F0FF555" w14:textId="77777777" w:rsidR="00476C1B" w:rsidRPr="00476C1B" w:rsidRDefault="00476C1B" w:rsidP="003E21DD">
            <w:r w:rsidRPr="00476C1B">
              <w:t> </w:t>
            </w:r>
          </w:p>
        </w:tc>
        <w:tc>
          <w:tcPr>
            <w:tcW w:w="4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438416" w14:textId="77777777" w:rsidR="00476C1B" w:rsidRPr="00476C1B" w:rsidRDefault="00476C1B" w:rsidP="003E21DD">
            <w:r w:rsidRPr="00476C1B">
              <w:t> </w:t>
            </w:r>
          </w:p>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2F2166" w14:textId="77777777" w:rsidR="00476C1B" w:rsidRPr="00476C1B" w:rsidRDefault="00476C1B" w:rsidP="003E21DD">
            <w:r w:rsidRPr="00476C1B">
              <w:t> </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22124FD" w14:textId="77777777" w:rsidR="00476C1B" w:rsidRPr="00476C1B" w:rsidRDefault="00476C1B" w:rsidP="003E21DD">
            <w:r w:rsidRPr="00476C1B">
              <w:t> </w:t>
            </w:r>
          </w:p>
        </w:tc>
      </w:tr>
      <w:tr w:rsidR="00476C1B" w:rsidRPr="00476C1B" w14:paraId="6A1B632D" w14:textId="77777777" w:rsidTr="00476C1B">
        <w:tblPrEx>
          <w:jc w:val="left"/>
          <w:shd w:val="clear" w:color="auto" w:fill="FFFFFF"/>
          <w:tblCellMar>
            <w:top w:w="30" w:type="dxa"/>
            <w:left w:w="30" w:type="dxa"/>
            <w:bottom w:w="30" w:type="dxa"/>
            <w:right w:w="30" w:type="dxa"/>
          </w:tblCellMar>
        </w:tblPrEx>
        <w:tc>
          <w:tcPr>
            <w:tcW w:w="873"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5F1C93E" w14:textId="77777777" w:rsidR="00476C1B" w:rsidRPr="00476C1B" w:rsidRDefault="00476C1B" w:rsidP="003E21DD">
            <w:r w:rsidRPr="00476C1B">
              <w:t>1.3. pašvaldību budžets</w:t>
            </w:r>
          </w:p>
        </w:tc>
        <w:tc>
          <w:tcPr>
            <w:tcW w:w="5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7C210DD" w14:textId="77777777" w:rsidR="00476C1B" w:rsidRPr="00476C1B" w:rsidRDefault="00476C1B" w:rsidP="003E21DD">
            <w:r w:rsidRPr="00476C1B">
              <w:t> </w:t>
            </w:r>
          </w:p>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0DB0C0" w14:textId="77777777" w:rsidR="00476C1B" w:rsidRPr="00476C1B" w:rsidRDefault="00476C1B" w:rsidP="003E21DD">
            <w:r w:rsidRPr="00476C1B">
              <w:t> </w:t>
            </w:r>
          </w:p>
        </w:tc>
        <w:tc>
          <w:tcPr>
            <w:tcW w:w="4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7426DA6" w14:textId="77777777" w:rsidR="00476C1B" w:rsidRPr="00476C1B" w:rsidRDefault="00476C1B" w:rsidP="003E21DD">
            <w:r w:rsidRPr="00476C1B">
              <w:t> </w:t>
            </w:r>
          </w:p>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75401D" w14:textId="77777777" w:rsidR="00476C1B" w:rsidRPr="00476C1B" w:rsidRDefault="00476C1B" w:rsidP="003E21DD">
            <w:r w:rsidRPr="00476C1B">
              <w:t> </w:t>
            </w:r>
          </w:p>
        </w:tc>
        <w:tc>
          <w:tcPr>
            <w:tcW w:w="4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2964F6" w14:textId="77777777" w:rsidR="00476C1B" w:rsidRPr="00476C1B" w:rsidRDefault="00476C1B" w:rsidP="003E21DD">
            <w:r w:rsidRPr="00476C1B">
              <w:t> </w:t>
            </w:r>
          </w:p>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21315B3" w14:textId="77777777" w:rsidR="00476C1B" w:rsidRPr="00476C1B" w:rsidRDefault="00476C1B" w:rsidP="003E21DD">
            <w:r w:rsidRPr="00476C1B">
              <w:t> </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342FD3" w14:textId="77777777" w:rsidR="00476C1B" w:rsidRPr="00476C1B" w:rsidRDefault="00476C1B" w:rsidP="003E21DD">
            <w:r w:rsidRPr="00476C1B">
              <w:t> </w:t>
            </w:r>
          </w:p>
        </w:tc>
      </w:tr>
      <w:tr w:rsidR="00476C1B" w:rsidRPr="00476C1B" w14:paraId="15A8F352" w14:textId="77777777" w:rsidTr="00476C1B">
        <w:tblPrEx>
          <w:jc w:val="left"/>
          <w:shd w:val="clear" w:color="auto" w:fill="FFFFFF"/>
          <w:tblCellMar>
            <w:top w:w="30" w:type="dxa"/>
            <w:left w:w="30" w:type="dxa"/>
            <w:bottom w:w="30" w:type="dxa"/>
            <w:right w:w="30" w:type="dxa"/>
          </w:tblCellMar>
        </w:tblPrEx>
        <w:tc>
          <w:tcPr>
            <w:tcW w:w="873"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7B8B806" w14:textId="77777777" w:rsidR="00476C1B" w:rsidRPr="00476C1B" w:rsidRDefault="00476C1B" w:rsidP="003E21DD">
            <w:r w:rsidRPr="00476C1B">
              <w:t>2. Budžeta izdevumi</w:t>
            </w:r>
          </w:p>
        </w:tc>
        <w:tc>
          <w:tcPr>
            <w:tcW w:w="5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4788FA0" w14:textId="77777777" w:rsidR="00476C1B" w:rsidRPr="00476C1B" w:rsidRDefault="00476C1B" w:rsidP="003E21DD">
            <w:r w:rsidRPr="00476C1B">
              <w:t> </w:t>
            </w:r>
          </w:p>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2AD7F9" w14:textId="77777777" w:rsidR="00476C1B" w:rsidRPr="00476C1B" w:rsidRDefault="00476C1B" w:rsidP="003E21DD">
            <w:r w:rsidRPr="00476C1B">
              <w:t> </w:t>
            </w:r>
          </w:p>
        </w:tc>
        <w:tc>
          <w:tcPr>
            <w:tcW w:w="4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AC460B" w14:textId="77777777" w:rsidR="00476C1B" w:rsidRPr="00476C1B" w:rsidRDefault="00476C1B" w:rsidP="003E21DD">
            <w:r w:rsidRPr="00476C1B">
              <w:t> </w:t>
            </w:r>
          </w:p>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0804FC" w14:textId="77777777" w:rsidR="00476C1B" w:rsidRPr="00476C1B" w:rsidRDefault="00476C1B" w:rsidP="003E21DD">
            <w:r w:rsidRPr="00476C1B">
              <w:t> </w:t>
            </w:r>
          </w:p>
        </w:tc>
        <w:tc>
          <w:tcPr>
            <w:tcW w:w="4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B43474" w14:textId="77777777" w:rsidR="00476C1B" w:rsidRPr="00476C1B" w:rsidRDefault="00476C1B" w:rsidP="003E21DD">
            <w:r w:rsidRPr="00476C1B">
              <w:t> </w:t>
            </w:r>
          </w:p>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4D1830" w14:textId="77777777" w:rsidR="00476C1B" w:rsidRPr="00476C1B" w:rsidRDefault="00476C1B" w:rsidP="003E21DD">
            <w:r w:rsidRPr="00476C1B">
              <w:t> </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A5BF4D" w14:textId="77777777" w:rsidR="00476C1B" w:rsidRPr="00476C1B" w:rsidRDefault="00476C1B" w:rsidP="003E21DD">
            <w:r w:rsidRPr="00476C1B">
              <w:t> </w:t>
            </w:r>
          </w:p>
        </w:tc>
      </w:tr>
      <w:tr w:rsidR="00476C1B" w:rsidRPr="00476C1B" w14:paraId="3AE0406E" w14:textId="77777777" w:rsidTr="00476C1B">
        <w:tblPrEx>
          <w:jc w:val="left"/>
          <w:shd w:val="clear" w:color="auto" w:fill="FFFFFF"/>
          <w:tblCellMar>
            <w:top w:w="30" w:type="dxa"/>
            <w:left w:w="30" w:type="dxa"/>
            <w:bottom w:w="30" w:type="dxa"/>
            <w:right w:w="30" w:type="dxa"/>
          </w:tblCellMar>
        </w:tblPrEx>
        <w:tc>
          <w:tcPr>
            <w:tcW w:w="873"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0D8B5E7E" w14:textId="77777777" w:rsidR="00476C1B" w:rsidRPr="00476C1B" w:rsidRDefault="00476C1B" w:rsidP="003E21DD">
            <w:r w:rsidRPr="00476C1B">
              <w:t>2.1. valsts pamatbudžets</w:t>
            </w:r>
          </w:p>
        </w:tc>
        <w:tc>
          <w:tcPr>
            <w:tcW w:w="5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6B4C91D" w14:textId="77777777" w:rsidR="00476C1B" w:rsidRPr="00476C1B" w:rsidRDefault="00476C1B" w:rsidP="003E21DD">
            <w:r w:rsidRPr="00476C1B">
              <w:t> </w:t>
            </w:r>
          </w:p>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0941FFF" w14:textId="77777777" w:rsidR="00476C1B" w:rsidRPr="00476C1B" w:rsidRDefault="00476C1B" w:rsidP="003E21DD">
            <w:r w:rsidRPr="00476C1B">
              <w:t> </w:t>
            </w:r>
          </w:p>
        </w:tc>
        <w:tc>
          <w:tcPr>
            <w:tcW w:w="4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9C57E5" w14:textId="77777777" w:rsidR="00476C1B" w:rsidRPr="00476C1B" w:rsidRDefault="00476C1B" w:rsidP="003E21DD">
            <w:r w:rsidRPr="00476C1B">
              <w:t> </w:t>
            </w:r>
          </w:p>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E4D95C" w14:textId="77777777" w:rsidR="00476C1B" w:rsidRPr="00476C1B" w:rsidRDefault="00476C1B" w:rsidP="003E21DD">
            <w:r w:rsidRPr="00476C1B">
              <w:t> </w:t>
            </w:r>
          </w:p>
        </w:tc>
        <w:tc>
          <w:tcPr>
            <w:tcW w:w="4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3739136" w14:textId="77777777" w:rsidR="00476C1B" w:rsidRPr="00476C1B" w:rsidRDefault="00476C1B" w:rsidP="003E21DD">
            <w:r w:rsidRPr="00476C1B">
              <w:t> </w:t>
            </w:r>
          </w:p>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396A8F3" w14:textId="77777777" w:rsidR="00476C1B" w:rsidRPr="00476C1B" w:rsidRDefault="00476C1B" w:rsidP="003E21DD">
            <w:r w:rsidRPr="00476C1B">
              <w:t> </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5DC2E13" w14:textId="77777777" w:rsidR="00476C1B" w:rsidRPr="00476C1B" w:rsidRDefault="00476C1B" w:rsidP="003E21DD">
            <w:r w:rsidRPr="00476C1B">
              <w:t> </w:t>
            </w:r>
          </w:p>
        </w:tc>
      </w:tr>
      <w:tr w:rsidR="00476C1B" w:rsidRPr="00476C1B" w14:paraId="1AE6FBB9" w14:textId="77777777" w:rsidTr="00476C1B">
        <w:tblPrEx>
          <w:jc w:val="left"/>
          <w:shd w:val="clear" w:color="auto" w:fill="FFFFFF"/>
          <w:tblCellMar>
            <w:top w:w="30" w:type="dxa"/>
            <w:left w:w="30" w:type="dxa"/>
            <w:bottom w:w="30" w:type="dxa"/>
            <w:right w:w="30" w:type="dxa"/>
          </w:tblCellMar>
        </w:tblPrEx>
        <w:tc>
          <w:tcPr>
            <w:tcW w:w="873"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8149846" w14:textId="77777777" w:rsidR="00476C1B" w:rsidRPr="00476C1B" w:rsidRDefault="00476C1B" w:rsidP="003E21DD">
            <w:r w:rsidRPr="00476C1B">
              <w:t>2.2. valsts speciālais budžets</w:t>
            </w:r>
          </w:p>
        </w:tc>
        <w:tc>
          <w:tcPr>
            <w:tcW w:w="5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2286E0" w14:textId="77777777" w:rsidR="00476C1B" w:rsidRPr="00476C1B" w:rsidRDefault="00476C1B" w:rsidP="003E21DD">
            <w:r w:rsidRPr="00476C1B">
              <w:t> </w:t>
            </w:r>
          </w:p>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9D2A3A" w14:textId="77777777" w:rsidR="00476C1B" w:rsidRPr="00476C1B" w:rsidRDefault="00476C1B" w:rsidP="003E21DD">
            <w:r w:rsidRPr="00476C1B">
              <w:t> </w:t>
            </w:r>
          </w:p>
        </w:tc>
        <w:tc>
          <w:tcPr>
            <w:tcW w:w="4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69A74B" w14:textId="77777777" w:rsidR="00476C1B" w:rsidRPr="00476C1B" w:rsidRDefault="00476C1B" w:rsidP="003E21DD">
            <w:r w:rsidRPr="00476C1B">
              <w:t> </w:t>
            </w:r>
          </w:p>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43D93C" w14:textId="77777777" w:rsidR="00476C1B" w:rsidRPr="00476C1B" w:rsidRDefault="00476C1B" w:rsidP="003E21DD">
            <w:r w:rsidRPr="00476C1B">
              <w:t> </w:t>
            </w:r>
          </w:p>
        </w:tc>
        <w:tc>
          <w:tcPr>
            <w:tcW w:w="4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9F1CFB3" w14:textId="77777777" w:rsidR="00476C1B" w:rsidRPr="00476C1B" w:rsidRDefault="00476C1B" w:rsidP="003E21DD">
            <w:r w:rsidRPr="00476C1B">
              <w:t> </w:t>
            </w:r>
          </w:p>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B9FE6F" w14:textId="77777777" w:rsidR="00476C1B" w:rsidRPr="00476C1B" w:rsidRDefault="00476C1B" w:rsidP="003E21DD">
            <w:r w:rsidRPr="00476C1B">
              <w:t> </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62E48F" w14:textId="77777777" w:rsidR="00476C1B" w:rsidRPr="00476C1B" w:rsidRDefault="00476C1B" w:rsidP="003E21DD">
            <w:r w:rsidRPr="00476C1B">
              <w:t> </w:t>
            </w:r>
          </w:p>
        </w:tc>
      </w:tr>
      <w:tr w:rsidR="00476C1B" w:rsidRPr="00476C1B" w14:paraId="192AFAD6" w14:textId="77777777" w:rsidTr="00476C1B">
        <w:tblPrEx>
          <w:jc w:val="left"/>
          <w:shd w:val="clear" w:color="auto" w:fill="FFFFFF"/>
          <w:tblCellMar>
            <w:top w:w="30" w:type="dxa"/>
            <w:left w:w="30" w:type="dxa"/>
            <w:bottom w:w="30" w:type="dxa"/>
            <w:right w:w="30" w:type="dxa"/>
          </w:tblCellMar>
        </w:tblPrEx>
        <w:tc>
          <w:tcPr>
            <w:tcW w:w="873"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A539D68" w14:textId="77777777" w:rsidR="00476C1B" w:rsidRPr="00476C1B" w:rsidRDefault="00476C1B" w:rsidP="003E21DD">
            <w:r w:rsidRPr="00476C1B">
              <w:t>2.3. pašvaldību budžets</w:t>
            </w:r>
          </w:p>
        </w:tc>
        <w:tc>
          <w:tcPr>
            <w:tcW w:w="5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CA7745" w14:textId="77777777" w:rsidR="00476C1B" w:rsidRPr="00476C1B" w:rsidRDefault="00476C1B" w:rsidP="003E21DD">
            <w:r w:rsidRPr="00476C1B">
              <w:t> </w:t>
            </w:r>
          </w:p>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4E7FC3" w14:textId="77777777" w:rsidR="00476C1B" w:rsidRPr="00476C1B" w:rsidRDefault="00476C1B" w:rsidP="003E21DD">
            <w:r w:rsidRPr="00476C1B">
              <w:t> </w:t>
            </w:r>
          </w:p>
        </w:tc>
        <w:tc>
          <w:tcPr>
            <w:tcW w:w="4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8832AE" w14:textId="77777777" w:rsidR="00476C1B" w:rsidRPr="00476C1B" w:rsidRDefault="00476C1B" w:rsidP="003E21DD">
            <w:r w:rsidRPr="00476C1B">
              <w:t> </w:t>
            </w:r>
          </w:p>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0D2B0F" w14:textId="77777777" w:rsidR="00476C1B" w:rsidRPr="00476C1B" w:rsidRDefault="00476C1B" w:rsidP="003E21DD">
            <w:r w:rsidRPr="00476C1B">
              <w:t> </w:t>
            </w:r>
          </w:p>
        </w:tc>
        <w:tc>
          <w:tcPr>
            <w:tcW w:w="4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399CDE" w14:textId="77777777" w:rsidR="00476C1B" w:rsidRPr="00476C1B" w:rsidRDefault="00476C1B" w:rsidP="003E21DD">
            <w:r w:rsidRPr="00476C1B">
              <w:t> </w:t>
            </w:r>
          </w:p>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43AFE4" w14:textId="77777777" w:rsidR="00476C1B" w:rsidRPr="00476C1B" w:rsidRDefault="00476C1B" w:rsidP="003E21DD">
            <w:r w:rsidRPr="00476C1B">
              <w:t> </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BF7CFE" w14:textId="77777777" w:rsidR="00476C1B" w:rsidRPr="00476C1B" w:rsidRDefault="00476C1B" w:rsidP="003E21DD">
            <w:r w:rsidRPr="00476C1B">
              <w:t> </w:t>
            </w:r>
          </w:p>
        </w:tc>
      </w:tr>
      <w:tr w:rsidR="00476C1B" w:rsidRPr="00476C1B" w14:paraId="6B500AC9" w14:textId="77777777" w:rsidTr="00476C1B">
        <w:tblPrEx>
          <w:jc w:val="left"/>
          <w:shd w:val="clear" w:color="auto" w:fill="FFFFFF"/>
          <w:tblCellMar>
            <w:top w:w="30" w:type="dxa"/>
            <w:left w:w="30" w:type="dxa"/>
            <w:bottom w:w="30" w:type="dxa"/>
            <w:right w:w="30" w:type="dxa"/>
          </w:tblCellMar>
        </w:tblPrEx>
        <w:tc>
          <w:tcPr>
            <w:tcW w:w="873"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20E5A010" w14:textId="77777777" w:rsidR="00476C1B" w:rsidRPr="00476C1B" w:rsidRDefault="00476C1B" w:rsidP="003E21DD">
            <w:r w:rsidRPr="00476C1B">
              <w:t>3. Finansiālā ietekme</w:t>
            </w:r>
          </w:p>
        </w:tc>
        <w:tc>
          <w:tcPr>
            <w:tcW w:w="5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3A41C2" w14:textId="77777777" w:rsidR="00476C1B" w:rsidRPr="00476C1B" w:rsidRDefault="00476C1B" w:rsidP="003E21DD">
            <w:r w:rsidRPr="00476C1B">
              <w:t> </w:t>
            </w:r>
          </w:p>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9F96EF0" w14:textId="77777777" w:rsidR="00476C1B" w:rsidRPr="00476C1B" w:rsidRDefault="00476C1B" w:rsidP="003E21DD">
            <w:r w:rsidRPr="00476C1B">
              <w:t> </w:t>
            </w:r>
          </w:p>
        </w:tc>
        <w:tc>
          <w:tcPr>
            <w:tcW w:w="4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21E79F" w14:textId="77777777" w:rsidR="00476C1B" w:rsidRPr="00476C1B" w:rsidRDefault="00476C1B" w:rsidP="003E21DD">
            <w:r w:rsidRPr="00476C1B">
              <w:t> </w:t>
            </w:r>
          </w:p>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BF90F6" w14:textId="77777777" w:rsidR="00476C1B" w:rsidRPr="00476C1B" w:rsidRDefault="00476C1B" w:rsidP="003E21DD">
            <w:r w:rsidRPr="00476C1B">
              <w:t> </w:t>
            </w:r>
          </w:p>
        </w:tc>
        <w:tc>
          <w:tcPr>
            <w:tcW w:w="4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28EACF" w14:textId="77777777" w:rsidR="00476C1B" w:rsidRPr="00476C1B" w:rsidRDefault="00476C1B" w:rsidP="003E21DD">
            <w:r w:rsidRPr="00476C1B">
              <w:t> </w:t>
            </w:r>
          </w:p>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C4DEF0" w14:textId="77777777" w:rsidR="00476C1B" w:rsidRPr="00476C1B" w:rsidRDefault="00476C1B" w:rsidP="003E21DD">
            <w:r w:rsidRPr="00476C1B">
              <w:t> </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3A991EE" w14:textId="77777777" w:rsidR="00476C1B" w:rsidRPr="00476C1B" w:rsidRDefault="00476C1B" w:rsidP="003E21DD">
            <w:r w:rsidRPr="00476C1B">
              <w:t> </w:t>
            </w:r>
          </w:p>
        </w:tc>
      </w:tr>
      <w:tr w:rsidR="00476C1B" w:rsidRPr="00476C1B" w14:paraId="6A5F5311" w14:textId="77777777" w:rsidTr="00476C1B">
        <w:tblPrEx>
          <w:jc w:val="left"/>
          <w:shd w:val="clear" w:color="auto" w:fill="FFFFFF"/>
          <w:tblCellMar>
            <w:top w:w="30" w:type="dxa"/>
            <w:left w:w="30" w:type="dxa"/>
            <w:bottom w:w="30" w:type="dxa"/>
            <w:right w:w="30" w:type="dxa"/>
          </w:tblCellMar>
        </w:tblPrEx>
        <w:tc>
          <w:tcPr>
            <w:tcW w:w="873"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8BAAB1D" w14:textId="77777777" w:rsidR="00476C1B" w:rsidRPr="00476C1B" w:rsidRDefault="00476C1B" w:rsidP="003E21DD">
            <w:r w:rsidRPr="00476C1B">
              <w:t>3.1. valsts pamatbudžets</w:t>
            </w:r>
          </w:p>
        </w:tc>
        <w:tc>
          <w:tcPr>
            <w:tcW w:w="5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437F88" w14:textId="77777777" w:rsidR="00476C1B" w:rsidRPr="00476C1B" w:rsidRDefault="00476C1B" w:rsidP="003E21DD">
            <w:r w:rsidRPr="00476C1B">
              <w:t> </w:t>
            </w:r>
          </w:p>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8051F5" w14:textId="77777777" w:rsidR="00476C1B" w:rsidRPr="00476C1B" w:rsidRDefault="00476C1B" w:rsidP="003E21DD">
            <w:r w:rsidRPr="00476C1B">
              <w:t> </w:t>
            </w:r>
          </w:p>
        </w:tc>
        <w:tc>
          <w:tcPr>
            <w:tcW w:w="4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D4FDC5" w14:textId="77777777" w:rsidR="00476C1B" w:rsidRPr="00476C1B" w:rsidRDefault="00476C1B" w:rsidP="003E21DD">
            <w:r w:rsidRPr="00476C1B">
              <w:t> </w:t>
            </w:r>
          </w:p>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B183945" w14:textId="77777777" w:rsidR="00476C1B" w:rsidRPr="00476C1B" w:rsidRDefault="00476C1B" w:rsidP="003E21DD">
            <w:r w:rsidRPr="00476C1B">
              <w:t> </w:t>
            </w:r>
          </w:p>
        </w:tc>
        <w:tc>
          <w:tcPr>
            <w:tcW w:w="4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59E994" w14:textId="77777777" w:rsidR="00476C1B" w:rsidRPr="00476C1B" w:rsidRDefault="00476C1B" w:rsidP="003E21DD">
            <w:r w:rsidRPr="00476C1B">
              <w:t> </w:t>
            </w:r>
          </w:p>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62A09E" w14:textId="77777777" w:rsidR="00476C1B" w:rsidRPr="00476C1B" w:rsidRDefault="00476C1B" w:rsidP="003E21DD">
            <w:r w:rsidRPr="00476C1B">
              <w:t> </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9B89CAC" w14:textId="77777777" w:rsidR="00476C1B" w:rsidRPr="00476C1B" w:rsidRDefault="00476C1B" w:rsidP="003E21DD">
            <w:r w:rsidRPr="00476C1B">
              <w:t> </w:t>
            </w:r>
          </w:p>
        </w:tc>
      </w:tr>
      <w:tr w:rsidR="00476C1B" w:rsidRPr="00476C1B" w14:paraId="500EC3FD" w14:textId="77777777" w:rsidTr="00476C1B">
        <w:tblPrEx>
          <w:jc w:val="left"/>
          <w:shd w:val="clear" w:color="auto" w:fill="FFFFFF"/>
          <w:tblCellMar>
            <w:top w:w="30" w:type="dxa"/>
            <w:left w:w="30" w:type="dxa"/>
            <w:bottom w:w="30" w:type="dxa"/>
            <w:right w:w="30" w:type="dxa"/>
          </w:tblCellMar>
        </w:tblPrEx>
        <w:tc>
          <w:tcPr>
            <w:tcW w:w="873"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602922F" w14:textId="77777777" w:rsidR="00476C1B" w:rsidRPr="00476C1B" w:rsidRDefault="00476C1B" w:rsidP="003E21DD">
            <w:r w:rsidRPr="00476C1B">
              <w:lastRenderedPageBreak/>
              <w:t>3.2. speciālais budžets</w:t>
            </w:r>
          </w:p>
        </w:tc>
        <w:tc>
          <w:tcPr>
            <w:tcW w:w="5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AEFB34" w14:textId="77777777" w:rsidR="00476C1B" w:rsidRPr="00476C1B" w:rsidRDefault="00476C1B" w:rsidP="003E21DD">
            <w:r w:rsidRPr="00476C1B">
              <w:t> </w:t>
            </w:r>
          </w:p>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2E7C378" w14:textId="77777777" w:rsidR="00476C1B" w:rsidRPr="00476C1B" w:rsidRDefault="00476C1B" w:rsidP="003E21DD">
            <w:r w:rsidRPr="00476C1B">
              <w:t> </w:t>
            </w:r>
          </w:p>
        </w:tc>
        <w:tc>
          <w:tcPr>
            <w:tcW w:w="4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42BAAC" w14:textId="77777777" w:rsidR="00476C1B" w:rsidRPr="00476C1B" w:rsidRDefault="00476C1B" w:rsidP="003E21DD">
            <w:r w:rsidRPr="00476C1B">
              <w:t> </w:t>
            </w:r>
          </w:p>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B00176D" w14:textId="77777777" w:rsidR="00476C1B" w:rsidRPr="00476C1B" w:rsidRDefault="00476C1B" w:rsidP="003E21DD">
            <w:r w:rsidRPr="00476C1B">
              <w:t> </w:t>
            </w:r>
          </w:p>
        </w:tc>
        <w:tc>
          <w:tcPr>
            <w:tcW w:w="4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D8F7A41" w14:textId="77777777" w:rsidR="00476C1B" w:rsidRPr="00476C1B" w:rsidRDefault="00476C1B" w:rsidP="003E21DD">
            <w:r w:rsidRPr="00476C1B">
              <w:t> </w:t>
            </w:r>
          </w:p>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51D84B" w14:textId="77777777" w:rsidR="00476C1B" w:rsidRPr="00476C1B" w:rsidRDefault="00476C1B" w:rsidP="003E21DD">
            <w:r w:rsidRPr="00476C1B">
              <w:t> </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E3966D" w14:textId="77777777" w:rsidR="00476C1B" w:rsidRPr="00476C1B" w:rsidRDefault="00476C1B" w:rsidP="003E21DD">
            <w:r w:rsidRPr="00476C1B">
              <w:t> </w:t>
            </w:r>
          </w:p>
        </w:tc>
      </w:tr>
      <w:tr w:rsidR="00476C1B" w:rsidRPr="00476C1B" w14:paraId="1D85CF56" w14:textId="77777777" w:rsidTr="00476C1B">
        <w:tblPrEx>
          <w:jc w:val="left"/>
          <w:shd w:val="clear" w:color="auto" w:fill="FFFFFF"/>
          <w:tblCellMar>
            <w:top w:w="30" w:type="dxa"/>
            <w:left w:w="30" w:type="dxa"/>
            <w:bottom w:w="30" w:type="dxa"/>
            <w:right w:w="30" w:type="dxa"/>
          </w:tblCellMar>
        </w:tblPrEx>
        <w:tc>
          <w:tcPr>
            <w:tcW w:w="873"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6181AC6E" w14:textId="77777777" w:rsidR="00476C1B" w:rsidRPr="00476C1B" w:rsidRDefault="00476C1B" w:rsidP="003E21DD">
            <w:r w:rsidRPr="00476C1B">
              <w:t>3.3. pašvaldību budžets</w:t>
            </w:r>
          </w:p>
        </w:tc>
        <w:tc>
          <w:tcPr>
            <w:tcW w:w="5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C0EAE7" w14:textId="77777777" w:rsidR="00476C1B" w:rsidRPr="00476C1B" w:rsidRDefault="00476C1B" w:rsidP="003E21DD">
            <w:r w:rsidRPr="00476C1B">
              <w:t> </w:t>
            </w:r>
          </w:p>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006BD1" w14:textId="77777777" w:rsidR="00476C1B" w:rsidRPr="00476C1B" w:rsidRDefault="00476C1B" w:rsidP="003E21DD">
            <w:r w:rsidRPr="00476C1B">
              <w:t> </w:t>
            </w:r>
          </w:p>
        </w:tc>
        <w:tc>
          <w:tcPr>
            <w:tcW w:w="4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5353135" w14:textId="77777777" w:rsidR="00476C1B" w:rsidRPr="00476C1B" w:rsidRDefault="00476C1B" w:rsidP="003E21DD">
            <w:r w:rsidRPr="00476C1B">
              <w:t> </w:t>
            </w:r>
          </w:p>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AD7088" w14:textId="77777777" w:rsidR="00476C1B" w:rsidRPr="00476C1B" w:rsidRDefault="00476C1B" w:rsidP="003E21DD">
            <w:r w:rsidRPr="00476C1B">
              <w:t> </w:t>
            </w:r>
          </w:p>
        </w:tc>
        <w:tc>
          <w:tcPr>
            <w:tcW w:w="4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C2E6AC" w14:textId="77777777" w:rsidR="00476C1B" w:rsidRPr="00476C1B" w:rsidRDefault="00476C1B" w:rsidP="003E21DD">
            <w:r w:rsidRPr="00476C1B">
              <w:t> </w:t>
            </w:r>
          </w:p>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184972" w14:textId="77777777" w:rsidR="00476C1B" w:rsidRPr="00476C1B" w:rsidRDefault="00476C1B" w:rsidP="003E21DD">
            <w:r w:rsidRPr="00476C1B">
              <w:t> </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C68916" w14:textId="77777777" w:rsidR="00476C1B" w:rsidRPr="00476C1B" w:rsidRDefault="00476C1B" w:rsidP="003E21DD">
            <w:r w:rsidRPr="00476C1B">
              <w:t> </w:t>
            </w:r>
          </w:p>
        </w:tc>
      </w:tr>
      <w:tr w:rsidR="00476C1B" w:rsidRPr="00476C1B" w14:paraId="344A27FD" w14:textId="77777777" w:rsidTr="00476C1B">
        <w:tblPrEx>
          <w:jc w:val="left"/>
          <w:shd w:val="clear" w:color="auto" w:fill="FFFFFF"/>
          <w:tblCellMar>
            <w:top w:w="30" w:type="dxa"/>
            <w:left w:w="30" w:type="dxa"/>
            <w:bottom w:w="30" w:type="dxa"/>
            <w:right w:w="30" w:type="dxa"/>
          </w:tblCellMar>
        </w:tblPrEx>
        <w:tc>
          <w:tcPr>
            <w:tcW w:w="873"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16FCE84" w14:textId="77777777" w:rsidR="00476C1B" w:rsidRPr="00476C1B" w:rsidRDefault="00476C1B" w:rsidP="003E21DD">
            <w:r w:rsidRPr="00476C1B">
              <w:t>4. Finanšu līdzekļi papildu izdevumu finansēšanai (kompensējošu izdevumu samazinājumu norāda ar "+" zīmi)</w:t>
            </w:r>
          </w:p>
        </w:tc>
        <w:tc>
          <w:tcPr>
            <w:tcW w:w="5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52613E" w14:textId="77777777" w:rsidR="00476C1B" w:rsidRPr="00476C1B" w:rsidRDefault="00476C1B" w:rsidP="003E21DD">
            <w:r w:rsidRPr="00476C1B">
              <w:t> </w:t>
            </w:r>
          </w:p>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693F58" w14:textId="77777777" w:rsidR="00476C1B" w:rsidRPr="00476C1B" w:rsidRDefault="00476C1B" w:rsidP="003E21DD">
            <w:r w:rsidRPr="00476C1B">
              <w:t> </w:t>
            </w:r>
          </w:p>
        </w:tc>
        <w:tc>
          <w:tcPr>
            <w:tcW w:w="4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AFF92B" w14:textId="77777777" w:rsidR="00476C1B" w:rsidRPr="00476C1B" w:rsidRDefault="00476C1B" w:rsidP="003E21DD">
            <w:r w:rsidRPr="00476C1B">
              <w:t> </w:t>
            </w:r>
          </w:p>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F6DD88" w14:textId="77777777" w:rsidR="00476C1B" w:rsidRPr="00476C1B" w:rsidRDefault="00476C1B" w:rsidP="003E21DD">
            <w:r w:rsidRPr="00476C1B">
              <w:t> </w:t>
            </w:r>
          </w:p>
        </w:tc>
        <w:tc>
          <w:tcPr>
            <w:tcW w:w="45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69D8E5D" w14:textId="77777777" w:rsidR="00476C1B" w:rsidRPr="00476C1B" w:rsidRDefault="00476C1B" w:rsidP="003E21DD">
            <w:r w:rsidRPr="00476C1B">
              <w:t> </w:t>
            </w:r>
          </w:p>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6B4541" w14:textId="77777777" w:rsidR="00476C1B" w:rsidRPr="00476C1B" w:rsidRDefault="00476C1B" w:rsidP="003E21DD">
            <w:r w:rsidRPr="00476C1B">
              <w:t> </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4C7C51" w14:textId="77777777" w:rsidR="00476C1B" w:rsidRPr="00476C1B" w:rsidRDefault="00476C1B" w:rsidP="003E21DD">
            <w:r w:rsidRPr="00476C1B">
              <w:t> </w:t>
            </w:r>
          </w:p>
        </w:tc>
      </w:tr>
      <w:tr w:rsidR="00476C1B" w:rsidRPr="00476C1B" w14:paraId="2F139B99" w14:textId="77777777" w:rsidTr="00476C1B">
        <w:tblPrEx>
          <w:jc w:val="left"/>
          <w:shd w:val="clear" w:color="auto" w:fill="FFFFFF"/>
          <w:tblCellMar>
            <w:top w:w="30" w:type="dxa"/>
            <w:left w:w="30" w:type="dxa"/>
            <w:bottom w:w="30" w:type="dxa"/>
            <w:right w:w="30" w:type="dxa"/>
          </w:tblCellMar>
        </w:tblPrEx>
        <w:tc>
          <w:tcPr>
            <w:tcW w:w="873"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BECD26E" w14:textId="77777777" w:rsidR="00476C1B" w:rsidRPr="00476C1B" w:rsidRDefault="00476C1B" w:rsidP="003E21DD">
            <w:r w:rsidRPr="00476C1B">
              <w:t>5. Precizēta finansiālā ietekme</w:t>
            </w:r>
          </w:p>
        </w:tc>
        <w:tc>
          <w:tcPr>
            <w:tcW w:w="504"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517E4E" w14:textId="77777777" w:rsidR="00476C1B" w:rsidRPr="00476C1B" w:rsidRDefault="00476C1B" w:rsidP="003E21DD">
            <w:r w:rsidRPr="00476C1B">
              <w:t> </w:t>
            </w:r>
          </w:p>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6766F4" w14:textId="77777777" w:rsidR="00476C1B" w:rsidRPr="00476C1B" w:rsidRDefault="00476C1B" w:rsidP="003E21DD">
            <w:r w:rsidRPr="00476C1B">
              <w:t> </w:t>
            </w:r>
          </w:p>
        </w:tc>
        <w:tc>
          <w:tcPr>
            <w:tcW w:w="451"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E578B4" w14:textId="77777777" w:rsidR="00476C1B" w:rsidRPr="00476C1B" w:rsidRDefault="00476C1B" w:rsidP="003E21DD">
            <w:r w:rsidRPr="00476C1B">
              <w:t> </w:t>
            </w:r>
          </w:p>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F5477F8" w14:textId="77777777" w:rsidR="00476C1B" w:rsidRPr="00476C1B" w:rsidRDefault="00476C1B" w:rsidP="003E21DD">
            <w:r w:rsidRPr="00476C1B">
              <w:t> </w:t>
            </w:r>
          </w:p>
        </w:tc>
        <w:tc>
          <w:tcPr>
            <w:tcW w:w="451"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8B321E" w14:textId="77777777" w:rsidR="00476C1B" w:rsidRPr="00476C1B" w:rsidRDefault="00476C1B" w:rsidP="003E21DD">
            <w:r w:rsidRPr="00476C1B">
              <w:t> </w:t>
            </w:r>
          </w:p>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0E9E9D" w14:textId="77777777" w:rsidR="00476C1B" w:rsidRPr="00476C1B" w:rsidRDefault="00476C1B" w:rsidP="003E21DD">
            <w:r w:rsidRPr="00476C1B">
              <w:t> </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CE7AE3A" w14:textId="77777777" w:rsidR="00476C1B" w:rsidRPr="00476C1B" w:rsidRDefault="00476C1B" w:rsidP="003E21DD">
            <w:r w:rsidRPr="00476C1B">
              <w:t> </w:t>
            </w:r>
          </w:p>
        </w:tc>
      </w:tr>
      <w:tr w:rsidR="00476C1B" w:rsidRPr="00476C1B" w14:paraId="7D7D19B0" w14:textId="77777777" w:rsidTr="00476C1B">
        <w:tblPrEx>
          <w:jc w:val="left"/>
          <w:shd w:val="clear" w:color="auto" w:fill="FFFFFF"/>
          <w:tblCellMar>
            <w:top w:w="30" w:type="dxa"/>
            <w:left w:w="30" w:type="dxa"/>
            <w:bottom w:w="30" w:type="dxa"/>
            <w:right w:w="30" w:type="dxa"/>
          </w:tblCellMar>
        </w:tblPrEx>
        <w:tc>
          <w:tcPr>
            <w:tcW w:w="873"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E44FCB9" w14:textId="77777777" w:rsidR="00476C1B" w:rsidRPr="00476C1B" w:rsidRDefault="00476C1B" w:rsidP="003E21DD">
            <w:r w:rsidRPr="00476C1B">
              <w:t>5.1. valsts pamatbudžets</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7A00B44" w14:textId="77777777" w:rsidR="00476C1B" w:rsidRPr="00476C1B" w:rsidRDefault="00476C1B" w:rsidP="003E21DD"/>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DD032D" w14:textId="77777777" w:rsidR="00476C1B" w:rsidRPr="00476C1B" w:rsidRDefault="00476C1B" w:rsidP="003E21DD">
            <w:r w:rsidRPr="00476C1B">
              <w:t> </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CF962A" w14:textId="77777777" w:rsidR="00476C1B" w:rsidRPr="00476C1B" w:rsidRDefault="00476C1B" w:rsidP="003E21DD"/>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C0814D" w14:textId="77777777" w:rsidR="00476C1B" w:rsidRPr="00476C1B" w:rsidRDefault="00476C1B" w:rsidP="003E21DD">
            <w:r w:rsidRPr="00476C1B">
              <w:t> </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2D6214" w14:textId="77777777" w:rsidR="00476C1B" w:rsidRPr="00476C1B" w:rsidRDefault="00476C1B" w:rsidP="003E21DD"/>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1883D1" w14:textId="77777777" w:rsidR="00476C1B" w:rsidRPr="00476C1B" w:rsidRDefault="00476C1B" w:rsidP="003E21DD">
            <w:r w:rsidRPr="00476C1B">
              <w:t> </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785A7A5" w14:textId="77777777" w:rsidR="00476C1B" w:rsidRPr="00476C1B" w:rsidRDefault="00476C1B" w:rsidP="003E21DD">
            <w:r w:rsidRPr="00476C1B">
              <w:t> </w:t>
            </w:r>
          </w:p>
        </w:tc>
      </w:tr>
      <w:tr w:rsidR="00476C1B" w:rsidRPr="00476C1B" w14:paraId="057A73D2" w14:textId="77777777" w:rsidTr="00476C1B">
        <w:tblPrEx>
          <w:jc w:val="left"/>
          <w:shd w:val="clear" w:color="auto" w:fill="FFFFFF"/>
          <w:tblCellMar>
            <w:top w:w="30" w:type="dxa"/>
            <w:left w:w="30" w:type="dxa"/>
            <w:bottom w:w="30" w:type="dxa"/>
            <w:right w:w="30" w:type="dxa"/>
          </w:tblCellMar>
        </w:tblPrEx>
        <w:tc>
          <w:tcPr>
            <w:tcW w:w="873"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34F7058" w14:textId="77777777" w:rsidR="00476C1B" w:rsidRPr="00476C1B" w:rsidRDefault="00476C1B" w:rsidP="003E21DD">
            <w:r w:rsidRPr="00476C1B">
              <w:t>5.2. speciālais budžets</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95C01A" w14:textId="77777777" w:rsidR="00476C1B" w:rsidRPr="00476C1B" w:rsidRDefault="00476C1B" w:rsidP="003E21DD"/>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F78102" w14:textId="77777777" w:rsidR="00476C1B" w:rsidRPr="00476C1B" w:rsidRDefault="00476C1B" w:rsidP="003E21DD">
            <w:r w:rsidRPr="00476C1B">
              <w:t> </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21D0238" w14:textId="77777777" w:rsidR="00476C1B" w:rsidRPr="00476C1B" w:rsidRDefault="00476C1B" w:rsidP="003E21DD"/>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EAE5AC" w14:textId="77777777" w:rsidR="00476C1B" w:rsidRPr="00476C1B" w:rsidRDefault="00476C1B" w:rsidP="003E21DD">
            <w:r w:rsidRPr="00476C1B">
              <w:t> </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779F4B1" w14:textId="77777777" w:rsidR="00476C1B" w:rsidRPr="00476C1B" w:rsidRDefault="00476C1B" w:rsidP="003E21DD"/>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ACF1DB" w14:textId="77777777" w:rsidR="00476C1B" w:rsidRPr="00476C1B" w:rsidRDefault="00476C1B" w:rsidP="003E21DD">
            <w:r w:rsidRPr="00476C1B">
              <w:t> </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C74A4E" w14:textId="77777777" w:rsidR="00476C1B" w:rsidRPr="00476C1B" w:rsidRDefault="00476C1B" w:rsidP="003E21DD">
            <w:r w:rsidRPr="00476C1B">
              <w:t> </w:t>
            </w:r>
          </w:p>
        </w:tc>
      </w:tr>
      <w:tr w:rsidR="00476C1B" w:rsidRPr="00476C1B" w14:paraId="39BF3CF0" w14:textId="77777777" w:rsidTr="00476C1B">
        <w:tblPrEx>
          <w:jc w:val="left"/>
          <w:shd w:val="clear" w:color="auto" w:fill="FFFFFF"/>
          <w:tblCellMar>
            <w:top w:w="30" w:type="dxa"/>
            <w:left w:w="30" w:type="dxa"/>
            <w:bottom w:w="30" w:type="dxa"/>
            <w:right w:w="30" w:type="dxa"/>
          </w:tblCellMar>
        </w:tblPrEx>
        <w:tc>
          <w:tcPr>
            <w:tcW w:w="873"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5B9FEE7" w14:textId="77777777" w:rsidR="00476C1B" w:rsidRPr="00476C1B" w:rsidRDefault="00476C1B" w:rsidP="003E21DD">
            <w:r w:rsidRPr="00476C1B">
              <w:t>5.3. pašvaldību budžets</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74C5ED" w14:textId="77777777" w:rsidR="00476C1B" w:rsidRPr="00476C1B" w:rsidRDefault="00476C1B" w:rsidP="003E21DD"/>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D9DF0E" w14:textId="77777777" w:rsidR="00476C1B" w:rsidRPr="00476C1B" w:rsidRDefault="00476C1B" w:rsidP="003E21DD">
            <w:r w:rsidRPr="00476C1B">
              <w:t> </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4EDA46" w14:textId="77777777" w:rsidR="00476C1B" w:rsidRPr="00476C1B" w:rsidRDefault="00476C1B" w:rsidP="003E21DD"/>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18A67E" w14:textId="77777777" w:rsidR="00476C1B" w:rsidRPr="00476C1B" w:rsidRDefault="00476C1B" w:rsidP="003E21DD">
            <w:r w:rsidRPr="00476C1B">
              <w:t> </w:t>
            </w: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B7FB4E" w14:textId="77777777" w:rsidR="00476C1B" w:rsidRPr="00476C1B" w:rsidRDefault="00476C1B" w:rsidP="003E21DD"/>
        </w:tc>
        <w:tc>
          <w:tcPr>
            <w:tcW w:w="55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3309669" w14:textId="77777777" w:rsidR="00476C1B" w:rsidRPr="00476C1B" w:rsidRDefault="00476C1B" w:rsidP="003E21DD">
            <w:r w:rsidRPr="00476C1B">
              <w:t> </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070107" w14:textId="77777777" w:rsidR="00476C1B" w:rsidRPr="00476C1B" w:rsidRDefault="00476C1B" w:rsidP="003E21DD">
            <w:r w:rsidRPr="00476C1B">
              <w:t> </w:t>
            </w:r>
          </w:p>
        </w:tc>
      </w:tr>
      <w:tr w:rsidR="00476C1B" w:rsidRPr="00476C1B" w14:paraId="69B12B26" w14:textId="77777777" w:rsidTr="00476C1B">
        <w:tblPrEx>
          <w:jc w:val="left"/>
          <w:shd w:val="clear" w:color="auto" w:fill="FFFFFF"/>
          <w:tblCellMar>
            <w:top w:w="30" w:type="dxa"/>
            <w:left w:w="30" w:type="dxa"/>
            <w:bottom w:w="30" w:type="dxa"/>
            <w:right w:w="30" w:type="dxa"/>
          </w:tblCellMar>
        </w:tblPrEx>
        <w:tc>
          <w:tcPr>
            <w:tcW w:w="873"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7891A364" w14:textId="77777777" w:rsidR="00476C1B" w:rsidRPr="00476C1B" w:rsidRDefault="00476C1B" w:rsidP="003E21DD">
            <w:r w:rsidRPr="00476C1B">
              <w:t>6. Detalizēts ieņēmumu un izdevumu aprēķins (ja nepieciešams, detalizētu ieņēmumu un izdevumu aprēķinu var pievienot anotācijas pielikumā)</w:t>
            </w:r>
          </w:p>
        </w:tc>
        <w:tc>
          <w:tcPr>
            <w:tcW w:w="4127" w:type="pct"/>
            <w:gridSpan w:val="7"/>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363C3A" w14:textId="77777777" w:rsidR="00476C1B" w:rsidRPr="00476C1B" w:rsidRDefault="00476C1B" w:rsidP="003E21DD">
            <w:r w:rsidRPr="00476C1B">
              <w:t> </w:t>
            </w:r>
          </w:p>
        </w:tc>
      </w:tr>
      <w:tr w:rsidR="00476C1B" w:rsidRPr="00476C1B" w14:paraId="7A7DFFBB" w14:textId="77777777" w:rsidTr="00476C1B">
        <w:tblPrEx>
          <w:jc w:val="left"/>
          <w:shd w:val="clear" w:color="auto" w:fill="FFFFFF"/>
          <w:tblCellMar>
            <w:top w:w="30" w:type="dxa"/>
            <w:left w:w="30" w:type="dxa"/>
            <w:bottom w:w="30" w:type="dxa"/>
            <w:right w:w="30" w:type="dxa"/>
          </w:tblCellMar>
        </w:tblPrEx>
        <w:tc>
          <w:tcPr>
            <w:tcW w:w="873"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CD145D8" w14:textId="77777777" w:rsidR="00476C1B" w:rsidRPr="00476C1B" w:rsidRDefault="00476C1B" w:rsidP="003E21DD">
            <w:r w:rsidRPr="00476C1B">
              <w:t>6.1. detalizēts ieņēmumu aprēķins</w:t>
            </w:r>
          </w:p>
        </w:tc>
        <w:tc>
          <w:tcPr>
            <w:tcW w:w="4127" w:type="pct"/>
            <w:gridSpan w:val="7"/>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3713EAC" w14:textId="77777777" w:rsidR="00476C1B" w:rsidRPr="00476C1B" w:rsidRDefault="00476C1B" w:rsidP="003E21DD"/>
        </w:tc>
      </w:tr>
      <w:tr w:rsidR="00476C1B" w:rsidRPr="00476C1B" w14:paraId="207B5AAB" w14:textId="77777777" w:rsidTr="00476C1B">
        <w:tblPrEx>
          <w:jc w:val="left"/>
          <w:shd w:val="clear" w:color="auto" w:fill="FFFFFF"/>
          <w:tblCellMar>
            <w:top w:w="30" w:type="dxa"/>
            <w:left w:w="30" w:type="dxa"/>
            <w:bottom w:w="30" w:type="dxa"/>
            <w:right w:w="30" w:type="dxa"/>
          </w:tblCellMar>
        </w:tblPrEx>
        <w:tc>
          <w:tcPr>
            <w:tcW w:w="873"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4EC8B26D" w14:textId="77777777" w:rsidR="00476C1B" w:rsidRPr="00476C1B" w:rsidRDefault="00476C1B" w:rsidP="003E21DD">
            <w:r w:rsidRPr="00476C1B">
              <w:t>6.2. detalizēts izdevumu aprēķins</w:t>
            </w:r>
          </w:p>
        </w:tc>
        <w:tc>
          <w:tcPr>
            <w:tcW w:w="4127" w:type="pct"/>
            <w:gridSpan w:val="7"/>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71E56E" w14:textId="77777777" w:rsidR="00476C1B" w:rsidRPr="00476C1B" w:rsidRDefault="00476C1B" w:rsidP="003E21DD"/>
        </w:tc>
      </w:tr>
      <w:tr w:rsidR="00476C1B" w:rsidRPr="00476C1B" w14:paraId="1A497E2D" w14:textId="77777777" w:rsidTr="00476C1B">
        <w:tblPrEx>
          <w:jc w:val="left"/>
          <w:shd w:val="clear" w:color="auto" w:fill="FFFFFF"/>
          <w:tblCellMar>
            <w:top w:w="30" w:type="dxa"/>
            <w:left w:w="30" w:type="dxa"/>
            <w:bottom w:w="30" w:type="dxa"/>
            <w:right w:w="30" w:type="dxa"/>
          </w:tblCellMar>
        </w:tblPrEx>
        <w:tc>
          <w:tcPr>
            <w:tcW w:w="873"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37522451" w14:textId="77777777" w:rsidR="00476C1B" w:rsidRPr="00476C1B" w:rsidRDefault="00476C1B" w:rsidP="003E21DD">
            <w:r w:rsidRPr="00476C1B">
              <w:t>7. Amata vietu skaita izmaiņas</w:t>
            </w:r>
          </w:p>
        </w:tc>
        <w:tc>
          <w:tcPr>
            <w:tcW w:w="4127" w:type="pct"/>
            <w:gridSpan w:val="7"/>
            <w:tcBorders>
              <w:top w:val="outset" w:sz="6" w:space="0" w:color="414142"/>
              <w:left w:val="outset" w:sz="6" w:space="0" w:color="414142"/>
              <w:bottom w:val="outset" w:sz="6" w:space="0" w:color="414142"/>
              <w:right w:val="outset" w:sz="6" w:space="0" w:color="414142"/>
            </w:tcBorders>
            <w:shd w:val="clear" w:color="auto" w:fill="FFFFFF"/>
            <w:hideMark/>
          </w:tcPr>
          <w:p w14:paraId="65481B3A" w14:textId="77777777" w:rsidR="00476C1B" w:rsidRPr="00476C1B" w:rsidRDefault="00476C1B" w:rsidP="003E21DD"/>
        </w:tc>
      </w:tr>
      <w:tr w:rsidR="00476C1B" w:rsidRPr="00476C1B" w14:paraId="6B2CA74A" w14:textId="77777777" w:rsidTr="00476C1B">
        <w:tblPrEx>
          <w:jc w:val="left"/>
          <w:shd w:val="clear" w:color="auto" w:fill="FFFFFF"/>
          <w:tblCellMar>
            <w:top w:w="30" w:type="dxa"/>
            <w:left w:w="30" w:type="dxa"/>
            <w:bottom w:w="30" w:type="dxa"/>
            <w:right w:w="30" w:type="dxa"/>
          </w:tblCellMar>
        </w:tblPrEx>
        <w:tc>
          <w:tcPr>
            <w:tcW w:w="873" w:type="pct"/>
            <w:gridSpan w:val="2"/>
            <w:tcBorders>
              <w:top w:val="outset" w:sz="6" w:space="0" w:color="414142"/>
              <w:left w:val="outset" w:sz="6" w:space="0" w:color="414142"/>
              <w:bottom w:val="outset" w:sz="6" w:space="0" w:color="414142"/>
              <w:right w:val="outset" w:sz="6" w:space="0" w:color="414142"/>
            </w:tcBorders>
            <w:shd w:val="clear" w:color="auto" w:fill="FFFFFF"/>
            <w:hideMark/>
          </w:tcPr>
          <w:p w14:paraId="107A52BA" w14:textId="77777777" w:rsidR="00476C1B" w:rsidRPr="00476C1B" w:rsidRDefault="00476C1B" w:rsidP="003E21DD">
            <w:r w:rsidRPr="00476C1B">
              <w:t>8. Cita informācija</w:t>
            </w:r>
          </w:p>
        </w:tc>
        <w:tc>
          <w:tcPr>
            <w:tcW w:w="4127" w:type="pct"/>
            <w:gridSpan w:val="7"/>
            <w:tcBorders>
              <w:top w:val="outset" w:sz="6" w:space="0" w:color="414142"/>
              <w:left w:val="outset" w:sz="6" w:space="0" w:color="414142"/>
              <w:bottom w:val="outset" w:sz="6" w:space="0" w:color="414142"/>
              <w:right w:val="outset" w:sz="6" w:space="0" w:color="414142"/>
            </w:tcBorders>
            <w:shd w:val="clear" w:color="auto" w:fill="FFFFFF"/>
            <w:hideMark/>
          </w:tcPr>
          <w:p w14:paraId="3FC45CE6" w14:textId="5FD3CB8B" w:rsidR="00476C1B" w:rsidRPr="00476C1B" w:rsidRDefault="001A00B9" w:rsidP="00477F2C">
            <w:pPr>
              <w:jc w:val="both"/>
            </w:pPr>
            <w:r>
              <w:t>Projektā</w:t>
            </w:r>
            <w:r w:rsidR="00477F2C">
              <w:t xml:space="preserve"> paredzēto normu izpilde tiks nodrošināta no iekšlietu resoram pamatfunkciju izpildes nodrošināšanai piešķirtajiem valsts budžeta līdzekļiem, nepieciešamības gadījumā iesniedzot priekšlikumus apropriācijas pārdalei.</w:t>
            </w:r>
          </w:p>
        </w:tc>
      </w:tr>
    </w:tbl>
    <w:p w14:paraId="4E4C807E" w14:textId="77777777" w:rsidR="0066699F" w:rsidRPr="00476C1B" w:rsidRDefault="0066699F" w:rsidP="00DB0AC9">
      <w:pPr>
        <w:shd w:val="clear" w:color="auto" w:fill="FFFFFF"/>
        <w:ind w:firstLine="300"/>
      </w:pPr>
    </w:p>
    <w:p w14:paraId="6DCBB012" w14:textId="77777777" w:rsidR="005F42DA" w:rsidRDefault="005F42DA" w:rsidP="00DB0AC9">
      <w:pPr>
        <w:shd w:val="clear" w:color="auto" w:fill="FFFFFF"/>
        <w:ind w:firstLine="300"/>
      </w:pPr>
    </w:p>
    <w:p w14:paraId="5B348589" w14:textId="77777777" w:rsidR="001A00B9" w:rsidRPr="00476C1B" w:rsidRDefault="001A00B9" w:rsidP="00DB0AC9">
      <w:pPr>
        <w:shd w:val="clear" w:color="auto" w:fill="FFFFFF"/>
        <w:ind w:firstLine="300"/>
      </w:pPr>
    </w:p>
    <w:tbl>
      <w:tblPr>
        <w:tblW w:w="5500" w:type="pct"/>
        <w:jc w:val="center"/>
        <w:tblBorders>
          <w:top w:val="single" w:sz="6" w:space="0" w:color="414142"/>
          <w:left w:val="single" w:sz="6" w:space="0" w:color="414142"/>
          <w:bottom w:val="single" w:sz="6" w:space="0" w:color="414142"/>
          <w:right w:val="single" w:sz="6" w:space="0" w:color="414142"/>
        </w:tblBorders>
        <w:tblLayout w:type="fixed"/>
        <w:tblLook w:val="0400" w:firstRow="0" w:lastRow="0" w:firstColumn="0" w:lastColumn="0" w:noHBand="0" w:noVBand="1"/>
      </w:tblPr>
      <w:tblGrid>
        <w:gridCol w:w="9961"/>
      </w:tblGrid>
      <w:tr w:rsidR="0066699F" w:rsidRPr="00476C1B" w14:paraId="231A03E3" w14:textId="77777777" w:rsidTr="00F1742D">
        <w:trPr>
          <w:trHeight w:val="180"/>
          <w:jc w:val="center"/>
        </w:trPr>
        <w:tc>
          <w:tcPr>
            <w:tcW w:w="10348" w:type="dxa"/>
            <w:tcBorders>
              <w:top w:val="single" w:sz="6" w:space="0" w:color="414142"/>
              <w:left w:val="single" w:sz="6" w:space="0" w:color="414142"/>
              <w:bottom w:val="single" w:sz="6" w:space="0" w:color="414142"/>
              <w:right w:val="single" w:sz="6" w:space="0" w:color="414142"/>
            </w:tcBorders>
            <w:vAlign w:val="center"/>
          </w:tcPr>
          <w:p w14:paraId="67EA505E" w14:textId="77777777" w:rsidR="0066699F" w:rsidRPr="00476C1B" w:rsidRDefault="0066699F" w:rsidP="003969D3">
            <w:pPr>
              <w:jc w:val="center"/>
              <w:rPr>
                <w:b/>
              </w:rPr>
            </w:pPr>
            <w:r w:rsidRPr="00476C1B">
              <w:rPr>
                <w:b/>
              </w:rPr>
              <w:lastRenderedPageBreak/>
              <w:t>IV. Tiesību akta projekta ietekme uz spēkā esošo tiesību normu sistēmu</w:t>
            </w:r>
          </w:p>
        </w:tc>
      </w:tr>
      <w:tr w:rsidR="005F42DA" w:rsidRPr="00476C1B" w14:paraId="471C3F5F" w14:textId="77777777" w:rsidTr="00F1742D">
        <w:trPr>
          <w:trHeight w:val="180"/>
          <w:jc w:val="center"/>
        </w:trPr>
        <w:tc>
          <w:tcPr>
            <w:tcW w:w="10348" w:type="dxa"/>
            <w:tcBorders>
              <w:top w:val="single" w:sz="6" w:space="0" w:color="414142"/>
              <w:left w:val="single" w:sz="6" w:space="0" w:color="414142"/>
              <w:bottom w:val="single" w:sz="6" w:space="0" w:color="414142"/>
              <w:right w:val="single" w:sz="6" w:space="0" w:color="414142"/>
            </w:tcBorders>
            <w:vAlign w:val="center"/>
          </w:tcPr>
          <w:p w14:paraId="6CFD2909" w14:textId="2E682E79" w:rsidR="005F42DA" w:rsidRPr="00476C1B" w:rsidRDefault="005F42DA" w:rsidP="003969D3">
            <w:pPr>
              <w:jc w:val="center"/>
            </w:pPr>
            <w:r w:rsidRPr="00476C1B">
              <w:t>Projekts šo jomu neskar.</w:t>
            </w:r>
          </w:p>
        </w:tc>
      </w:tr>
    </w:tbl>
    <w:p w14:paraId="5E1DA173" w14:textId="77777777" w:rsidR="00DB0AC9" w:rsidRPr="00476C1B" w:rsidRDefault="00DB0AC9" w:rsidP="00DB0AC9">
      <w:pPr>
        <w:shd w:val="clear" w:color="auto" w:fill="FFFFFF"/>
        <w:ind w:firstLine="300"/>
      </w:pPr>
      <w:r w:rsidRPr="00476C1B">
        <w:t> </w:t>
      </w:r>
    </w:p>
    <w:tbl>
      <w:tblPr>
        <w:tblW w:w="5500"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961"/>
      </w:tblGrid>
      <w:tr w:rsidR="00DB0AC9" w:rsidRPr="00476C1B" w14:paraId="51AF394B" w14:textId="77777777" w:rsidTr="00F1742D">
        <w:trPr>
          <w:jc w:val="center"/>
        </w:trPr>
        <w:tc>
          <w:tcPr>
            <w:tcW w:w="5000" w:type="pct"/>
            <w:tcBorders>
              <w:top w:val="outset" w:sz="6" w:space="0" w:color="414142"/>
              <w:left w:val="outset" w:sz="6" w:space="0" w:color="414142"/>
              <w:bottom w:val="outset" w:sz="6" w:space="0" w:color="414142"/>
              <w:right w:val="outset" w:sz="6" w:space="0" w:color="414142"/>
            </w:tcBorders>
            <w:vAlign w:val="center"/>
            <w:hideMark/>
          </w:tcPr>
          <w:p w14:paraId="31C79BC2" w14:textId="77777777" w:rsidR="00DB0AC9" w:rsidRPr="00476C1B" w:rsidRDefault="00DB0AC9" w:rsidP="00BD02FB">
            <w:pPr>
              <w:jc w:val="center"/>
              <w:rPr>
                <w:b/>
                <w:bCs/>
              </w:rPr>
            </w:pPr>
            <w:r w:rsidRPr="00476C1B">
              <w:rPr>
                <w:b/>
                <w:bCs/>
              </w:rPr>
              <w:t>V. Tiesību akta projekta atbilstība Latvijas Republikas starptautiskajām saistībām</w:t>
            </w:r>
          </w:p>
        </w:tc>
      </w:tr>
      <w:tr w:rsidR="00AC711D" w:rsidRPr="00476C1B" w14:paraId="0C36C16D" w14:textId="77777777" w:rsidTr="00F1742D">
        <w:trPr>
          <w:jc w:val="center"/>
        </w:trPr>
        <w:tc>
          <w:tcPr>
            <w:tcW w:w="5000" w:type="pct"/>
            <w:tcBorders>
              <w:top w:val="outset" w:sz="6" w:space="0" w:color="414142"/>
              <w:left w:val="outset" w:sz="6" w:space="0" w:color="414142"/>
              <w:bottom w:val="outset" w:sz="6" w:space="0" w:color="414142"/>
              <w:right w:val="outset" w:sz="6" w:space="0" w:color="414142"/>
            </w:tcBorders>
          </w:tcPr>
          <w:p w14:paraId="4A35C797" w14:textId="77777777" w:rsidR="00AC711D" w:rsidRPr="00476C1B" w:rsidRDefault="00AC711D" w:rsidP="00AC711D">
            <w:pPr>
              <w:jc w:val="center"/>
            </w:pPr>
            <w:r w:rsidRPr="00476C1B">
              <w:t>Projekts šo jomu neskar.</w:t>
            </w:r>
          </w:p>
        </w:tc>
      </w:tr>
    </w:tbl>
    <w:p w14:paraId="2BA736B6" w14:textId="77777777" w:rsidR="00DB0AC9" w:rsidRPr="00476C1B" w:rsidRDefault="00DB0AC9" w:rsidP="005970FA">
      <w:pPr>
        <w:shd w:val="clear" w:color="auto" w:fill="FFFFFF"/>
      </w:pPr>
    </w:p>
    <w:tbl>
      <w:tblPr>
        <w:tblW w:w="5469" w:type="pct"/>
        <w:jc w:val="center"/>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559"/>
        <w:gridCol w:w="2127"/>
        <w:gridCol w:w="7218"/>
      </w:tblGrid>
      <w:tr w:rsidR="00DB0AC9" w:rsidRPr="00476C1B" w14:paraId="6B6A4C84" w14:textId="77777777" w:rsidTr="00F1742D">
        <w:trPr>
          <w:trHeight w:val="420"/>
          <w:jc w:val="center"/>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48EA9BDD" w14:textId="77777777" w:rsidR="00DB0AC9" w:rsidRPr="00476C1B" w:rsidRDefault="00DB0AC9" w:rsidP="006D0053">
            <w:pPr>
              <w:jc w:val="center"/>
              <w:rPr>
                <w:b/>
                <w:bCs/>
              </w:rPr>
            </w:pPr>
            <w:r w:rsidRPr="00476C1B">
              <w:rPr>
                <w:b/>
                <w:bCs/>
              </w:rPr>
              <w:t>VI. Sabiedrības līdzdalība un komunikācijas aktivitātes</w:t>
            </w:r>
          </w:p>
        </w:tc>
      </w:tr>
      <w:tr w:rsidR="00F1742D" w:rsidRPr="00476C1B" w14:paraId="427FA62C" w14:textId="77777777" w:rsidTr="00C529EF">
        <w:trPr>
          <w:trHeight w:val="540"/>
          <w:jc w:val="center"/>
        </w:trPr>
        <w:tc>
          <w:tcPr>
            <w:tcW w:w="282" w:type="pct"/>
            <w:tcBorders>
              <w:top w:val="outset" w:sz="6" w:space="0" w:color="414142"/>
              <w:left w:val="outset" w:sz="6" w:space="0" w:color="414142"/>
              <w:bottom w:val="outset" w:sz="6" w:space="0" w:color="414142"/>
              <w:right w:val="outset" w:sz="6" w:space="0" w:color="414142"/>
            </w:tcBorders>
            <w:hideMark/>
          </w:tcPr>
          <w:p w14:paraId="68065EFC" w14:textId="77777777" w:rsidR="00A26BC0" w:rsidRPr="00476C1B" w:rsidRDefault="00A26BC0" w:rsidP="006D0053">
            <w:r w:rsidRPr="00476C1B">
              <w:t>1.</w:t>
            </w:r>
          </w:p>
        </w:tc>
        <w:tc>
          <w:tcPr>
            <w:tcW w:w="1074" w:type="pct"/>
            <w:tcBorders>
              <w:top w:val="outset" w:sz="6" w:space="0" w:color="414142"/>
              <w:left w:val="outset" w:sz="6" w:space="0" w:color="414142"/>
              <w:bottom w:val="outset" w:sz="6" w:space="0" w:color="414142"/>
              <w:right w:val="outset" w:sz="6" w:space="0" w:color="414142"/>
            </w:tcBorders>
            <w:hideMark/>
          </w:tcPr>
          <w:p w14:paraId="5776CD46" w14:textId="77777777" w:rsidR="00A26BC0" w:rsidRPr="00476C1B" w:rsidRDefault="00A26BC0" w:rsidP="006D0053">
            <w:r w:rsidRPr="00476C1B">
              <w:t>Plānotās sabiedrības līdzdalības un komunikācijas aktivitātes saistībā ar projektu</w:t>
            </w:r>
          </w:p>
        </w:tc>
        <w:tc>
          <w:tcPr>
            <w:tcW w:w="3644" w:type="pct"/>
            <w:tcBorders>
              <w:top w:val="outset" w:sz="6" w:space="0" w:color="414142"/>
              <w:left w:val="outset" w:sz="6" w:space="0" w:color="414142"/>
              <w:bottom w:val="outset" w:sz="6" w:space="0" w:color="414142"/>
              <w:right w:val="outset" w:sz="6" w:space="0" w:color="414142"/>
            </w:tcBorders>
            <w:hideMark/>
          </w:tcPr>
          <w:p w14:paraId="03ADED92" w14:textId="0D65A0D9" w:rsidR="008E4DF2" w:rsidRPr="00476C1B" w:rsidRDefault="00395728" w:rsidP="00395728">
            <w:pPr>
              <w:spacing w:before="100" w:beforeAutospacing="1"/>
              <w:jc w:val="both"/>
            </w:pPr>
            <w:r>
              <w:t>Lai informētu sabiedrību par p</w:t>
            </w:r>
            <w:r w:rsidR="00CE069A" w:rsidRPr="00476C1B">
              <w:t xml:space="preserve">rojektu un </w:t>
            </w:r>
            <w:r w:rsidR="00782544" w:rsidRPr="00476C1B">
              <w:t>dotu iespēju izteikt viedokli, p</w:t>
            </w:r>
            <w:r w:rsidR="00CE069A" w:rsidRPr="00476C1B">
              <w:t>rojekts atbilstoši Ministru kabineta 2009. gada 25. augusta noteikumiem Nr. 970 "Sabiedrības līdzdalības kārtība attī</w:t>
            </w:r>
            <w:r w:rsidR="0082141F" w:rsidRPr="00476C1B">
              <w:t>stības plānošanas procesā" vienlaikus ar</w:t>
            </w:r>
            <w:r w:rsidR="00CE069A" w:rsidRPr="00476C1B">
              <w:t xml:space="preserve"> </w:t>
            </w:r>
            <w:r w:rsidR="0082141F" w:rsidRPr="00476C1B">
              <w:t>tā iesniegšanu</w:t>
            </w:r>
            <w:r w:rsidR="00782544" w:rsidRPr="00476C1B">
              <w:t xml:space="preserve"> Valsts sekretāru sanāksmē</w:t>
            </w:r>
            <w:r w:rsidR="00CE069A" w:rsidRPr="00476C1B">
              <w:t xml:space="preserve"> </w:t>
            </w:r>
            <w:r w:rsidR="00497C67" w:rsidRPr="00476C1B">
              <w:t xml:space="preserve">tiks </w:t>
            </w:r>
            <w:r w:rsidR="00CE069A" w:rsidRPr="00476C1B">
              <w:t>ievietots Iekšlietu ministrijas un Valsts kancelejas tīmekļvietnē.</w:t>
            </w:r>
          </w:p>
        </w:tc>
      </w:tr>
      <w:tr w:rsidR="00F1742D" w:rsidRPr="00476C1B" w14:paraId="124EA14E" w14:textId="77777777" w:rsidTr="00C529EF">
        <w:trPr>
          <w:trHeight w:val="330"/>
          <w:jc w:val="center"/>
        </w:trPr>
        <w:tc>
          <w:tcPr>
            <w:tcW w:w="282" w:type="pct"/>
            <w:tcBorders>
              <w:top w:val="outset" w:sz="6" w:space="0" w:color="414142"/>
              <w:left w:val="outset" w:sz="6" w:space="0" w:color="414142"/>
              <w:bottom w:val="outset" w:sz="6" w:space="0" w:color="414142"/>
              <w:right w:val="outset" w:sz="6" w:space="0" w:color="414142"/>
            </w:tcBorders>
            <w:hideMark/>
          </w:tcPr>
          <w:p w14:paraId="3616BF4D" w14:textId="77777777" w:rsidR="00A26BC0" w:rsidRPr="00476C1B" w:rsidRDefault="00A26BC0" w:rsidP="006D0053">
            <w:r w:rsidRPr="00476C1B">
              <w:t>2.</w:t>
            </w:r>
          </w:p>
        </w:tc>
        <w:tc>
          <w:tcPr>
            <w:tcW w:w="1074" w:type="pct"/>
            <w:tcBorders>
              <w:top w:val="outset" w:sz="6" w:space="0" w:color="414142"/>
              <w:left w:val="outset" w:sz="6" w:space="0" w:color="414142"/>
              <w:bottom w:val="outset" w:sz="6" w:space="0" w:color="414142"/>
              <w:right w:val="outset" w:sz="6" w:space="0" w:color="414142"/>
            </w:tcBorders>
            <w:hideMark/>
          </w:tcPr>
          <w:p w14:paraId="21B5B43B" w14:textId="77777777" w:rsidR="00A26BC0" w:rsidRPr="00476C1B" w:rsidRDefault="00A26BC0" w:rsidP="006D0053">
            <w:r w:rsidRPr="00476C1B">
              <w:t>Sabiedrības līdzdalība projekta izstrādē</w:t>
            </w:r>
          </w:p>
        </w:tc>
        <w:tc>
          <w:tcPr>
            <w:tcW w:w="3644" w:type="pct"/>
            <w:tcBorders>
              <w:top w:val="outset" w:sz="6" w:space="0" w:color="414142"/>
              <w:left w:val="outset" w:sz="6" w:space="0" w:color="414142"/>
              <w:bottom w:val="outset" w:sz="6" w:space="0" w:color="414142"/>
              <w:right w:val="outset" w:sz="6" w:space="0" w:color="414142"/>
            </w:tcBorders>
            <w:hideMark/>
          </w:tcPr>
          <w:p w14:paraId="52D00B4E" w14:textId="5987C0A5" w:rsidR="008C2C43" w:rsidRPr="00476C1B" w:rsidRDefault="008C2C43" w:rsidP="00395728">
            <w:pPr>
              <w:spacing w:after="120"/>
              <w:jc w:val="both"/>
            </w:pPr>
            <w:r w:rsidRPr="00476C1B">
              <w:t>Lai nodrošinātu efektīvu, atklātu, ietverošu, savlaicīgu un atbildīgu sabiedrības līdzdalību un sabiedrības pārstāvjiem nodrošinātu iespēju piedalīties sabiedriskajā apspriedē, iesaistīties publiskajā apspriešanā, kā arī rakstiski sniegt</w:t>
            </w:r>
            <w:r w:rsidR="00395728">
              <w:t xml:space="preserve"> viedokli par </w:t>
            </w:r>
            <w:r w:rsidRPr="00476C1B">
              <w:t xml:space="preserve">projektu tā izstrādes stadijā, </w:t>
            </w:r>
            <w:r w:rsidR="0044032F" w:rsidRPr="00476C1B">
              <w:t>projekts</w:t>
            </w:r>
            <w:r w:rsidR="00395728">
              <w:t>,</w:t>
            </w:r>
            <w:r w:rsidR="0044032F" w:rsidRPr="00476C1B">
              <w:t xml:space="preserve"> </w:t>
            </w:r>
            <w:r w:rsidR="00395728">
              <w:t xml:space="preserve">ņemot vērā tā steidzamību, </w:t>
            </w:r>
            <w:r w:rsidR="00E87BDA" w:rsidRPr="00476C1B">
              <w:t xml:space="preserve">vienlaikus ar tā iesniegšanu Valsts sekretāru sanāksmē, </w:t>
            </w:r>
            <w:r w:rsidR="00497C67" w:rsidRPr="00476C1B">
              <w:t xml:space="preserve">tiks </w:t>
            </w:r>
            <w:r w:rsidRPr="00476C1B">
              <w:t xml:space="preserve">ievietots Iekšlietu ministrijas mājas lapā sadaļā „Sabiedrības līdzdalība” apakšsadaļā ,,Diskusiju dokumenti”, tīmekļvietnes adrese: </w:t>
            </w:r>
            <w:hyperlink r:id="rId8" w:history="1">
              <w:r w:rsidR="00C24A0E" w:rsidRPr="00476C1B">
                <w:rPr>
                  <w:rStyle w:val="Hyperlink"/>
                </w:rPr>
                <w:t>https://www.iem.gov.lv/lv/diskusiju-dokumenti</w:t>
              </w:r>
            </w:hyperlink>
            <w:r w:rsidR="00C24A0E" w:rsidRPr="00476C1B">
              <w:t xml:space="preserve"> </w:t>
            </w:r>
            <w:r w:rsidR="00D45654" w:rsidRPr="00476C1B">
              <w:t>kā arī,</w:t>
            </w:r>
            <w:r w:rsidRPr="00476C1B">
              <w:t xml:space="preserve"> izpildot Ministru kabineta 2009.</w:t>
            </w:r>
            <w:r w:rsidR="00167023">
              <w:t xml:space="preserve"> </w:t>
            </w:r>
            <w:r w:rsidRPr="00476C1B">
              <w:t>g</w:t>
            </w:r>
            <w:r w:rsidR="00D55067" w:rsidRPr="00476C1B">
              <w:t>ada 25.</w:t>
            </w:r>
            <w:r w:rsidR="00167023">
              <w:t xml:space="preserve"> </w:t>
            </w:r>
            <w:r w:rsidR="00D55067" w:rsidRPr="00476C1B">
              <w:t>augusta noteikumu Nr.970</w:t>
            </w:r>
            <w:r w:rsidR="00D45654" w:rsidRPr="00476C1B">
              <w:t xml:space="preserve"> </w:t>
            </w:r>
            <w:r w:rsidR="00395728">
              <w:t>”</w:t>
            </w:r>
            <w:r w:rsidRPr="00476C1B">
              <w:t>Sabiedrības līdzdalības kārtība attīstības plānošanas pr</w:t>
            </w:r>
            <w:r w:rsidR="00E87151" w:rsidRPr="00476C1B">
              <w:t>ocesā" 14.</w:t>
            </w:r>
            <w:r w:rsidR="00395728">
              <w:t xml:space="preserve"> </w:t>
            </w:r>
            <w:r w:rsidR="00E87151" w:rsidRPr="00476C1B">
              <w:t>punkt</w:t>
            </w:r>
            <w:r w:rsidR="00D45654" w:rsidRPr="00476C1B">
              <w:t>ā noteiktās prasības</w:t>
            </w:r>
            <w:r w:rsidR="00395728">
              <w:t xml:space="preserve">, </w:t>
            </w:r>
            <w:r w:rsidR="00D45654" w:rsidRPr="00476C1B">
              <w:t>nosūtī</w:t>
            </w:r>
            <w:r w:rsidR="00395728">
              <w:t>t</w:t>
            </w:r>
            <w:r w:rsidR="00D45654" w:rsidRPr="00476C1B">
              <w:t>s</w:t>
            </w:r>
            <w:r w:rsidRPr="00476C1B">
              <w:t xml:space="preserve"> Valsts kancelejai.</w:t>
            </w:r>
          </w:p>
        </w:tc>
      </w:tr>
      <w:tr w:rsidR="00F1742D" w:rsidRPr="00476C1B" w14:paraId="76152C1F" w14:textId="77777777" w:rsidTr="00C529EF">
        <w:trPr>
          <w:trHeight w:val="465"/>
          <w:jc w:val="center"/>
        </w:trPr>
        <w:tc>
          <w:tcPr>
            <w:tcW w:w="282" w:type="pct"/>
            <w:tcBorders>
              <w:top w:val="outset" w:sz="6" w:space="0" w:color="414142"/>
              <w:left w:val="outset" w:sz="6" w:space="0" w:color="414142"/>
              <w:bottom w:val="outset" w:sz="6" w:space="0" w:color="414142"/>
              <w:right w:val="outset" w:sz="6" w:space="0" w:color="414142"/>
            </w:tcBorders>
            <w:hideMark/>
          </w:tcPr>
          <w:p w14:paraId="6D8EEB60" w14:textId="77777777" w:rsidR="00A26BC0" w:rsidRPr="00476C1B" w:rsidRDefault="00A26BC0" w:rsidP="006D0053">
            <w:r w:rsidRPr="00476C1B">
              <w:t>3.</w:t>
            </w:r>
          </w:p>
        </w:tc>
        <w:tc>
          <w:tcPr>
            <w:tcW w:w="1074" w:type="pct"/>
            <w:tcBorders>
              <w:top w:val="outset" w:sz="6" w:space="0" w:color="414142"/>
              <w:left w:val="outset" w:sz="6" w:space="0" w:color="414142"/>
              <w:bottom w:val="outset" w:sz="6" w:space="0" w:color="414142"/>
              <w:right w:val="outset" w:sz="6" w:space="0" w:color="414142"/>
            </w:tcBorders>
            <w:hideMark/>
          </w:tcPr>
          <w:p w14:paraId="1EE8AB00" w14:textId="77777777" w:rsidR="00A26BC0" w:rsidRPr="00476C1B" w:rsidRDefault="00A26BC0" w:rsidP="006D0053">
            <w:r w:rsidRPr="00476C1B">
              <w:t>Sabiedrības līdzdalības rezultāti</w:t>
            </w:r>
          </w:p>
        </w:tc>
        <w:tc>
          <w:tcPr>
            <w:tcW w:w="3644" w:type="pct"/>
            <w:tcBorders>
              <w:top w:val="outset" w:sz="6" w:space="0" w:color="414142"/>
              <w:left w:val="outset" w:sz="6" w:space="0" w:color="414142"/>
              <w:bottom w:val="outset" w:sz="6" w:space="0" w:color="414142"/>
              <w:right w:val="outset" w:sz="6" w:space="0" w:color="414142"/>
            </w:tcBorders>
            <w:hideMark/>
          </w:tcPr>
          <w:p w14:paraId="5EF4F2D8" w14:textId="07A1FAE8" w:rsidR="00A26BC0" w:rsidRPr="00476C1B" w:rsidRDefault="00D45654" w:rsidP="00167023">
            <w:pPr>
              <w:spacing w:after="120"/>
              <w:jc w:val="both"/>
            </w:pPr>
            <w:r w:rsidRPr="00476C1B">
              <w:t>Sadaļa tiks papildināta pēc sabiedrī</w:t>
            </w:r>
            <w:r w:rsidR="00395728">
              <w:t xml:space="preserve">bas līdzdalības procesa termiņa </w:t>
            </w:r>
            <w:r w:rsidRPr="00476C1B">
              <w:t>beigām.</w:t>
            </w:r>
          </w:p>
        </w:tc>
      </w:tr>
      <w:tr w:rsidR="00F1742D" w:rsidRPr="00476C1B" w14:paraId="3457B96D" w14:textId="77777777" w:rsidTr="00C529EF">
        <w:trPr>
          <w:trHeight w:val="465"/>
          <w:jc w:val="center"/>
        </w:trPr>
        <w:tc>
          <w:tcPr>
            <w:tcW w:w="282" w:type="pct"/>
            <w:tcBorders>
              <w:top w:val="outset" w:sz="6" w:space="0" w:color="414142"/>
              <w:left w:val="outset" w:sz="6" w:space="0" w:color="414142"/>
              <w:bottom w:val="outset" w:sz="6" w:space="0" w:color="414142"/>
              <w:right w:val="outset" w:sz="6" w:space="0" w:color="414142"/>
            </w:tcBorders>
            <w:hideMark/>
          </w:tcPr>
          <w:p w14:paraId="254A916E" w14:textId="77777777" w:rsidR="00A26BC0" w:rsidRPr="00476C1B" w:rsidRDefault="00A26BC0" w:rsidP="006D0053">
            <w:r w:rsidRPr="00476C1B">
              <w:t>4.</w:t>
            </w:r>
          </w:p>
        </w:tc>
        <w:tc>
          <w:tcPr>
            <w:tcW w:w="1074" w:type="pct"/>
            <w:tcBorders>
              <w:top w:val="outset" w:sz="6" w:space="0" w:color="414142"/>
              <w:left w:val="outset" w:sz="6" w:space="0" w:color="414142"/>
              <w:bottom w:val="outset" w:sz="6" w:space="0" w:color="414142"/>
              <w:right w:val="outset" w:sz="6" w:space="0" w:color="414142"/>
            </w:tcBorders>
            <w:hideMark/>
          </w:tcPr>
          <w:p w14:paraId="38B9FFA7" w14:textId="77777777" w:rsidR="00A26BC0" w:rsidRPr="00476C1B" w:rsidRDefault="00A26BC0" w:rsidP="006D0053">
            <w:r w:rsidRPr="00476C1B">
              <w:t>Cita informācija</w:t>
            </w:r>
          </w:p>
        </w:tc>
        <w:tc>
          <w:tcPr>
            <w:tcW w:w="3644" w:type="pct"/>
            <w:tcBorders>
              <w:top w:val="outset" w:sz="6" w:space="0" w:color="414142"/>
              <w:left w:val="outset" w:sz="6" w:space="0" w:color="414142"/>
              <w:bottom w:val="outset" w:sz="6" w:space="0" w:color="414142"/>
              <w:right w:val="outset" w:sz="6" w:space="0" w:color="414142"/>
            </w:tcBorders>
            <w:hideMark/>
          </w:tcPr>
          <w:p w14:paraId="52918993" w14:textId="77777777" w:rsidR="00A26BC0" w:rsidRPr="00476C1B" w:rsidRDefault="00A26BC0" w:rsidP="006D0053">
            <w:pPr>
              <w:spacing w:after="120"/>
            </w:pPr>
            <w:r w:rsidRPr="00476C1B">
              <w:t>Nav</w:t>
            </w:r>
          </w:p>
        </w:tc>
      </w:tr>
    </w:tbl>
    <w:p w14:paraId="24714917" w14:textId="77777777" w:rsidR="00DB0AC9" w:rsidRPr="00476C1B" w:rsidRDefault="00DB0AC9" w:rsidP="00DB0AC9">
      <w:pPr>
        <w:shd w:val="clear" w:color="auto" w:fill="FFFFFF"/>
        <w:ind w:firstLine="300"/>
      </w:pPr>
      <w:r w:rsidRPr="00476C1B">
        <w:t> </w:t>
      </w:r>
    </w:p>
    <w:tbl>
      <w:tblPr>
        <w:tblW w:w="5500"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60"/>
        <w:gridCol w:w="2976"/>
        <w:gridCol w:w="6425"/>
      </w:tblGrid>
      <w:tr w:rsidR="00DB0AC9" w:rsidRPr="00476C1B" w14:paraId="0F2E1EB9" w14:textId="77777777" w:rsidTr="00F1742D">
        <w:trPr>
          <w:trHeight w:val="375"/>
          <w:jc w:val="center"/>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290DBD91" w14:textId="77777777" w:rsidR="00DB0AC9" w:rsidRPr="00476C1B" w:rsidRDefault="00DB0AC9" w:rsidP="006D0053">
            <w:pPr>
              <w:jc w:val="center"/>
              <w:rPr>
                <w:b/>
                <w:bCs/>
              </w:rPr>
            </w:pPr>
            <w:r w:rsidRPr="00476C1B">
              <w:rPr>
                <w:b/>
                <w:bCs/>
              </w:rPr>
              <w:t>VII. Tiesību akta projekta izpildes nodrošināšana un tās ietekme uz institūcijām</w:t>
            </w:r>
          </w:p>
        </w:tc>
      </w:tr>
      <w:tr w:rsidR="005E5398" w:rsidRPr="00476C1B" w14:paraId="4E209E8C" w14:textId="77777777" w:rsidTr="00C529EF">
        <w:trPr>
          <w:trHeight w:val="420"/>
          <w:jc w:val="center"/>
        </w:trPr>
        <w:tc>
          <w:tcPr>
            <w:tcW w:w="281" w:type="pct"/>
            <w:tcBorders>
              <w:top w:val="outset" w:sz="6" w:space="0" w:color="414142"/>
              <w:left w:val="outset" w:sz="6" w:space="0" w:color="414142"/>
              <w:bottom w:val="outset" w:sz="6" w:space="0" w:color="414142"/>
              <w:right w:val="outset" w:sz="6" w:space="0" w:color="414142"/>
            </w:tcBorders>
            <w:hideMark/>
          </w:tcPr>
          <w:p w14:paraId="775D57C6" w14:textId="77777777" w:rsidR="005E5398" w:rsidRPr="00476C1B" w:rsidRDefault="005E5398" w:rsidP="006D0053">
            <w:r w:rsidRPr="00476C1B">
              <w:t>1.</w:t>
            </w:r>
          </w:p>
        </w:tc>
        <w:tc>
          <w:tcPr>
            <w:tcW w:w="1494" w:type="pct"/>
            <w:tcBorders>
              <w:top w:val="outset" w:sz="6" w:space="0" w:color="414142"/>
              <w:left w:val="outset" w:sz="6" w:space="0" w:color="414142"/>
              <w:bottom w:val="outset" w:sz="6" w:space="0" w:color="414142"/>
              <w:right w:val="outset" w:sz="6" w:space="0" w:color="414142"/>
            </w:tcBorders>
            <w:hideMark/>
          </w:tcPr>
          <w:p w14:paraId="52FD4C73" w14:textId="77777777" w:rsidR="005E5398" w:rsidRPr="00476C1B" w:rsidRDefault="005E5398" w:rsidP="006D0053">
            <w:r w:rsidRPr="00476C1B">
              <w:t>Projekta izpildē iesaistītās institūcijas</w:t>
            </w:r>
          </w:p>
        </w:tc>
        <w:tc>
          <w:tcPr>
            <w:tcW w:w="3225" w:type="pct"/>
            <w:tcBorders>
              <w:top w:val="outset" w:sz="6" w:space="0" w:color="414142"/>
              <w:left w:val="outset" w:sz="6" w:space="0" w:color="414142"/>
              <w:bottom w:val="outset" w:sz="6" w:space="0" w:color="414142"/>
              <w:right w:val="outset" w:sz="6" w:space="0" w:color="414142"/>
            </w:tcBorders>
            <w:hideMark/>
          </w:tcPr>
          <w:p w14:paraId="5A6ACBFD" w14:textId="25750F0E" w:rsidR="005E5398" w:rsidRPr="00476C1B" w:rsidRDefault="00395728" w:rsidP="00637214">
            <w:pPr>
              <w:spacing w:after="120"/>
              <w:jc w:val="both"/>
            </w:pPr>
            <w:r>
              <w:t>A</w:t>
            </w:r>
            <w:r w:rsidR="0044032F" w:rsidRPr="00476C1B">
              <w:t>ģentūra</w:t>
            </w:r>
            <w:r>
              <w:t>, procesa virzītāji.</w:t>
            </w:r>
          </w:p>
        </w:tc>
      </w:tr>
      <w:tr w:rsidR="005E5398" w:rsidRPr="00476C1B" w14:paraId="040E464E" w14:textId="77777777" w:rsidTr="00C529EF">
        <w:trPr>
          <w:trHeight w:val="450"/>
          <w:jc w:val="center"/>
        </w:trPr>
        <w:tc>
          <w:tcPr>
            <w:tcW w:w="281" w:type="pct"/>
            <w:tcBorders>
              <w:top w:val="outset" w:sz="6" w:space="0" w:color="414142"/>
              <w:left w:val="outset" w:sz="6" w:space="0" w:color="414142"/>
              <w:bottom w:val="outset" w:sz="6" w:space="0" w:color="414142"/>
              <w:right w:val="outset" w:sz="6" w:space="0" w:color="414142"/>
            </w:tcBorders>
            <w:hideMark/>
          </w:tcPr>
          <w:p w14:paraId="546F4171" w14:textId="77777777" w:rsidR="005E5398" w:rsidRPr="00476C1B" w:rsidRDefault="005E5398" w:rsidP="006D0053">
            <w:r w:rsidRPr="00476C1B">
              <w:t>2.</w:t>
            </w:r>
          </w:p>
        </w:tc>
        <w:tc>
          <w:tcPr>
            <w:tcW w:w="1494" w:type="pct"/>
            <w:tcBorders>
              <w:top w:val="outset" w:sz="6" w:space="0" w:color="414142"/>
              <w:left w:val="outset" w:sz="6" w:space="0" w:color="414142"/>
              <w:bottom w:val="outset" w:sz="6" w:space="0" w:color="414142"/>
              <w:right w:val="outset" w:sz="6" w:space="0" w:color="414142"/>
            </w:tcBorders>
            <w:hideMark/>
          </w:tcPr>
          <w:p w14:paraId="4B2E6B0F" w14:textId="77777777" w:rsidR="005E5398" w:rsidRPr="00476C1B" w:rsidRDefault="005E5398" w:rsidP="006D0053">
            <w:r w:rsidRPr="00476C1B">
              <w:t>Projekta izpildes ietekme uz pārvaldes funkcijām un institucionālo struktūru.</w:t>
            </w:r>
          </w:p>
          <w:p w14:paraId="4ECE0493" w14:textId="77777777" w:rsidR="005E5398" w:rsidRPr="00476C1B" w:rsidRDefault="005E5398" w:rsidP="006D0053">
            <w:r w:rsidRPr="00476C1B">
              <w:t>Jaunu institūciju izveide, esošu institūciju likvidācija vai reorganizācija, to ietekme uz institūcijas cilvēkresursiem</w:t>
            </w:r>
          </w:p>
        </w:tc>
        <w:tc>
          <w:tcPr>
            <w:tcW w:w="3225" w:type="pct"/>
            <w:tcBorders>
              <w:top w:val="outset" w:sz="6" w:space="0" w:color="414142"/>
              <w:left w:val="outset" w:sz="6" w:space="0" w:color="414142"/>
              <w:bottom w:val="outset" w:sz="6" w:space="0" w:color="414142"/>
              <w:right w:val="outset" w:sz="6" w:space="0" w:color="414142"/>
            </w:tcBorders>
            <w:hideMark/>
          </w:tcPr>
          <w:p w14:paraId="1C2CF70C" w14:textId="17F51560" w:rsidR="005E5398" w:rsidRPr="00476C1B" w:rsidRDefault="00C870CE" w:rsidP="00C432E1">
            <w:pPr>
              <w:spacing w:after="120"/>
              <w:jc w:val="both"/>
            </w:pPr>
            <w:r w:rsidRPr="00D11423">
              <w:rPr>
                <w:color w:val="0D0D0D" w:themeColor="text1" w:themeTint="F2"/>
              </w:rPr>
              <w:t>Projekta izpildei nav nepieciešams reorganizēt esošās institūcijas, veidot jaunas institūcijas vai likvidēt esošās institūcijas.</w:t>
            </w:r>
          </w:p>
        </w:tc>
      </w:tr>
      <w:tr w:rsidR="005E5398" w:rsidRPr="00476C1B" w14:paraId="757F28DD" w14:textId="77777777" w:rsidTr="00C529EF">
        <w:trPr>
          <w:trHeight w:val="390"/>
          <w:jc w:val="center"/>
        </w:trPr>
        <w:tc>
          <w:tcPr>
            <w:tcW w:w="281" w:type="pct"/>
            <w:tcBorders>
              <w:top w:val="outset" w:sz="6" w:space="0" w:color="414142"/>
              <w:left w:val="outset" w:sz="6" w:space="0" w:color="414142"/>
              <w:bottom w:val="outset" w:sz="6" w:space="0" w:color="414142"/>
              <w:right w:val="outset" w:sz="6" w:space="0" w:color="414142"/>
            </w:tcBorders>
            <w:hideMark/>
          </w:tcPr>
          <w:p w14:paraId="32ABC1A1" w14:textId="77777777" w:rsidR="005E5398" w:rsidRPr="00476C1B" w:rsidRDefault="005E5398" w:rsidP="006D0053">
            <w:r w:rsidRPr="00476C1B">
              <w:t>3.</w:t>
            </w:r>
          </w:p>
        </w:tc>
        <w:tc>
          <w:tcPr>
            <w:tcW w:w="1494" w:type="pct"/>
            <w:tcBorders>
              <w:top w:val="outset" w:sz="6" w:space="0" w:color="414142"/>
              <w:left w:val="outset" w:sz="6" w:space="0" w:color="414142"/>
              <w:bottom w:val="outset" w:sz="6" w:space="0" w:color="414142"/>
              <w:right w:val="outset" w:sz="6" w:space="0" w:color="414142"/>
            </w:tcBorders>
            <w:hideMark/>
          </w:tcPr>
          <w:p w14:paraId="0230062C" w14:textId="77777777" w:rsidR="005E5398" w:rsidRPr="00476C1B" w:rsidRDefault="005E5398" w:rsidP="006D0053">
            <w:r w:rsidRPr="00476C1B">
              <w:t>Cita informācija</w:t>
            </w:r>
          </w:p>
        </w:tc>
        <w:tc>
          <w:tcPr>
            <w:tcW w:w="3225" w:type="pct"/>
            <w:tcBorders>
              <w:top w:val="outset" w:sz="6" w:space="0" w:color="414142"/>
              <w:left w:val="outset" w:sz="6" w:space="0" w:color="414142"/>
              <w:bottom w:val="outset" w:sz="6" w:space="0" w:color="414142"/>
              <w:right w:val="outset" w:sz="6" w:space="0" w:color="414142"/>
            </w:tcBorders>
            <w:hideMark/>
          </w:tcPr>
          <w:p w14:paraId="076980CF" w14:textId="462DA769" w:rsidR="005E5398" w:rsidRPr="00476C1B" w:rsidRDefault="00EE222F" w:rsidP="00EE222F">
            <w:pPr>
              <w:spacing w:after="120"/>
              <w:jc w:val="both"/>
            </w:pPr>
            <w:r>
              <w:t>Ņemot vērā, ka projekts paredz arestēto virtuālo valūtu nodot realizācijai aģentūrai, paredzams, ka aģentūrai pieaugs darba apjoms, jo virtuālā valūta būs jauns arestētās mantas veids, kuras realizācija būs jānodrošina aģentūrai.</w:t>
            </w:r>
          </w:p>
        </w:tc>
      </w:tr>
    </w:tbl>
    <w:p w14:paraId="2A4FA8CD" w14:textId="77777777" w:rsidR="005E5398" w:rsidRPr="00476C1B" w:rsidRDefault="005E5398" w:rsidP="00D62367">
      <w:pPr>
        <w:tabs>
          <w:tab w:val="left" w:pos="6237"/>
        </w:tabs>
        <w:spacing w:after="120"/>
      </w:pPr>
    </w:p>
    <w:p w14:paraId="4D0B9B36" w14:textId="77777777" w:rsidR="00D70D36" w:rsidRPr="00476C1B" w:rsidRDefault="00D70D36" w:rsidP="00D62367">
      <w:pPr>
        <w:tabs>
          <w:tab w:val="left" w:pos="6237"/>
        </w:tabs>
        <w:spacing w:after="120"/>
      </w:pPr>
    </w:p>
    <w:p w14:paraId="0936926E" w14:textId="77777777" w:rsidR="00721A0A" w:rsidRPr="00476C1B" w:rsidRDefault="00721A0A" w:rsidP="00721A0A">
      <w:pPr>
        <w:tabs>
          <w:tab w:val="left" w:pos="6521"/>
        </w:tabs>
        <w:jc w:val="both"/>
      </w:pPr>
      <w:r w:rsidRPr="00476C1B">
        <w:t>Iekšlietu ministrs</w:t>
      </w:r>
      <w:r w:rsidRPr="00476C1B">
        <w:tab/>
        <w:t xml:space="preserve">Sandis </w:t>
      </w:r>
      <w:proofErr w:type="spellStart"/>
      <w:r w:rsidRPr="00476C1B">
        <w:t>Ģirģens</w:t>
      </w:r>
      <w:proofErr w:type="spellEnd"/>
    </w:p>
    <w:p w14:paraId="3C011E9F" w14:textId="77777777" w:rsidR="00721A0A" w:rsidRPr="00476C1B" w:rsidRDefault="00721A0A" w:rsidP="00721A0A">
      <w:pPr>
        <w:pStyle w:val="naisf"/>
        <w:rPr>
          <w:szCs w:val="24"/>
        </w:rPr>
      </w:pPr>
    </w:p>
    <w:p w14:paraId="120086B7" w14:textId="2B0DA339" w:rsidR="00721A0A" w:rsidRPr="00476C1B" w:rsidRDefault="00395728" w:rsidP="00721A0A">
      <w:pPr>
        <w:pStyle w:val="naisf"/>
        <w:rPr>
          <w:szCs w:val="24"/>
        </w:rPr>
      </w:pPr>
      <w:r>
        <w:rPr>
          <w:szCs w:val="24"/>
        </w:rPr>
        <w:lastRenderedPageBreak/>
        <w:t>Vīza: valsts sekretārs</w:t>
      </w:r>
      <w:r>
        <w:rPr>
          <w:szCs w:val="24"/>
        </w:rPr>
        <w:tab/>
      </w:r>
      <w:r>
        <w:rPr>
          <w:szCs w:val="24"/>
        </w:rPr>
        <w:tab/>
      </w:r>
      <w:r>
        <w:rPr>
          <w:szCs w:val="24"/>
        </w:rPr>
        <w:tab/>
      </w:r>
      <w:r w:rsidR="00721A0A" w:rsidRPr="00476C1B">
        <w:rPr>
          <w:szCs w:val="24"/>
        </w:rPr>
        <w:tab/>
      </w:r>
      <w:r w:rsidR="00721A0A" w:rsidRPr="00476C1B">
        <w:rPr>
          <w:szCs w:val="24"/>
        </w:rPr>
        <w:tab/>
      </w:r>
      <w:r w:rsidR="00721A0A" w:rsidRPr="00476C1B">
        <w:rPr>
          <w:szCs w:val="24"/>
        </w:rPr>
        <w:tab/>
      </w:r>
      <w:r w:rsidR="00C529EF" w:rsidRPr="00476C1B">
        <w:rPr>
          <w:szCs w:val="24"/>
        </w:rPr>
        <w:tab/>
      </w:r>
      <w:proofErr w:type="spellStart"/>
      <w:r w:rsidR="00721A0A" w:rsidRPr="00476C1B">
        <w:rPr>
          <w:szCs w:val="24"/>
        </w:rPr>
        <w:t>Dimitrijs</w:t>
      </w:r>
      <w:proofErr w:type="spellEnd"/>
      <w:r w:rsidR="00721A0A" w:rsidRPr="00476C1B">
        <w:rPr>
          <w:szCs w:val="24"/>
        </w:rPr>
        <w:t xml:space="preserve"> </w:t>
      </w:r>
      <w:proofErr w:type="spellStart"/>
      <w:r w:rsidR="00721A0A" w:rsidRPr="00476C1B">
        <w:rPr>
          <w:szCs w:val="24"/>
        </w:rPr>
        <w:t>Trofimovs</w:t>
      </w:r>
      <w:proofErr w:type="spellEnd"/>
    </w:p>
    <w:p w14:paraId="393CE2DD" w14:textId="77777777" w:rsidR="00721A0A" w:rsidRPr="00476C1B" w:rsidRDefault="00721A0A" w:rsidP="00721A0A">
      <w:pPr>
        <w:pStyle w:val="naisf"/>
        <w:spacing w:before="0" w:after="0"/>
        <w:rPr>
          <w:szCs w:val="24"/>
        </w:rPr>
      </w:pPr>
    </w:p>
    <w:p w14:paraId="45EC6AA3" w14:textId="77777777" w:rsidR="00424EC8" w:rsidRPr="00476C1B" w:rsidRDefault="00424EC8" w:rsidP="00424EC8"/>
    <w:p w14:paraId="19C3B7C0" w14:textId="77777777" w:rsidR="00424EC8" w:rsidRPr="00476C1B" w:rsidRDefault="00424EC8" w:rsidP="00424EC8"/>
    <w:p w14:paraId="36289EF8" w14:textId="77777777" w:rsidR="00424EC8" w:rsidRPr="00476C1B" w:rsidRDefault="00424EC8" w:rsidP="00424EC8"/>
    <w:p w14:paraId="1F91A19F" w14:textId="77777777" w:rsidR="00424EC8" w:rsidRPr="00395728" w:rsidRDefault="00424EC8" w:rsidP="00424EC8">
      <w:pPr>
        <w:rPr>
          <w:sz w:val="20"/>
          <w:szCs w:val="20"/>
        </w:rPr>
      </w:pPr>
      <w:r w:rsidRPr="00395728">
        <w:rPr>
          <w:sz w:val="20"/>
          <w:szCs w:val="20"/>
        </w:rPr>
        <w:t>Lodīte, 67075423</w:t>
      </w:r>
    </w:p>
    <w:p w14:paraId="6023D526" w14:textId="676F557E" w:rsidR="001C6536" w:rsidRPr="00395728" w:rsidRDefault="005D146B" w:rsidP="00424EC8">
      <w:pPr>
        <w:rPr>
          <w:sz w:val="20"/>
          <w:szCs w:val="20"/>
        </w:rPr>
      </w:pPr>
      <w:hyperlink r:id="rId9" w:history="1">
        <w:r w:rsidR="00424EC8" w:rsidRPr="00395728">
          <w:rPr>
            <w:rStyle w:val="Hyperlink"/>
            <w:sz w:val="20"/>
            <w:szCs w:val="20"/>
          </w:rPr>
          <w:t>inese.lodite@vp.gov.lv</w:t>
        </w:r>
      </w:hyperlink>
      <w:r w:rsidR="00424EC8" w:rsidRPr="00395728">
        <w:rPr>
          <w:sz w:val="20"/>
          <w:szCs w:val="20"/>
        </w:rPr>
        <w:t xml:space="preserve"> </w:t>
      </w:r>
    </w:p>
    <w:p w14:paraId="230C4D98" w14:textId="77777777" w:rsidR="007A71FF" w:rsidRPr="00395728" w:rsidRDefault="007A71FF" w:rsidP="00424EC8">
      <w:pPr>
        <w:rPr>
          <w:sz w:val="20"/>
          <w:szCs w:val="20"/>
        </w:rPr>
      </w:pPr>
    </w:p>
    <w:p w14:paraId="055C4FA9" w14:textId="289CD10B" w:rsidR="001C6536" w:rsidRPr="00395728" w:rsidRDefault="001C6536" w:rsidP="00424EC8">
      <w:pPr>
        <w:rPr>
          <w:sz w:val="20"/>
          <w:szCs w:val="20"/>
        </w:rPr>
      </w:pPr>
      <w:proofErr w:type="spellStart"/>
      <w:r w:rsidRPr="00395728">
        <w:rPr>
          <w:sz w:val="20"/>
          <w:szCs w:val="20"/>
        </w:rPr>
        <w:t>Homenko</w:t>
      </w:r>
      <w:proofErr w:type="spellEnd"/>
      <w:r w:rsidRPr="00395728">
        <w:rPr>
          <w:sz w:val="20"/>
          <w:szCs w:val="20"/>
        </w:rPr>
        <w:t>,</w:t>
      </w:r>
      <w:r w:rsidR="007A71FF" w:rsidRPr="00395728">
        <w:rPr>
          <w:sz w:val="20"/>
          <w:szCs w:val="20"/>
        </w:rPr>
        <w:t xml:space="preserve"> 67208654</w:t>
      </w:r>
    </w:p>
    <w:p w14:paraId="45FD4052" w14:textId="35C29D0D" w:rsidR="001C6536" w:rsidRPr="00395728" w:rsidRDefault="005D146B" w:rsidP="001C6536">
      <w:pPr>
        <w:rPr>
          <w:sz w:val="20"/>
          <w:szCs w:val="20"/>
        </w:rPr>
      </w:pPr>
      <w:hyperlink r:id="rId10" w:history="1">
        <w:r w:rsidR="00400C8D" w:rsidRPr="00395728">
          <w:rPr>
            <w:rStyle w:val="Hyperlink"/>
            <w:sz w:val="20"/>
            <w:szCs w:val="20"/>
          </w:rPr>
          <w:t>dmitrijs.homenko@vp.gov.lv</w:t>
        </w:r>
      </w:hyperlink>
      <w:r w:rsidR="001C6536" w:rsidRPr="00395728">
        <w:rPr>
          <w:sz w:val="20"/>
          <w:szCs w:val="20"/>
        </w:rPr>
        <w:t xml:space="preserve"> </w:t>
      </w:r>
    </w:p>
    <w:p w14:paraId="38804A71" w14:textId="77777777" w:rsidR="007A71FF" w:rsidRPr="00395728" w:rsidRDefault="007A71FF" w:rsidP="007A71FF">
      <w:pPr>
        <w:rPr>
          <w:sz w:val="20"/>
          <w:szCs w:val="20"/>
        </w:rPr>
      </w:pPr>
    </w:p>
    <w:p w14:paraId="5C5190B7" w14:textId="781FEFC9" w:rsidR="00EF5D88" w:rsidRPr="00395728" w:rsidRDefault="00EF5D88" w:rsidP="00EF5D88">
      <w:pPr>
        <w:pStyle w:val="PlainText"/>
        <w:rPr>
          <w:rFonts w:ascii="Times New Roman" w:hAnsi="Times New Roman" w:cs="Times New Roman"/>
          <w:sz w:val="20"/>
          <w:szCs w:val="20"/>
        </w:rPr>
      </w:pPr>
      <w:r w:rsidRPr="00395728">
        <w:rPr>
          <w:rFonts w:ascii="Times New Roman" w:hAnsi="Times New Roman" w:cs="Times New Roman"/>
          <w:sz w:val="20"/>
          <w:szCs w:val="20"/>
        </w:rPr>
        <w:t xml:space="preserve">Rāzna, </w:t>
      </w:r>
      <w:r w:rsidR="00D24FA3" w:rsidRPr="00395728">
        <w:rPr>
          <w:rFonts w:ascii="Times New Roman" w:hAnsi="Times New Roman" w:cs="Times New Roman"/>
          <w:sz w:val="20"/>
          <w:szCs w:val="20"/>
        </w:rPr>
        <w:t>67829077</w:t>
      </w:r>
    </w:p>
    <w:p w14:paraId="423EEA3A" w14:textId="170FB6A3" w:rsidR="00EF5D88" w:rsidRPr="00395728" w:rsidRDefault="005D146B" w:rsidP="00EF5D88">
      <w:pPr>
        <w:pStyle w:val="PlainText"/>
        <w:rPr>
          <w:rFonts w:ascii="Times New Roman" w:hAnsi="Times New Roman" w:cs="Times New Roman"/>
          <w:sz w:val="20"/>
          <w:szCs w:val="20"/>
        </w:rPr>
      </w:pPr>
      <w:hyperlink r:id="rId11" w:history="1">
        <w:r w:rsidR="00D24FA3" w:rsidRPr="00395728">
          <w:rPr>
            <w:rStyle w:val="Hyperlink"/>
            <w:rFonts w:ascii="Times New Roman" w:hAnsi="Times New Roman" w:cs="Times New Roman"/>
            <w:sz w:val="20"/>
            <w:szCs w:val="20"/>
          </w:rPr>
          <w:t>martins.razna@agentura.iem.gov.lv</w:t>
        </w:r>
      </w:hyperlink>
    </w:p>
    <w:p w14:paraId="1F989AD6" w14:textId="77777777" w:rsidR="00721A0A" w:rsidRPr="00476C1B" w:rsidRDefault="00721A0A" w:rsidP="00721A0A"/>
    <w:sectPr w:rsidR="00721A0A" w:rsidRPr="00476C1B" w:rsidSect="00F1742D">
      <w:headerReference w:type="default" r:id="rId12"/>
      <w:pgSz w:w="11906" w:h="16838"/>
      <w:pgMar w:top="1134" w:right="1134" w:bottom="1134"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DD14AF" w16cid:durableId="2385AA45"/>
  <w16cid:commentId w16cid:paraId="4728AF9E" w16cid:durableId="2385AA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1DEB2" w14:textId="77777777" w:rsidR="00564C77" w:rsidRDefault="00564C77" w:rsidP="00DB0AC9">
      <w:r>
        <w:separator/>
      </w:r>
    </w:p>
  </w:endnote>
  <w:endnote w:type="continuationSeparator" w:id="0">
    <w:p w14:paraId="279798C8" w14:textId="77777777" w:rsidR="00564C77" w:rsidRDefault="00564C77" w:rsidP="00DB0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96FB3" w14:textId="77777777" w:rsidR="00564C77" w:rsidRDefault="00564C77" w:rsidP="00DB0AC9">
      <w:r>
        <w:separator/>
      </w:r>
    </w:p>
  </w:footnote>
  <w:footnote w:type="continuationSeparator" w:id="0">
    <w:p w14:paraId="5201E9F2" w14:textId="77777777" w:rsidR="00564C77" w:rsidRDefault="00564C77" w:rsidP="00DB0A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79578"/>
      <w:docPartObj>
        <w:docPartGallery w:val="Page Numbers (Top of Page)"/>
        <w:docPartUnique/>
      </w:docPartObj>
    </w:sdtPr>
    <w:sdtEndPr/>
    <w:sdtContent>
      <w:p w14:paraId="3EEAFAF3" w14:textId="010BA092" w:rsidR="006D0053" w:rsidRDefault="006D0053">
        <w:pPr>
          <w:pStyle w:val="Header"/>
          <w:jc w:val="center"/>
        </w:pPr>
        <w:r>
          <w:fldChar w:fldCharType="begin"/>
        </w:r>
        <w:r>
          <w:instrText xml:space="preserve"> PAGE   \* MERGEFORMAT </w:instrText>
        </w:r>
        <w:r>
          <w:fldChar w:fldCharType="separate"/>
        </w:r>
        <w:r w:rsidR="005D146B">
          <w:rPr>
            <w:noProof/>
          </w:rPr>
          <w:t>9</w:t>
        </w:r>
        <w:r>
          <w:rPr>
            <w:noProof/>
          </w:rPr>
          <w:fldChar w:fldCharType="end"/>
        </w:r>
      </w:p>
    </w:sdtContent>
  </w:sdt>
  <w:p w14:paraId="57AA0B8D" w14:textId="77777777" w:rsidR="006D0053" w:rsidRDefault="006D00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667F5"/>
    <w:multiLevelType w:val="hybridMultilevel"/>
    <w:tmpl w:val="1DE42A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640BFD"/>
    <w:multiLevelType w:val="hybridMultilevel"/>
    <w:tmpl w:val="F280C0B4"/>
    <w:lvl w:ilvl="0" w:tplc="CF4E84E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2545ACD"/>
    <w:multiLevelType w:val="hybridMultilevel"/>
    <w:tmpl w:val="0F50DB8E"/>
    <w:lvl w:ilvl="0" w:tplc="04260011">
      <w:start w:val="1"/>
      <w:numFmt w:val="decimal"/>
      <w:lvlText w:val="%1)"/>
      <w:lvlJc w:val="left"/>
      <w:pPr>
        <w:ind w:left="66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262BAE"/>
    <w:multiLevelType w:val="hybridMultilevel"/>
    <w:tmpl w:val="AF224C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2B1ECF"/>
    <w:multiLevelType w:val="multilevel"/>
    <w:tmpl w:val="46689374"/>
    <w:lvl w:ilvl="0">
      <w:start w:val="1"/>
      <w:numFmt w:val="decimal"/>
      <w:lvlText w:val="%1."/>
      <w:lvlJc w:val="left"/>
      <w:pPr>
        <w:ind w:left="660" w:hanging="360"/>
      </w:pPr>
      <w:rPr>
        <w:rFonts w:hint="default"/>
        <w:b w:val="0"/>
        <w:color w:val="auto"/>
        <w:sz w:val="28"/>
        <w:szCs w:val="28"/>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740" w:hanging="720"/>
      </w:pPr>
      <w:rPr>
        <w:rFonts w:hint="default"/>
      </w:rPr>
    </w:lvl>
    <w:lvl w:ilvl="3">
      <w:start w:val="1"/>
      <w:numFmt w:val="decimal"/>
      <w:isLgl/>
      <w:lvlText w:val="%1.%2.%3.%4."/>
      <w:lvlJc w:val="left"/>
      <w:pPr>
        <w:ind w:left="2100"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60" w:hanging="1440"/>
      </w:pPr>
      <w:rPr>
        <w:rFonts w:hint="default"/>
      </w:rPr>
    </w:lvl>
    <w:lvl w:ilvl="8">
      <w:start w:val="1"/>
      <w:numFmt w:val="decimal"/>
      <w:isLgl/>
      <w:lvlText w:val="%1.%2.%3.%4.%5.%6.%7.%8.%9."/>
      <w:lvlJc w:val="left"/>
      <w:pPr>
        <w:ind w:left="4980" w:hanging="1800"/>
      </w:pPr>
      <w:rPr>
        <w:rFonts w:hint="default"/>
      </w:rPr>
    </w:lvl>
  </w:abstractNum>
  <w:abstractNum w:abstractNumId="5" w15:restartNumberingAfterBreak="0">
    <w:nsid w:val="39BC261B"/>
    <w:multiLevelType w:val="multilevel"/>
    <w:tmpl w:val="12965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C685CFE"/>
    <w:multiLevelType w:val="hybridMultilevel"/>
    <w:tmpl w:val="3DB4A4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F86857"/>
    <w:multiLevelType w:val="hybridMultilevel"/>
    <w:tmpl w:val="A49EC75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35972ED"/>
    <w:multiLevelType w:val="multilevel"/>
    <w:tmpl w:val="8DDA77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6700792"/>
    <w:multiLevelType w:val="multilevel"/>
    <w:tmpl w:val="5D60A664"/>
    <w:lvl w:ilvl="0">
      <w:start w:val="1"/>
      <w:numFmt w:val="decimal"/>
      <w:lvlText w:val="%1."/>
      <w:lvlJc w:val="left"/>
      <w:pPr>
        <w:ind w:left="36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0"/>
  </w:num>
  <w:num w:numId="3">
    <w:abstractNumId w:val="2"/>
  </w:num>
  <w:num w:numId="4">
    <w:abstractNumId w:val="7"/>
  </w:num>
  <w:num w:numId="5">
    <w:abstractNumId w:val="3"/>
  </w:num>
  <w:num w:numId="6">
    <w:abstractNumId w:val="5"/>
  </w:num>
  <w:num w:numId="7">
    <w:abstractNumId w:val="4"/>
  </w:num>
  <w:num w:numId="8">
    <w:abstractNumId w:val="8"/>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AC9"/>
    <w:rsid w:val="00001117"/>
    <w:rsid w:val="00003465"/>
    <w:rsid w:val="00007C50"/>
    <w:rsid w:val="00011389"/>
    <w:rsid w:val="0001731C"/>
    <w:rsid w:val="0002019D"/>
    <w:rsid w:val="00023F40"/>
    <w:rsid w:val="00026955"/>
    <w:rsid w:val="00030099"/>
    <w:rsid w:val="00032C5B"/>
    <w:rsid w:val="00034CBA"/>
    <w:rsid w:val="0003628B"/>
    <w:rsid w:val="00037415"/>
    <w:rsid w:val="000376FE"/>
    <w:rsid w:val="000405D2"/>
    <w:rsid w:val="000405FA"/>
    <w:rsid w:val="000405FD"/>
    <w:rsid w:val="00041399"/>
    <w:rsid w:val="000454E7"/>
    <w:rsid w:val="0005370E"/>
    <w:rsid w:val="00053DEA"/>
    <w:rsid w:val="0005650A"/>
    <w:rsid w:val="0005650B"/>
    <w:rsid w:val="000614D4"/>
    <w:rsid w:val="000619BD"/>
    <w:rsid w:val="00066203"/>
    <w:rsid w:val="00066D40"/>
    <w:rsid w:val="00066E43"/>
    <w:rsid w:val="00075A59"/>
    <w:rsid w:val="00082C19"/>
    <w:rsid w:val="00082C8C"/>
    <w:rsid w:val="0009215C"/>
    <w:rsid w:val="000958BA"/>
    <w:rsid w:val="00095C7E"/>
    <w:rsid w:val="00096B35"/>
    <w:rsid w:val="000A4B00"/>
    <w:rsid w:val="000B340F"/>
    <w:rsid w:val="000B407F"/>
    <w:rsid w:val="000B52E0"/>
    <w:rsid w:val="000B5E28"/>
    <w:rsid w:val="000B5FC5"/>
    <w:rsid w:val="000C1374"/>
    <w:rsid w:val="000C25E6"/>
    <w:rsid w:val="000D116F"/>
    <w:rsid w:val="000D42DC"/>
    <w:rsid w:val="000D4C59"/>
    <w:rsid w:val="000D5A11"/>
    <w:rsid w:val="000E0002"/>
    <w:rsid w:val="000E14DD"/>
    <w:rsid w:val="000E2BCF"/>
    <w:rsid w:val="000E5E80"/>
    <w:rsid w:val="000F240D"/>
    <w:rsid w:val="000F3B61"/>
    <w:rsid w:val="00100D1C"/>
    <w:rsid w:val="0011151B"/>
    <w:rsid w:val="00115545"/>
    <w:rsid w:val="001202F6"/>
    <w:rsid w:val="00122C4B"/>
    <w:rsid w:val="00124E3F"/>
    <w:rsid w:val="001256C0"/>
    <w:rsid w:val="001338B4"/>
    <w:rsid w:val="00135E44"/>
    <w:rsid w:val="0014004A"/>
    <w:rsid w:val="00141AE2"/>
    <w:rsid w:val="00143F39"/>
    <w:rsid w:val="0014430A"/>
    <w:rsid w:val="00145710"/>
    <w:rsid w:val="00145B04"/>
    <w:rsid w:val="00153D7F"/>
    <w:rsid w:val="00156D57"/>
    <w:rsid w:val="00167023"/>
    <w:rsid w:val="001702AC"/>
    <w:rsid w:val="00174531"/>
    <w:rsid w:val="001801B0"/>
    <w:rsid w:val="00181B28"/>
    <w:rsid w:val="001854B4"/>
    <w:rsid w:val="00192D48"/>
    <w:rsid w:val="00197418"/>
    <w:rsid w:val="001A00B9"/>
    <w:rsid w:val="001A2286"/>
    <w:rsid w:val="001A57BF"/>
    <w:rsid w:val="001A7BF7"/>
    <w:rsid w:val="001B704E"/>
    <w:rsid w:val="001B71A5"/>
    <w:rsid w:val="001C6536"/>
    <w:rsid w:val="001C7A65"/>
    <w:rsid w:val="001D3B3B"/>
    <w:rsid w:val="001D6B2E"/>
    <w:rsid w:val="001E0147"/>
    <w:rsid w:val="001E0C52"/>
    <w:rsid w:val="001E24A5"/>
    <w:rsid w:val="001E37D6"/>
    <w:rsid w:val="001E5615"/>
    <w:rsid w:val="001F04C5"/>
    <w:rsid w:val="001F46BD"/>
    <w:rsid w:val="001F5966"/>
    <w:rsid w:val="001F7262"/>
    <w:rsid w:val="002019E8"/>
    <w:rsid w:val="00211917"/>
    <w:rsid w:val="00216E2C"/>
    <w:rsid w:val="00216F8D"/>
    <w:rsid w:val="00221656"/>
    <w:rsid w:val="0022794C"/>
    <w:rsid w:val="0023252E"/>
    <w:rsid w:val="00233136"/>
    <w:rsid w:val="002370A2"/>
    <w:rsid w:val="00243A48"/>
    <w:rsid w:val="00244289"/>
    <w:rsid w:val="002528D9"/>
    <w:rsid w:val="00253920"/>
    <w:rsid w:val="002628D9"/>
    <w:rsid w:val="00262A83"/>
    <w:rsid w:val="0026479F"/>
    <w:rsid w:val="00265769"/>
    <w:rsid w:val="00265910"/>
    <w:rsid w:val="0027373F"/>
    <w:rsid w:val="00277BD8"/>
    <w:rsid w:val="00281C83"/>
    <w:rsid w:val="0028578C"/>
    <w:rsid w:val="0028585F"/>
    <w:rsid w:val="002913A0"/>
    <w:rsid w:val="002920CD"/>
    <w:rsid w:val="002940E8"/>
    <w:rsid w:val="00295E3A"/>
    <w:rsid w:val="002979AE"/>
    <w:rsid w:val="002A2D99"/>
    <w:rsid w:val="002A2EC3"/>
    <w:rsid w:val="002A4006"/>
    <w:rsid w:val="002A6761"/>
    <w:rsid w:val="002B1C21"/>
    <w:rsid w:val="002B29D9"/>
    <w:rsid w:val="002B2FF5"/>
    <w:rsid w:val="002B3076"/>
    <w:rsid w:val="002B3DA0"/>
    <w:rsid w:val="002B4691"/>
    <w:rsid w:val="002C1B6D"/>
    <w:rsid w:val="002C5CBA"/>
    <w:rsid w:val="002C6B58"/>
    <w:rsid w:val="002D14E9"/>
    <w:rsid w:val="002D4CFB"/>
    <w:rsid w:val="002E0A82"/>
    <w:rsid w:val="002E5969"/>
    <w:rsid w:val="002F24CB"/>
    <w:rsid w:val="002F30FD"/>
    <w:rsid w:val="002F37DB"/>
    <w:rsid w:val="002F4AFB"/>
    <w:rsid w:val="002F5808"/>
    <w:rsid w:val="0030046B"/>
    <w:rsid w:val="00300880"/>
    <w:rsid w:val="003019B9"/>
    <w:rsid w:val="00303C75"/>
    <w:rsid w:val="00304EF2"/>
    <w:rsid w:val="003167B1"/>
    <w:rsid w:val="003212E7"/>
    <w:rsid w:val="003224A1"/>
    <w:rsid w:val="003228BA"/>
    <w:rsid w:val="00326F96"/>
    <w:rsid w:val="00330C8E"/>
    <w:rsid w:val="003342AE"/>
    <w:rsid w:val="00335717"/>
    <w:rsid w:val="00341FDD"/>
    <w:rsid w:val="00352472"/>
    <w:rsid w:val="00354674"/>
    <w:rsid w:val="00355A4E"/>
    <w:rsid w:val="00355B27"/>
    <w:rsid w:val="00361824"/>
    <w:rsid w:val="00366434"/>
    <w:rsid w:val="00371D81"/>
    <w:rsid w:val="00377AAD"/>
    <w:rsid w:val="00380760"/>
    <w:rsid w:val="00380A53"/>
    <w:rsid w:val="00386C01"/>
    <w:rsid w:val="0039407A"/>
    <w:rsid w:val="00394FB0"/>
    <w:rsid w:val="00395728"/>
    <w:rsid w:val="00395A76"/>
    <w:rsid w:val="003963B7"/>
    <w:rsid w:val="003A38AF"/>
    <w:rsid w:val="003A6F93"/>
    <w:rsid w:val="003A70DE"/>
    <w:rsid w:val="003B3D2A"/>
    <w:rsid w:val="003B64BC"/>
    <w:rsid w:val="003C17D9"/>
    <w:rsid w:val="003C1822"/>
    <w:rsid w:val="003C2FB6"/>
    <w:rsid w:val="003C42A4"/>
    <w:rsid w:val="003C4F62"/>
    <w:rsid w:val="003C69A3"/>
    <w:rsid w:val="003D1CA9"/>
    <w:rsid w:val="003D2296"/>
    <w:rsid w:val="003D2B9E"/>
    <w:rsid w:val="003D3032"/>
    <w:rsid w:val="003D4AF6"/>
    <w:rsid w:val="003E000A"/>
    <w:rsid w:val="003E095E"/>
    <w:rsid w:val="003E775C"/>
    <w:rsid w:val="003F2555"/>
    <w:rsid w:val="00400C8D"/>
    <w:rsid w:val="00404251"/>
    <w:rsid w:val="004126DD"/>
    <w:rsid w:val="004159A8"/>
    <w:rsid w:val="00416512"/>
    <w:rsid w:val="004211D8"/>
    <w:rsid w:val="00422088"/>
    <w:rsid w:val="004223AA"/>
    <w:rsid w:val="004231DC"/>
    <w:rsid w:val="00424EC8"/>
    <w:rsid w:val="00426192"/>
    <w:rsid w:val="00426197"/>
    <w:rsid w:val="0042762C"/>
    <w:rsid w:val="00427825"/>
    <w:rsid w:val="004304A7"/>
    <w:rsid w:val="0044032F"/>
    <w:rsid w:val="00441051"/>
    <w:rsid w:val="00442541"/>
    <w:rsid w:val="00446103"/>
    <w:rsid w:val="00454785"/>
    <w:rsid w:val="004561C9"/>
    <w:rsid w:val="00456841"/>
    <w:rsid w:val="004618CE"/>
    <w:rsid w:val="004709BD"/>
    <w:rsid w:val="00471550"/>
    <w:rsid w:val="004725C0"/>
    <w:rsid w:val="00472A03"/>
    <w:rsid w:val="00473C98"/>
    <w:rsid w:val="00476C1B"/>
    <w:rsid w:val="00477F2C"/>
    <w:rsid w:val="004807F7"/>
    <w:rsid w:val="00480E97"/>
    <w:rsid w:val="00481AC7"/>
    <w:rsid w:val="00485BDB"/>
    <w:rsid w:val="00491AFD"/>
    <w:rsid w:val="00492553"/>
    <w:rsid w:val="00492910"/>
    <w:rsid w:val="00494087"/>
    <w:rsid w:val="00494598"/>
    <w:rsid w:val="00497C67"/>
    <w:rsid w:val="004A033F"/>
    <w:rsid w:val="004A6873"/>
    <w:rsid w:val="004A7D94"/>
    <w:rsid w:val="004B3380"/>
    <w:rsid w:val="004C7340"/>
    <w:rsid w:val="004D2745"/>
    <w:rsid w:val="004E5483"/>
    <w:rsid w:val="004E5A42"/>
    <w:rsid w:val="004E6766"/>
    <w:rsid w:val="004F2758"/>
    <w:rsid w:val="004F4756"/>
    <w:rsid w:val="004F48B6"/>
    <w:rsid w:val="004F57A8"/>
    <w:rsid w:val="004F5C18"/>
    <w:rsid w:val="004F7537"/>
    <w:rsid w:val="00501232"/>
    <w:rsid w:val="00501742"/>
    <w:rsid w:val="005032F2"/>
    <w:rsid w:val="0050554F"/>
    <w:rsid w:val="00512FF2"/>
    <w:rsid w:val="00522218"/>
    <w:rsid w:val="005244C1"/>
    <w:rsid w:val="005350F0"/>
    <w:rsid w:val="00536894"/>
    <w:rsid w:val="00547921"/>
    <w:rsid w:val="00551B04"/>
    <w:rsid w:val="00555417"/>
    <w:rsid w:val="00555EFB"/>
    <w:rsid w:val="005570D2"/>
    <w:rsid w:val="005610E0"/>
    <w:rsid w:val="00564C77"/>
    <w:rsid w:val="00565A07"/>
    <w:rsid w:val="00567D0C"/>
    <w:rsid w:val="00567FCB"/>
    <w:rsid w:val="00570A9B"/>
    <w:rsid w:val="0057166E"/>
    <w:rsid w:val="00571AB8"/>
    <w:rsid w:val="005737ED"/>
    <w:rsid w:val="00574BEB"/>
    <w:rsid w:val="00574EC3"/>
    <w:rsid w:val="005810CD"/>
    <w:rsid w:val="00592ED5"/>
    <w:rsid w:val="005970FA"/>
    <w:rsid w:val="00597E26"/>
    <w:rsid w:val="005B2D66"/>
    <w:rsid w:val="005B4110"/>
    <w:rsid w:val="005D056D"/>
    <w:rsid w:val="005D05FD"/>
    <w:rsid w:val="005D146B"/>
    <w:rsid w:val="005D4EB7"/>
    <w:rsid w:val="005E4F5C"/>
    <w:rsid w:val="005E5398"/>
    <w:rsid w:val="005F0F30"/>
    <w:rsid w:val="005F3010"/>
    <w:rsid w:val="005F3797"/>
    <w:rsid w:val="005F42DA"/>
    <w:rsid w:val="0060072E"/>
    <w:rsid w:val="00600C16"/>
    <w:rsid w:val="006021B2"/>
    <w:rsid w:val="00610CFD"/>
    <w:rsid w:val="006124DA"/>
    <w:rsid w:val="0061253D"/>
    <w:rsid w:val="006131D9"/>
    <w:rsid w:val="006164D4"/>
    <w:rsid w:val="00617133"/>
    <w:rsid w:val="00622FE7"/>
    <w:rsid w:val="0062479A"/>
    <w:rsid w:val="006304BB"/>
    <w:rsid w:val="0063086B"/>
    <w:rsid w:val="006357A2"/>
    <w:rsid w:val="00637214"/>
    <w:rsid w:val="0063758A"/>
    <w:rsid w:val="006435BD"/>
    <w:rsid w:val="006436D8"/>
    <w:rsid w:val="00643E30"/>
    <w:rsid w:val="00644134"/>
    <w:rsid w:val="0064415F"/>
    <w:rsid w:val="006506DD"/>
    <w:rsid w:val="00653440"/>
    <w:rsid w:val="006601AF"/>
    <w:rsid w:val="00660B2E"/>
    <w:rsid w:val="006627BB"/>
    <w:rsid w:val="0066699F"/>
    <w:rsid w:val="00681396"/>
    <w:rsid w:val="00683394"/>
    <w:rsid w:val="00684AD9"/>
    <w:rsid w:val="006916F7"/>
    <w:rsid w:val="00691BFF"/>
    <w:rsid w:val="006943DA"/>
    <w:rsid w:val="0069780E"/>
    <w:rsid w:val="006A01EC"/>
    <w:rsid w:val="006A7651"/>
    <w:rsid w:val="006B01D1"/>
    <w:rsid w:val="006B0FFB"/>
    <w:rsid w:val="006B2D49"/>
    <w:rsid w:val="006B4D5B"/>
    <w:rsid w:val="006B63A0"/>
    <w:rsid w:val="006C185D"/>
    <w:rsid w:val="006C1E52"/>
    <w:rsid w:val="006C44B6"/>
    <w:rsid w:val="006C6534"/>
    <w:rsid w:val="006C73F5"/>
    <w:rsid w:val="006D0053"/>
    <w:rsid w:val="006D1405"/>
    <w:rsid w:val="006D20BC"/>
    <w:rsid w:val="006D55FC"/>
    <w:rsid w:val="006D6C31"/>
    <w:rsid w:val="006E0F38"/>
    <w:rsid w:val="006E3CC6"/>
    <w:rsid w:val="006E71E0"/>
    <w:rsid w:val="006E7806"/>
    <w:rsid w:val="006F192F"/>
    <w:rsid w:val="006F2624"/>
    <w:rsid w:val="006F4644"/>
    <w:rsid w:val="006F7AC6"/>
    <w:rsid w:val="00703D40"/>
    <w:rsid w:val="00707F96"/>
    <w:rsid w:val="00711D76"/>
    <w:rsid w:val="0071393E"/>
    <w:rsid w:val="00720FB2"/>
    <w:rsid w:val="00721A0A"/>
    <w:rsid w:val="00722A33"/>
    <w:rsid w:val="00722B13"/>
    <w:rsid w:val="00723263"/>
    <w:rsid w:val="007240F0"/>
    <w:rsid w:val="007260A0"/>
    <w:rsid w:val="0073513D"/>
    <w:rsid w:val="007450A6"/>
    <w:rsid w:val="00746D1D"/>
    <w:rsid w:val="00747472"/>
    <w:rsid w:val="00751BC2"/>
    <w:rsid w:val="00755EE7"/>
    <w:rsid w:val="0075667D"/>
    <w:rsid w:val="00757083"/>
    <w:rsid w:val="00763572"/>
    <w:rsid w:val="0076606E"/>
    <w:rsid w:val="00767F61"/>
    <w:rsid w:val="00770F78"/>
    <w:rsid w:val="0077713B"/>
    <w:rsid w:val="00782544"/>
    <w:rsid w:val="00782C9C"/>
    <w:rsid w:val="00784A5B"/>
    <w:rsid w:val="00787D9D"/>
    <w:rsid w:val="007919B5"/>
    <w:rsid w:val="007920CC"/>
    <w:rsid w:val="007A0D14"/>
    <w:rsid w:val="007A2509"/>
    <w:rsid w:val="007A402C"/>
    <w:rsid w:val="007A71FF"/>
    <w:rsid w:val="007B48CA"/>
    <w:rsid w:val="007B6264"/>
    <w:rsid w:val="007B72BB"/>
    <w:rsid w:val="007C1FB5"/>
    <w:rsid w:val="007D7014"/>
    <w:rsid w:val="007E06D4"/>
    <w:rsid w:val="007E1451"/>
    <w:rsid w:val="007E2F76"/>
    <w:rsid w:val="007E676C"/>
    <w:rsid w:val="007F0908"/>
    <w:rsid w:val="007F2D31"/>
    <w:rsid w:val="007F3D3B"/>
    <w:rsid w:val="007F7321"/>
    <w:rsid w:val="0080052C"/>
    <w:rsid w:val="008048A5"/>
    <w:rsid w:val="008104FE"/>
    <w:rsid w:val="00815350"/>
    <w:rsid w:val="0082141F"/>
    <w:rsid w:val="008224D5"/>
    <w:rsid w:val="00823902"/>
    <w:rsid w:val="008322E6"/>
    <w:rsid w:val="008352A6"/>
    <w:rsid w:val="008412F4"/>
    <w:rsid w:val="00841311"/>
    <w:rsid w:val="0084695B"/>
    <w:rsid w:val="0084754B"/>
    <w:rsid w:val="008512E3"/>
    <w:rsid w:val="00852D51"/>
    <w:rsid w:val="00853974"/>
    <w:rsid w:val="008573BD"/>
    <w:rsid w:val="008662EF"/>
    <w:rsid w:val="00884A91"/>
    <w:rsid w:val="00887D90"/>
    <w:rsid w:val="0089352C"/>
    <w:rsid w:val="00893BDB"/>
    <w:rsid w:val="00894FD0"/>
    <w:rsid w:val="008954B0"/>
    <w:rsid w:val="00896925"/>
    <w:rsid w:val="008A726F"/>
    <w:rsid w:val="008B0AA4"/>
    <w:rsid w:val="008B0DF9"/>
    <w:rsid w:val="008C0AFC"/>
    <w:rsid w:val="008C0C32"/>
    <w:rsid w:val="008C1EB3"/>
    <w:rsid w:val="008C2C43"/>
    <w:rsid w:val="008C3036"/>
    <w:rsid w:val="008C6742"/>
    <w:rsid w:val="008C6CFC"/>
    <w:rsid w:val="008D3EC4"/>
    <w:rsid w:val="008D68A9"/>
    <w:rsid w:val="008E1380"/>
    <w:rsid w:val="008E4DF2"/>
    <w:rsid w:val="008E5DFD"/>
    <w:rsid w:val="008E78D7"/>
    <w:rsid w:val="008E7D51"/>
    <w:rsid w:val="008F355C"/>
    <w:rsid w:val="008F6058"/>
    <w:rsid w:val="0090020D"/>
    <w:rsid w:val="00903051"/>
    <w:rsid w:val="00903864"/>
    <w:rsid w:val="00912FF5"/>
    <w:rsid w:val="00914C8B"/>
    <w:rsid w:val="009172E7"/>
    <w:rsid w:val="00930877"/>
    <w:rsid w:val="0093510C"/>
    <w:rsid w:val="00936460"/>
    <w:rsid w:val="00936EEE"/>
    <w:rsid w:val="009421A9"/>
    <w:rsid w:val="00942B1E"/>
    <w:rsid w:val="0094474B"/>
    <w:rsid w:val="00946668"/>
    <w:rsid w:val="00953723"/>
    <w:rsid w:val="00955EE8"/>
    <w:rsid w:val="009562EE"/>
    <w:rsid w:val="00966550"/>
    <w:rsid w:val="009700B2"/>
    <w:rsid w:val="0097015D"/>
    <w:rsid w:val="009715A8"/>
    <w:rsid w:val="00971FA5"/>
    <w:rsid w:val="00973AE9"/>
    <w:rsid w:val="009751F7"/>
    <w:rsid w:val="009752E3"/>
    <w:rsid w:val="009817C5"/>
    <w:rsid w:val="00990EEF"/>
    <w:rsid w:val="009955CA"/>
    <w:rsid w:val="009A1583"/>
    <w:rsid w:val="009B0A04"/>
    <w:rsid w:val="009B3F1E"/>
    <w:rsid w:val="009B46B8"/>
    <w:rsid w:val="009B7F48"/>
    <w:rsid w:val="009C062D"/>
    <w:rsid w:val="009C0967"/>
    <w:rsid w:val="009C2049"/>
    <w:rsid w:val="009C318B"/>
    <w:rsid w:val="009C4FAB"/>
    <w:rsid w:val="009D2B05"/>
    <w:rsid w:val="009D69D1"/>
    <w:rsid w:val="009D78D5"/>
    <w:rsid w:val="009E0CB4"/>
    <w:rsid w:val="009F2F74"/>
    <w:rsid w:val="009F4065"/>
    <w:rsid w:val="00A01294"/>
    <w:rsid w:val="00A147A5"/>
    <w:rsid w:val="00A148CB"/>
    <w:rsid w:val="00A15BE3"/>
    <w:rsid w:val="00A15E2A"/>
    <w:rsid w:val="00A249FF"/>
    <w:rsid w:val="00A264D8"/>
    <w:rsid w:val="00A26BC0"/>
    <w:rsid w:val="00A342BB"/>
    <w:rsid w:val="00A37583"/>
    <w:rsid w:val="00A46AC9"/>
    <w:rsid w:val="00A50505"/>
    <w:rsid w:val="00A50EFC"/>
    <w:rsid w:val="00A51FE4"/>
    <w:rsid w:val="00A60CB2"/>
    <w:rsid w:val="00A60E4B"/>
    <w:rsid w:val="00A61D23"/>
    <w:rsid w:val="00A6591F"/>
    <w:rsid w:val="00A67A36"/>
    <w:rsid w:val="00A7096D"/>
    <w:rsid w:val="00A73B93"/>
    <w:rsid w:val="00A7613D"/>
    <w:rsid w:val="00A82B95"/>
    <w:rsid w:val="00A863D9"/>
    <w:rsid w:val="00A87425"/>
    <w:rsid w:val="00A87D5A"/>
    <w:rsid w:val="00A95113"/>
    <w:rsid w:val="00A96EE3"/>
    <w:rsid w:val="00A96F3D"/>
    <w:rsid w:val="00AA39B0"/>
    <w:rsid w:val="00AA5CA1"/>
    <w:rsid w:val="00AA5E48"/>
    <w:rsid w:val="00AA69C9"/>
    <w:rsid w:val="00AB0169"/>
    <w:rsid w:val="00AB07D3"/>
    <w:rsid w:val="00AB72A8"/>
    <w:rsid w:val="00AC3190"/>
    <w:rsid w:val="00AC35DE"/>
    <w:rsid w:val="00AC5E1C"/>
    <w:rsid w:val="00AC711D"/>
    <w:rsid w:val="00AD31E7"/>
    <w:rsid w:val="00AD706C"/>
    <w:rsid w:val="00AE4B0A"/>
    <w:rsid w:val="00AE6BA3"/>
    <w:rsid w:val="00AF1057"/>
    <w:rsid w:val="00AF1CD0"/>
    <w:rsid w:val="00AF5EC6"/>
    <w:rsid w:val="00AF62EC"/>
    <w:rsid w:val="00B0219B"/>
    <w:rsid w:val="00B03C3F"/>
    <w:rsid w:val="00B058B4"/>
    <w:rsid w:val="00B10DCF"/>
    <w:rsid w:val="00B111CC"/>
    <w:rsid w:val="00B13A23"/>
    <w:rsid w:val="00B14BDD"/>
    <w:rsid w:val="00B161D5"/>
    <w:rsid w:val="00B230F3"/>
    <w:rsid w:val="00B24780"/>
    <w:rsid w:val="00B305A3"/>
    <w:rsid w:val="00B343E6"/>
    <w:rsid w:val="00B34E63"/>
    <w:rsid w:val="00B3621C"/>
    <w:rsid w:val="00B36F4E"/>
    <w:rsid w:val="00B43620"/>
    <w:rsid w:val="00B47460"/>
    <w:rsid w:val="00B5250B"/>
    <w:rsid w:val="00B52782"/>
    <w:rsid w:val="00B528E6"/>
    <w:rsid w:val="00B534FE"/>
    <w:rsid w:val="00B54496"/>
    <w:rsid w:val="00B56F42"/>
    <w:rsid w:val="00B61A12"/>
    <w:rsid w:val="00B67944"/>
    <w:rsid w:val="00B67E6A"/>
    <w:rsid w:val="00B67F6E"/>
    <w:rsid w:val="00B7575D"/>
    <w:rsid w:val="00B85FF5"/>
    <w:rsid w:val="00B9368C"/>
    <w:rsid w:val="00B97B67"/>
    <w:rsid w:val="00BA4106"/>
    <w:rsid w:val="00BA467E"/>
    <w:rsid w:val="00BB0C2F"/>
    <w:rsid w:val="00BB184C"/>
    <w:rsid w:val="00BB26AC"/>
    <w:rsid w:val="00BC4EF3"/>
    <w:rsid w:val="00BD3FF8"/>
    <w:rsid w:val="00BD53CD"/>
    <w:rsid w:val="00BE018C"/>
    <w:rsid w:val="00BE0D2D"/>
    <w:rsid w:val="00BE154B"/>
    <w:rsid w:val="00BE1A86"/>
    <w:rsid w:val="00BE1D5E"/>
    <w:rsid w:val="00BE20C8"/>
    <w:rsid w:val="00BE40EF"/>
    <w:rsid w:val="00BE6B8F"/>
    <w:rsid w:val="00BE74A8"/>
    <w:rsid w:val="00C01CC2"/>
    <w:rsid w:val="00C033D1"/>
    <w:rsid w:val="00C05814"/>
    <w:rsid w:val="00C05916"/>
    <w:rsid w:val="00C11ADE"/>
    <w:rsid w:val="00C11FEF"/>
    <w:rsid w:val="00C1237D"/>
    <w:rsid w:val="00C1440D"/>
    <w:rsid w:val="00C202D6"/>
    <w:rsid w:val="00C213CB"/>
    <w:rsid w:val="00C23E69"/>
    <w:rsid w:val="00C24A0E"/>
    <w:rsid w:val="00C31E03"/>
    <w:rsid w:val="00C3425C"/>
    <w:rsid w:val="00C364E7"/>
    <w:rsid w:val="00C432E1"/>
    <w:rsid w:val="00C43912"/>
    <w:rsid w:val="00C5188C"/>
    <w:rsid w:val="00C5242E"/>
    <w:rsid w:val="00C529EF"/>
    <w:rsid w:val="00C5501B"/>
    <w:rsid w:val="00C55D49"/>
    <w:rsid w:val="00C56ADE"/>
    <w:rsid w:val="00C63BAF"/>
    <w:rsid w:val="00C67F33"/>
    <w:rsid w:val="00C7720A"/>
    <w:rsid w:val="00C870CE"/>
    <w:rsid w:val="00C966BB"/>
    <w:rsid w:val="00CA5EC6"/>
    <w:rsid w:val="00CB40D1"/>
    <w:rsid w:val="00CB6414"/>
    <w:rsid w:val="00CC71F1"/>
    <w:rsid w:val="00CD2C98"/>
    <w:rsid w:val="00CD3A78"/>
    <w:rsid w:val="00CE0101"/>
    <w:rsid w:val="00CE041E"/>
    <w:rsid w:val="00CE069A"/>
    <w:rsid w:val="00CE12BB"/>
    <w:rsid w:val="00CF52BF"/>
    <w:rsid w:val="00CF78A5"/>
    <w:rsid w:val="00D04CF6"/>
    <w:rsid w:val="00D04D1F"/>
    <w:rsid w:val="00D057D4"/>
    <w:rsid w:val="00D05ECF"/>
    <w:rsid w:val="00D13DA3"/>
    <w:rsid w:val="00D14D80"/>
    <w:rsid w:val="00D20A93"/>
    <w:rsid w:val="00D22D3F"/>
    <w:rsid w:val="00D24FA3"/>
    <w:rsid w:val="00D340A9"/>
    <w:rsid w:val="00D35A60"/>
    <w:rsid w:val="00D35D53"/>
    <w:rsid w:val="00D4049D"/>
    <w:rsid w:val="00D4192F"/>
    <w:rsid w:val="00D426CC"/>
    <w:rsid w:val="00D455A3"/>
    <w:rsid w:val="00D45654"/>
    <w:rsid w:val="00D47E57"/>
    <w:rsid w:val="00D53C24"/>
    <w:rsid w:val="00D55067"/>
    <w:rsid w:val="00D5767C"/>
    <w:rsid w:val="00D61A29"/>
    <w:rsid w:val="00D61A9B"/>
    <w:rsid w:val="00D62367"/>
    <w:rsid w:val="00D623FB"/>
    <w:rsid w:val="00D64F17"/>
    <w:rsid w:val="00D66550"/>
    <w:rsid w:val="00D70D36"/>
    <w:rsid w:val="00D7200F"/>
    <w:rsid w:val="00D76363"/>
    <w:rsid w:val="00D80622"/>
    <w:rsid w:val="00D80E88"/>
    <w:rsid w:val="00D822BD"/>
    <w:rsid w:val="00D82C3A"/>
    <w:rsid w:val="00D87B80"/>
    <w:rsid w:val="00D9049C"/>
    <w:rsid w:val="00D917D4"/>
    <w:rsid w:val="00D9210D"/>
    <w:rsid w:val="00D960FA"/>
    <w:rsid w:val="00DA10D0"/>
    <w:rsid w:val="00DA1540"/>
    <w:rsid w:val="00DA1B72"/>
    <w:rsid w:val="00DA2976"/>
    <w:rsid w:val="00DA5B5A"/>
    <w:rsid w:val="00DB0AC9"/>
    <w:rsid w:val="00DB2420"/>
    <w:rsid w:val="00DB64E9"/>
    <w:rsid w:val="00DC1BB6"/>
    <w:rsid w:val="00DC23C7"/>
    <w:rsid w:val="00DC3197"/>
    <w:rsid w:val="00DC5CE9"/>
    <w:rsid w:val="00DC6617"/>
    <w:rsid w:val="00DC7DAC"/>
    <w:rsid w:val="00DE0122"/>
    <w:rsid w:val="00DE1F06"/>
    <w:rsid w:val="00DE3913"/>
    <w:rsid w:val="00DE47D3"/>
    <w:rsid w:val="00DE56F0"/>
    <w:rsid w:val="00DF6849"/>
    <w:rsid w:val="00E01A06"/>
    <w:rsid w:val="00E13A88"/>
    <w:rsid w:val="00E150E0"/>
    <w:rsid w:val="00E16084"/>
    <w:rsid w:val="00E171AD"/>
    <w:rsid w:val="00E21B01"/>
    <w:rsid w:val="00E23151"/>
    <w:rsid w:val="00E24121"/>
    <w:rsid w:val="00E25C32"/>
    <w:rsid w:val="00E317A3"/>
    <w:rsid w:val="00E32F8B"/>
    <w:rsid w:val="00E34408"/>
    <w:rsid w:val="00E35431"/>
    <w:rsid w:val="00E40407"/>
    <w:rsid w:val="00E41805"/>
    <w:rsid w:val="00E4481F"/>
    <w:rsid w:val="00E44FD0"/>
    <w:rsid w:val="00E451B3"/>
    <w:rsid w:val="00E47580"/>
    <w:rsid w:val="00E60A27"/>
    <w:rsid w:val="00E620BB"/>
    <w:rsid w:val="00E622FA"/>
    <w:rsid w:val="00E65480"/>
    <w:rsid w:val="00E65B57"/>
    <w:rsid w:val="00E7128F"/>
    <w:rsid w:val="00E71467"/>
    <w:rsid w:val="00E73537"/>
    <w:rsid w:val="00E7581A"/>
    <w:rsid w:val="00E76A4D"/>
    <w:rsid w:val="00E8370D"/>
    <w:rsid w:val="00E84276"/>
    <w:rsid w:val="00E87151"/>
    <w:rsid w:val="00E87BDA"/>
    <w:rsid w:val="00E91777"/>
    <w:rsid w:val="00E92124"/>
    <w:rsid w:val="00E93E79"/>
    <w:rsid w:val="00E960BB"/>
    <w:rsid w:val="00EA0BE0"/>
    <w:rsid w:val="00EA149E"/>
    <w:rsid w:val="00EB4BFF"/>
    <w:rsid w:val="00EB5FB4"/>
    <w:rsid w:val="00EB7F0A"/>
    <w:rsid w:val="00EC0B39"/>
    <w:rsid w:val="00EC10C6"/>
    <w:rsid w:val="00EC2640"/>
    <w:rsid w:val="00ED0BBE"/>
    <w:rsid w:val="00EE222F"/>
    <w:rsid w:val="00EE375E"/>
    <w:rsid w:val="00EE3AC8"/>
    <w:rsid w:val="00EE59FC"/>
    <w:rsid w:val="00EF06A9"/>
    <w:rsid w:val="00EF3621"/>
    <w:rsid w:val="00EF47A7"/>
    <w:rsid w:val="00EF5D88"/>
    <w:rsid w:val="00EF6309"/>
    <w:rsid w:val="00EF79EA"/>
    <w:rsid w:val="00EF7CCF"/>
    <w:rsid w:val="00F03794"/>
    <w:rsid w:val="00F0544B"/>
    <w:rsid w:val="00F132F6"/>
    <w:rsid w:val="00F14CD7"/>
    <w:rsid w:val="00F1742D"/>
    <w:rsid w:val="00F22D78"/>
    <w:rsid w:val="00F23AFA"/>
    <w:rsid w:val="00F32A81"/>
    <w:rsid w:val="00F33AA2"/>
    <w:rsid w:val="00F50A6F"/>
    <w:rsid w:val="00F5296F"/>
    <w:rsid w:val="00F60777"/>
    <w:rsid w:val="00F6108A"/>
    <w:rsid w:val="00F61637"/>
    <w:rsid w:val="00F63EFA"/>
    <w:rsid w:val="00F642EB"/>
    <w:rsid w:val="00F65299"/>
    <w:rsid w:val="00F657BD"/>
    <w:rsid w:val="00F66B98"/>
    <w:rsid w:val="00F7112F"/>
    <w:rsid w:val="00F71CF1"/>
    <w:rsid w:val="00F73439"/>
    <w:rsid w:val="00F7428A"/>
    <w:rsid w:val="00F74377"/>
    <w:rsid w:val="00F753A9"/>
    <w:rsid w:val="00F75A9B"/>
    <w:rsid w:val="00F809DE"/>
    <w:rsid w:val="00F86AF3"/>
    <w:rsid w:val="00F8784E"/>
    <w:rsid w:val="00F914CD"/>
    <w:rsid w:val="00F93F03"/>
    <w:rsid w:val="00F9506E"/>
    <w:rsid w:val="00F96EE5"/>
    <w:rsid w:val="00FA224F"/>
    <w:rsid w:val="00FA6AA9"/>
    <w:rsid w:val="00FA6E4C"/>
    <w:rsid w:val="00FB0BF1"/>
    <w:rsid w:val="00FB0D9C"/>
    <w:rsid w:val="00FB66DD"/>
    <w:rsid w:val="00FC1AD9"/>
    <w:rsid w:val="00FC4C75"/>
    <w:rsid w:val="00FD0A3F"/>
    <w:rsid w:val="00FD185E"/>
    <w:rsid w:val="00FD278E"/>
    <w:rsid w:val="00FD31F9"/>
    <w:rsid w:val="00FD62EC"/>
    <w:rsid w:val="00FE49DB"/>
    <w:rsid w:val="00FE5068"/>
    <w:rsid w:val="00FF2365"/>
    <w:rsid w:val="00FF624C"/>
    <w:rsid w:val="00FF7A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9A887FB"/>
  <w15:docId w15:val="{948BB2B5-1B95-4359-ADC0-01BFF1A9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AC9"/>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0AC9"/>
    <w:rPr>
      <w:color w:val="0000FF"/>
      <w:u w:val="single"/>
    </w:rPr>
  </w:style>
  <w:style w:type="table" w:styleId="TableGrid">
    <w:name w:val="Table Grid"/>
    <w:basedOn w:val="TableNormal"/>
    <w:uiPriority w:val="59"/>
    <w:rsid w:val="00DB0A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0AC9"/>
    <w:pPr>
      <w:tabs>
        <w:tab w:val="center" w:pos="4153"/>
        <w:tab w:val="right" w:pos="8306"/>
      </w:tabs>
    </w:pPr>
  </w:style>
  <w:style w:type="character" w:customStyle="1" w:styleId="HeaderChar">
    <w:name w:val="Header Char"/>
    <w:basedOn w:val="DefaultParagraphFont"/>
    <w:link w:val="Header"/>
    <w:uiPriority w:val="99"/>
    <w:rsid w:val="00DB0AC9"/>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DB0AC9"/>
    <w:pPr>
      <w:tabs>
        <w:tab w:val="center" w:pos="4153"/>
        <w:tab w:val="right" w:pos="8306"/>
      </w:tabs>
    </w:pPr>
  </w:style>
  <w:style w:type="character" w:customStyle="1" w:styleId="FooterChar">
    <w:name w:val="Footer Char"/>
    <w:basedOn w:val="DefaultParagraphFont"/>
    <w:link w:val="Footer"/>
    <w:uiPriority w:val="99"/>
    <w:rsid w:val="00DB0AC9"/>
    <w:rPr>
      <w:rFonts w:ascii="Times New Roman" w:eastAsia="Times New Roman" w:hAnsi="Times New Roman" w:cs="Times New Roman"/>
      <w:sz w:val="24"/>
      <w:szCs w:val="24"/>
      <w:lang w:eastAsia="lv-LV"/>
    </w:r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ListParagraphChar"/>
    <w:uiPriority w:val="34"/>
    <w:qFormat/>
    <w:rsid w:val="00DB0AC9"/>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DB0AC9"/>
  </w:style>
  <w:style w:type="paragraph" w:styleId="BalloonText">
    <w:name w:val="Balloon Text"/>
    <w:basedOn w:val="Normal"/>
    <w:link w:val="BalloonTextChar"/>
    <w:uiPriority w:val="99"/>
    <w:semiHidden/>
    <w:unhideWhenUsed/>
    <w:rsid w:val="00DB0AC9"/>
    <w:rPr>
      <w:rFonts w:ascii="Tahoma" w:hAnsi="Tahoma" w:cs="Tahoma"/>
      <w:sz w:val="16"/>
      <w:szCs w:val="16"/>
    </w:rPr>
  </w:style>
  <w:style w:type="character" w:customStyle="1" w:styleId="BalloonTextChar">
    <w:name w:val="Balloon Text Char"/>
    <w:basedOn w:val="DefaultParagraphFont"/>
    <w:link w:val="BalloonText"/>
    <w:uiPriority w:val="99"/>
    <w:semiHidden/>
    <w:rsid w:val="00DB0AC9"/>
    <w:rPr>
      <w:rFonts w:ascii="Tahoma" w:eastAsia="Times New Roman" w:hAnsi="Tahoma" w:cs="Tahoma"/>
      <w:sz w:val="16"/>
      <w:szCs w:val="16"/>
      <w:lang w:eastAsia="lv-LV"/>
    </w:rPr>
  </w:style>
  <w:style w:type="paragraph" w:customStyle="1" w:styleId="tv213limenis2">
    <w:name w:val="tv213 limenis2"/>
    <w:basedOn w:val="Normal"/>
    <w:rsid w:val="0028578C"/>
    <w:pPr>
      <w:spacing w:before="100" w:beforeAutospacing="1" w:after="100" w:afterAutospacing="1"/>
    </w:pPr>
  </w:style>
  <w:style w:type="character" w:styleId="CommentReference">
    <w:name w:val="annotation reference"/>
    <w:basedOn w:val="DefaultParagraphFont"/>
    <w:uiPriority w:val="99"/>
    <w:semiHidden/>
    <w:unhideWhenUsed/>
    <w:rsid w:val="00F65299"/>
    <w:rPr>
      <w:sz w:val="16"/>
      <w:szCs w:val="16"/>
    </w:rPr>
  </w:style>
  <w:style w:type="paragraph" w:styleId="CommentText">
    <w:name w:val="annotation text"/>
    <w:basedOn w:val="Normal"/>
    <w:link w:val="CommentTextChar"/>
    <w:uiPriority w:val="99"/>
    <w:semiHidden/>
    <w:unhideWhenUsed/>
    <w:rsid w:val="00F65299"/>
    <w:rPr>
      <w:sz w:val="20"/>
      <w:szCs w:val="20"/>
    </w:rPr>
  </w:style>
  <w:style w:type="character" w:customStyle="1" w:styleId="CommentTextChar">
    <w:name w:val="Comment Text Char"/>
    <w:basedOn w:val="DefaultParagraphFont"/>
    <w:link w:val="CommentText"/>
    <w:uiPriority w:val="99"/>
    <w:semiHidden/>
    <w:rsid w:val="00F65299"/>
    <w:rPr>
      <w:rFonts w:ascii="Times New Roman" w:eastAsia="Times New Roman" w:hAnsi="Times New Roman" w:cs="Times New Roman"/>
      <w:sz w:val="20"/>
      <w:szCs w:val="20"/>
      <w:lang w:eastAsia="lv-LV"/>
    </w:rPr>
  </w:style>
  <w:style w:type="paragraph" w:styleId="Revision">
    <w:name w:val="Revision"/>
    <w:hidden/>
    <w:uiPriority w:val="99"/>
    <w:semiHidden/>
    <w:rsid w:val="00FC4C75"/>
    <w:pPr>
      <w:spacing w:after="0" w:line="240" w:lineRule="auto"/>
    </w:pPr>
    <w:rPr>
      <w:rFonts w:ascii="Times New Roman" w:eastAsia="Times New Roman" w:hAnsi="Times New Roman" w:cs="Times New Roman"/>
      <w:sz w:val="24"/>
      <w:szCs w:val="24"/>
      <w:lang w:eastAsia="lv-LV"/>
    </w:rPr>
  </w:style>
  <w:style w:type="paragraph" w:styleId="CommentSubject">
    <w:name w:val="annotation subject"/>
    <w:basedOn w:val="CommentText"/>
    <w:next w:val="CommentText"/>
    <w:link w:val="CommentSubjectChar"/>
    <w:uiPriority w:val="99"/>
    <w:semiHidden/>
    <w:unhideWhenUsed/>
    <w:rsid w:val="000405FD"/>
    <w:rPr>
      <w:b/>
      <w:bCs/>
    </w:rPr>
  </w:style>
  <w:style w:type="character" w:customStyle="1" w:styleId="CommentSubjectChar">
    <w:name w:val="Comment Subject Char"/>
    <w:basedOn w:val="CommentTextChar"/>
    <w:link w:val="CommentSubject"/>
    <w:uiPriority w:val="99"/>
    <w:semiHidden/>
    <w:rsid w:val="000405FD"/>
    <w:rPr>
      <w:rFonts w:ascii="Times New Roman" w:eastAsia="Times New Roman" w:hAnsi="Times New Roman" w:cs="Times New Roman"/>
      <w:b/>
      <w:bCs/>
      <w:sz w:val="20"/>
      <w:szCs w:val="20"/>
      <w:lang w:eastAsia="lv-LV"/>
    </w:rPr>
  </w:style>
  <w:style w:type="paragraph" w:customStyle="1" w:styleId="naisf">
    <w:name w:val="naisf"/>
    <w:basedOn w:val="Normal"/>
    <w:rsid w:val="00721A0A"/>
    <w:pPr>
      <w:spacing w:before="100" w:after="100"/>
    </w:pPr>
    <w:rPr>
      <w:szCs w:val="20"/>
    </w:rPr>
  </w:style>
  <w:style w:type="paragraph" w:styleId="NormalWeb">
    <w:name w:val="Normal (Web)"/>
    <w:basedOn w:val="Normal"/>
    <w:uiPriority w:val="99"/>
    <w:unhideWhenUsed/>
    <w:rsid w:val="00174531"/>
    <w:pPr>
      <w:spacing w:before="100" w:beforeAutospacing="1" w:after="119"/>
    </w:pPr>
  </w:style>
  <w:style w:type="paragraph" w:customStyle="1" w:styleId="tv213">
    <w:name w:val="tv213"/>
    <w:basedOn w:val="Normal"/>
    <w:rsid w:val="005D05FD"/>
    <w:pPr>
      <w:spacing w:before="100" w:beforeAutospacing="1" w:after="100" w:afterAutospacing="1"/>
    </w:pPr>
  </w:style>
  <w:style w:type="character" w:styleId="Strong">
    <w:name w:val="Strong"/>
    <w:basedOn w:val="DefaultParagraphFont"/>
    <w:uiPriority w:val="22"/>
    <w:qFormat/>
    <w:rsid w:val="009562EE"/>
    <w:rPr>
      <w:b/>
      <w:bCs/>
    </w:rPr>
  </w:style>
  <w:style w:type="character" w:styleId="Emphasis">
    <w:name w:val="Emphasis"/>
    <w:basedOn w:val="DefaultParagraphFont"/>
    <w:uiPriority w:val="20"/>
    <w:qFormat/>
    <w:rsid w:val="009562EE"/>
    <w:rPr>
      <w:i/>
      <w:iCs/>
    </w:rPr>
  </w:style>
  <w:style w:type="paragraph" w:styleId="PlainText">
    <w:name w:val="Plain Text"/>
    <w:basedOn w:val="Normal"/>
    <w:link w:val="PlainTextChar"/>
    <w:uiPriority w:val="99"/>
    <w:semiHidden/>
    <w:unhideWhenUsed/>
    <w:rsid w:val="00EF5D88"/>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EF5D88"/>
    <w:rPr>
      <w:rFonts w:ascii="Calibri" w:hAnsi="Calibri"/>
      <w:szCs w:val="21"/>
    </w:rPr>
  </w:style>
  <w:style w:type="character" w:styleId="FollowedHyperlink">
    <w:name w:val="FollowedHyperlink"/>
    <w:basedOn w:val="DefaultParagraphFont"/>
    <w:uiPriority w:val="99"/>
    <w:semiHidden/>
    <w:unhideWhenUsed/>
    <w:rsid w:val="00023F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975634">
      <w:bodyDiv w:val="1"/>
      <w:marLeft w:val="0"/>
      <w:marRight w:val="0"/>
      <w:marTop w:val="0"/>
      <w:marBottom w:val="0"/>
      <w:divBdr>
        <w:top w:val="none" w:sz="0" w:space="0" w:color="auto"/>
        <w:left w:val="none" w:sz="0" w:space="0" w:color="auto"/>
        <w:bottom w:val="none" w:sz="0" w:space="0" w:color="auto"/>
        <w:right w:val="none" w:sz="0" w:space="0" w:color="auto"/>
      </w:divBdr>
    </w:div>
    <w:div w:id="621812556">
      <w:bodyDiv w:val="1"/>
      <w:marLeft w:val="0"/>
      <w:marRight w:val="0"/>
      <w:marTop w:val="0"/>
      <w:marBottom w:val="0"/>
      <w:divBdr>
        <w:top w:val="none" w:sz="0" w:space="0" w:color="auto"/>
        <w:left w:val="none" w:sz="0" w:space="0" w:color="auto"/>
        <w:bottom w:val="none" w:sz="0" w:space="0" w:color="auto"/>
        <w:right w:val="none" w:sz="0" w:space="0" w:color="auto"/>
      </w:divBdr>
    </w:div>
    <w:div w:id="736246848">
      <w:bodyDiv w:val="1"/>
      <w:marLeft w:val="0"/>
      <w:marRight w:val="0"/>
      <w:marTop w:val="0"/>
      <w:marBottom w:val="0"/>
      <w:divBdr>
        <w:top w:val="none" w:sz="0" w:space="0" w:color="auto"/>
        <w:left w:val="none" w:sz="0" w:space="0" w:color="auto"/>
        <w:bottom w:val="none" w:sz="0" w:space="0" w:color="auto"/>
        <w:right w:val="none" w:sz="0" w:space="0" w:color="auto"/>
      </w:divBdr>
    </w:div>
    <w:div w:id="750004401">
      <w:bodyDiv w:val="1"/>
      <w:marLeft w:val="0"/>
      <w:marRight w:val="0"/>
      <w:marTop w:val="0"/>
      <w:marBottom w:val="0"/>
      <w:divBdr>
        <w:top w:val="none" w:sz="0" w:space="0" w:color="auto"/>
        <w:left w:val="none" w:sz="0" w:space="0" w:color="auto"/>
        <w:bottom w:val="none" w:sz="0" w:space="0" w:color="auto"/>
        <w:right w:val="none" w:sz="0" w:space="0" w:color="auto"/>
      </w:divBdr>
      <w:divsChild>
        <w:div w:id="136578987">
          <w:marLeft w:val="0"/>
          <w:marRight w:val="0"/>
          <w:marTop w:val="480"/>
          <w:marBottom w:val="240"/>
          <w:divBdr>
            <w:top w:val="none" w:sz="0" w:space="0" w:color="auto"/>
            <w:left w:val="none" w:sz="0" w:space="0" w:color="auto"/>
            <w:bottom w:val="none" w:sz="0" w:space="0" w:color="auto"/>
            <w:right w:val="none" w:sz="0" w:space="0" w:color="auto"/>
          </w:divBdr>
        </w:div>
        <w:div w:id="647787466">
          <w:marLeft w:val="0"/>
          <w:marRight w:val="0"/>
          <w:marTop w:val="0"/>
          <w:marBottom w:val="567"/>
          <w:divBdr>
            <w:top w:val="none" w:sz="0" w:space="0" w:color="auto"/>
            <w:left w:val="none" w:sz="0" w:space="0" w:color="auto"/>
            <w:bottom w:val="none" w:sz="0" w:space="0" w:color="auto"/>
            <w:right w:val="none" w:sz="0" w:space="0" w:color="auto"/>
          </w:divBdr>
        </w:div>
      </w:divsChild>
    </w:div>
    <w:div w:id="766004738">
      <w:bodyDiv w:val="1"/>
      <w:marLeft w:val="0"/>
      <w:marRight w:val="0"/>
      <w:marTop w:val="0"/>
      <w:marBottom w:val="0"/>
      <w:divBdr>
        <w:top w:val="none" w:sz="0" w:space="0" w:color="auto"/>
        <w:left w:val="none" w:sz="0" w:space="0" w:color="auto"/>
        <w:bottom w:val="none" w:sz="0" w:space="0" w:color="auto"/>
        <w:right w:val="none" w:sz="0" w:space="0" w:color="auto"/>
      </w:divBdr>
    </w:div>
    <w:div w:id="774374090">
      <w:bodyDiv w:val="1"/>
      <w:marLeft w:val="0"/>
      <w:marRight w:val="0"/>
      <w:marTop w:val="0"/>
      <w:marBottom w:val="0"/>
      <w:divBdr>
        <w:top w:val="none" w:sz="0" w:space="0" w:color="auto"/>
        <w:left w:val="none" w:sz="0" w:space="0" w:color="auto"/>
        <w:bottom w:val="none" w:sz="0" w:space="0" w:color="auto"/>
        <w:right w:val="none" w:sz="0" w:space="0" w:color="auto"/>
      </w:divBdr>
      <w:divsChild>
        <w:div w:id="285619090">
          <w:marLeft w:val="0"/>
          <w:marRight w:val="0"/>
          <w:marTop w:val="480"/>
          <w:marBottom w:val="240"/>
          <w:divBdr>
            <w:top w:val="none" w:sz="0" w:space="0" w:color="auto"/>
            <w:left w:val="none" w:sz="0" w:space="0" w:color="auto"/>
            <w:bottom w:val="none" w:sz="0" w:space="0" w:color="auto"/>
            <w:right w:val="none" w:sz="0" w:space="0" w:color="auto"/>
          </w:divBdr>
        </w:div>
        <w:div w:id="35591671">
          <w:marLeft w:val="0"/>
          <w:marRight w:val="0"/>
          <w:marTop w:val="0"/>
          <w:marBottom w:val="567"/>
          <w:divBdr>
            <w:top w:val="none" w:sz="0" w:space="0" w:color="auto"/>
            <w:left w:val="none" w:sz="0" w:space="0" w:color="auto"/>
            <w:bottom w:val="none" w:sz="0" w:space="0" w:color="auto"/>
            <w:right w:val="none" w:sz="0" w:space="0" w:color="auto"/>
          </w:divBdr>
        </w:div>
      </w:divsChild>
    </w:div>
    <w:div w:id="1013192252">
      <w:bodyDiv w:val="1"/>
      <w:marLeft w:val="0"/>
      <w:marRight w:val="0"/>
      <w:marTop w:val="0"/>
      <w:marBottom w:val="0"/>
      <w:divBdr>
        <w:top w:val="none" w:sz="0" w:space="0" w:color="auto"/>
        <w:left w:val="none" w:sz="0" w:space="0" w:color="auto"/>
        <w:bottom w:val="none" w:sz="0" w:space="0" w:color="auto"/>
        <w:right w:val="none" w:sz="0" w:space="0" w:color="auto"/>
      </w:divBdr>
    </w:div>
    <w:div w:id="1024550953">
      <w:bodyDiv w:val="1"/>
      <w:marLeft w:val="0"/>
      <w:marRight w:val="0"/>
      <w:marTop w:val="0"/>
      <w:marBottom w:val="0"/>
      <w:divBdr>
        <w:top w:val="none" w:sz="0" w:space="0" w:color="auto"/>
        <w:left w:val="none" w:sz="0" w:space="0" w:color="auto"/>
        <w:bottom w:val="none" w:sz="0" w:space="0" w:color="auto"/>
        <w:right w:val="none" w:sz="0" w:space="0" w:color="auto"/>
      </w:divBdr>
    </w:div>
    <w:div w:id="1055471432">
      <w:bodyDiv w:val="1"/>
      <w:marLeft w:val="0"/>
      <w:marRight w:val="0"/>
      <w:marTop w:val="0"/>
      <w:marBottom w:val="0"/>
      <w:divBdr>
        <w:top w:val="none" w:sz="0" w:space="0" w:color="auto"/>
        <w:left w:val="none" w:sz="0" w:space="0" w:color="auto"/>
        <w:bottom w:val="none" w:sz="0" w:space="0" w:color="auto"/>
        <w:right w:val="none" w:sz="0" w:space="0" w:color="auto"/>
      </w:divBdr>
    </w:div>
    <w:div w:id="1148747613">
      <w:bodyDiv w:val="1"/>
      <w:marLeft w:val="0"/>
      <w:marRight w:val="0"/>
      <w:marTop w:val="0"/>
      <w:marBottom w:val="0"/>
      <w:divBdr>
        <w:top w:val="none" w:sz="0" w:space="0" w:color="auto"/>
        <w:left w:val="none" w:sz="0" w:space="0" w:color="auto"/>
        <w:bottom w:val="none" w:sz="0" w:space="0" w:color="auto"/>
        <w:right w:val="none" w:sz="0" w:space="0" w:color="auto"/>
      </w:divBdr>
    </w:div>
    <w:div w:id="170945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m.gov.lv/lv/diskusiju-dokument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s.razna@agentura.iem.gov.lv" TargetMode="External"/><Relationship Id="rId5" Type="http://schemas.openxmlformats.org/officeDocument/2006/relationships/webSettings" Target="webSettings.xml"/><Relationship Id="rId10" Type="http://schemas.openxmlformats.org/officeDocument/2006/relationships/hyperlink" Target="mailto:dmitrijs.homenko@vp.gov.lv" TargetMode="External"/><Relationship Id="rId4" Type="http://schemas.openxmlformats.org/officeDocument/2006/relationships/settings" Target="settings.xml"/><Relationship Id="rId9" Type="http://schemas.openxmlformats.org/officeDocument/2006/relationships/hyperlink" Target="mailto:inese.lodite@vp.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735B8-93C5-4F65-A5C6-936537CB2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9</Pages>
  <Words>12797</Words>
  <Characters>7295</Characters>
  <Application>Microsoft Office Word</Application>
  <DocSecurity>0</DocSecurity>
  <Lines>60</Lines>
  <Paragraphs>40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Ieroču, munīcijas un speciālo līdzekļu komerciālās aprites kārtība</vt:lpstr>
      <vt:lpstr>Ieroču, munīcijas un speciālo līdzekļu komerciālās aprites kārtība</vt:lpstr>
    </vt:vector>
  </TitlesOfParts>
  <Company>Microsoft</Company>
  <LinksUpToDate>false</LinksUpToDate>
  <CharactersWithSpaces>20052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Ieroču, munīcijas un speciālo līdzekļu komerciālās aprites kārtība</dc:title>
  <dc:subject>MK noteikumu sākotnējās ietekmes novērtējuma ziņojums (anotācija)</dc:subject>
  <dc:creator>Inese Lodīte</dc:creator>
  <dc:description>inese.lodite@vp.gov.lv, tālr.67075423</dc:description>
  <cp:lastModifiedBy>Inese Sproģe</cp:lastModifiedBy>
  <cp:revision>10</cp:revision>
  <cp:lastPrinted>2020-12-16T11:55:00Z</cp:lastPrinted>
  <dcterms:created xsi:type="dcterms:W3CDTF">2021-01-04T07:42:00Z</dcterms:created>
  <dcterms:modified xsi:type="dcterms:W3CDTF">2021-01-04T12:14:00Z</dcterms:modified>
</cp:coreProperties>
</file>