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Paziņojums par līdzdalības iespējām likumprojekta “Grozījumi Ieroču aprites likumā” izstrādes procesā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25.0" w:type="dxa"/>
        <w:jc w:val="left"/>
        <w:tblInd w:w="7.0" w:type="pct"/>
        <w:tblLayout w:type="fixed"/>
        <w:tblLook w:val="0000"/>
      </w:tblPr>
      <w:tblGrid>
        <w:gridCol w:w="887"/>
        <w:gridCol w:w="2799"/>
        <w:gridCol w:w="9639"/>
        <w:tblGridChange w:id="0">
          <w:tblGrid>
            <w:gridCol w:w="887"/>
            <w:gridCol w:w="2799"/>
            <w:gridCol w:w="9639"/>
          </w:tblGrid>
        </w:tblGridChange>
      </w:tblGrid>
      <w:tr>
        <w:trPr>
          <w:trHeight w:val="10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after="100" w:before="10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Dokumenta veids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Likumprojekts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Dokumenta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Likumprojekts “Grozījumi Ieroču aprites likumā” (turpmāk - Likumprojekts) </w:t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Politikas joma un nozare vai teritorija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Iekšlietu politika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Dokumenta mērķgrupas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Personas, kuras vēlēsies iegādāties ieroci, ieroču īpašnieki un Valsts policijas amatpersonas saistībā ar tiesībām likumā noteiktajos gadījumos izņemt ieročus, munīciju, to sastāvdaļas.</w:t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Dokumenta mērķis un sākotnēji identificētās problēmas būtība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Likumprojekta mērķis - nodrošināt Ministru kabineta 2018. gada 4. septembra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sēdes protokollēmumā (prot. Nr. 41, 28. §) noteikto uzdevumu izpildi. Administratīva sloga samazināšana fiziskajām un juridiskajām personām, kuras realizēs vai iegādāsies Latvijā reģistrētus šaujamieročus vai lielas enerģijas pneimatiskos ieročus.</w:t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Dokumenta izstrādes laiks un plānotā virzība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Normatīvajos aktos noteiktajā kārtībā.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Dokumenti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Likumprojekts un Likumprojekta sākotnējās ietekmes novērtējuma ziņojums (anotācija).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Sabiedrības pārstāvju iespējas līdzdarboties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Sabiedrības pārstāvji var līdzdarboties, rakstiski iesniedzot viedokli, iebildumus un priekšlikumus par izstrādāto Likumprojektu.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Pieteikšanās līdzdalībai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Viedokli, iebildumus un priekšlikumus lūgums iesniegt līdz 2021. gada 11. janvārim,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nosūtot tos uz elektroniskā pasta adresi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andris.mellkers@vp.gov.lv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Iesniedzot viedokli, iebildumus vai priekšlikumus par Likumprojektu, jānorāda iesniedzēja vārds, uzvārds, institūcijas nosaukums, kuru pārstāv (ja tāda ir), adrese, tālruņa numurs un elektroniskā pasta adrese.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100" w:before="10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Cita informācija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100" w:before="10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Atbildīgā amatpersona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Valsts policijas Galvenās kārtības policijas pārvaldes Koordinācijas un kontroles pārvaldes Licencēšanas un atļauju sistēmas biroja priekšnieka vietnieks, pulkvežleitnants A.Melkers, 67208232,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andris.melkers@vp.gov.lv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21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26705"/>
    <w:pPr>
      <w:spacing w:after="200" w:line="276" w:lineRule="auto"/>
    </w:pPr>
    <w:rPr>
      <w:sz w:val="22"/>
      <w:szCs w:val="22"/>
      <w:lang w:val="lv-LV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326705"/>
    <w:rPr>
      <w:color w:val="0563c1"/>
      <w:u w:val="single"/>
    </w:rPr>
  </w:style>
  <w:style w:type="character" w:styleId="apple-converted-space" w:customStyle="1">
    <w:name w:val="apple-converted-space"/>
    <w:uiPriority w:val="99"/>
    <w:rsid w:val="00326705"/>
    <w:rPr>
      <w:rFonts w:cs="Times New Roman"/>
    </w:rPr>
  </w:style>
  <w:style w:type="paragraph" w:styleId="NoSpacing">
    <w:name w:val="No Spacing"/>
    <w:uiPriority w:val="1"/>
    <w:qFormat w:val="1"/>
    <w:rsid w:val="000A356D"/>
    <w:pPr>
      <w:widowControl w:val="0"/>
    </w:pPr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dris.mellkers@vp.gov.lv" TargetMode="External"/><Relationship Id="rId8" Type="http://schemas.openxmlformats.org/officeDocument/2006/relationships/hyperlink" Target="mailto:andris.melkers@v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AhZ70CKOG+QUAxB1Eyw9TPZ/Hg==">AMUW2mUY1z6dU49GWBiiPPh00cqFzn73/vssRgOsNXxyfV1/QbkldXrrhbW3DpIUT1mHUzt26vV1z/SinUSh3aw4W6t0f4U4K029Rg1cvFxdojbFxQ810bQSvzDC72HoeYLFMFWieuAz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2020-12-03T10:47:00Z</dcterms:created>
  <dc:creator>Rinalds Belijs</dc:creator>
</cp:coreProperties>
</file>