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F94" w:rsidRPr="00AB0F94" w:rsidRDefault="00AB0F94" w:rsidP="00D8073D">
      <w:pPr>
        <w:spacing w:after="0" w:line="240" w:lineRule="auto"/>
        <w:jc w:val="center"/>
        <w:rPr>
          <w:rFonts w:ascii="Times New Roman" w:hAnsi="Times New Roman"/>
          <w:b/>
          <w:sz w:val="28"/>
          <w:szCs w:val="28"/>
        </w:rPr>
      </w:pPr>
      <w:r w:rsidRPr="00AB0F94">
        <w:rPr>
          <w:rFonts w:ascii="Times New Roman" w:hAnsi="Times New Roman"/>
          <w:b/>
          <w:sz w:val="28"/>
          <w:szCs w:val="28"/>
        </w:rPr>
        <w:t xml:space="preserve">Paziņojums par līdzdalības iespējām Ministru kabineta noteikumu projekta </w:t>
      </w:r>
      <w:r w:rsidRPr="00AB0F94">
        <w:rPr>
          <w:rFonts w:ascii="Times New Roman" w:hAnsi="Times New Roman"/>
          <w:b/>
          <w:bCs/>
          <w:sz w:val="28"/>
          <w:szCs w:val="28"/>
        </w:rPr>
        <w:t>“</w:t>
      </w:r>
      <w:r w:rsidRPr="00AB0F94">
        <w:rPr>
          <w:rFonts w:ascii="Times New Roman" w:hAnsi="Times New Roman"/>
          <w:b/>
          <w:sz w:val="28"/>
          <w:szCs w:val="28"/>
        </w:rPr>
        <w:t>Kārtība, kādā pieprasa un sniedz kredītiestādes rīcībā esošās neizpaužamās ziņas” izstrādes procesā</w:t>
      </w:r>
    </w:p>
    <w:p w:rsidR="00AB0F94" w:rsidRDefault="00AB0F94" w:rsidP="00D8073D">
      <w:pPr>
        <w:spacing w:after="0" w:line="240" w:lineRule="auto"/>
        <w:jc w:val="center"/>
        <w:rPr>
          <w:rFonts w:ascii="Times New Roman" w:hAnsi="Times New Roman"/>
          <w:sz w:val="10"/>
          <w:szCs w:val="10"/>
        </w:rPr>
      </w:pPr>
    </w:p>
    <w:tbl>
      <w:tblPr>
        <w:tblW w:w="0" w:type="auto"/>
        <w:tblCellSpacing w:w="15"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87"/>
        <w:gridCol w:w="3819"/>
        <w:gridCol w:w="9447"/>
      </w:tblGrid>
      <w:tr w:rsidR="00AB0F94" w:rsidTr="00AB0F94">
        <w:trPr>
          <w:trHeight w:val="105"/>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p>
        </w:tc>
        <w:tc>
          <w:tcPr>
            <w:tcW w:w="3789"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veids</w:t>
            </w:r>
          </w:p>
        </w:tc>
        <w:tc>
          <w:tcPr>
            <w:tcW w:w="940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Ministru kabineta n</w:t>
            </w:r>
            <w:r>
              <w:rPr>
                <w:rFonts w:ascii="Times New Roman" w:eastAsia="Times New Roman" w:hAnsi="Times New Roman"/>
                <w:sz w:val="24"/>
                <w:szCs w:val="24"/>
                <w:lang w:eastAsia="en-US"/>
              </w:rPr>
              <w:t>oteikumu projekts.</w:t>
            </w:r>
          </w:p>
        </w:tc>
      </w:tr>
      <w:tr w:rsidR="00AB0F94" w:rsidTr="00AB0F94">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p>
        </w:tc>
        <w:tc>
          <w:tcPr>
            <w:tcW w:w="3789"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nosaukums</w:t>
            </w:r>
          </w:p>
        </w:tc>
        <w:tc>
          <w:tcPr>
            <w:tcW w:w="9402" w:type="dxa"/>
            <w:tcBorders>
              <w:top w:val="outset" w:sz="6" w:space="0" w:color="auto"/>
              <w:left w:val="outset" w:sz="6" w:space="0" w:color="auto"/>
              <w:bottom w:val="outset" w:sz="6" w:space="0" w:color="auto"/>
              <w:right w:val="outset" w:sz="6" w:space="0" w:color="auto"/>
            </w:tcBorders>
            <w:hideMark/>
          </w:tcPr>
          <w:p w:rsidR="00AB0F94" w:rsidRPr="00AB0F94" w:rsidRDefault="00AB0F94" w:rsidP="00D8073D">
            <w:pPr>
              <w:spacing w:after="0" w:line="240" w:lineRule="auto"/>
              <w:ind w:firstLine="598"/>
              <w:jc w:val="both"/>
              <w:rPr>
                <w:rFonts w:ascii="Times New Roman" w:eastAsia="Times New Roman" w:hAnsi="Times New Roman"/>
                <w:sz w:val="24"/>
                <w:szCs w:val="24"/>
                <w:lang w:eastAsia="en-US"/>
              </w:rPr>
            </w:pPr>
            <w:r w:rsidRPr="00AB0F94">
              <w:rPr>
                <w:rFonts w:ascii="Times New Roman" w:hAnsi="Times New Roman"/>
                <w:sz w:val="24"/>
                <w:szCs w:val="24"/>
              </w:rPr>
              <w:t>Mini</w:t>
            </w:r>
            <w:r w:rsidR="00D8073D">
              <w:rPr>
                <w:rFonts w:ascii="Times New Roman" w:hAnsi="Times New Roman"/>
                <w:sz w:val="24"/>
                <w:szCs w:val="24"/>
              </w:rPr>
              <w:t>stru kabineta noteikumu projekts</w:t>
            </w:r>
            <w:r w:rsidRPr="00AB0F94">
              <w:rPr>
                <w:rFonts w:ascii="Times New Roman" w:hAnsi="Times New Roman"/>
                <w:sz w:val="24"/>
                <w:szCs w:val="24"/>
              </w:rPr>
              <w:t xml:space="preserve"> </w:t>
            </w:r>
            <w:r w:rsidRPr="00AB0F94">
              <w:rPr>
                <w:rFonts w:ascii="Times New Roman" w:hAnsi="Times New Roman"/>
                <w:bCs/>
                <w:sz w:val="24"/>
                <w:szCs w:val="24"/>
              </w:rPr>
              <w:t>“</w:t>
            </w:r>
            <w:r w:rsidRPr="00AB0F94">
              <w:rPr>
                <w:rFonts w:ascii="Times New Roman" w:hAnsi="Times New Roman"/>
                <w:sz w:val="24"/>
                <w:szCs w:val="24"/>
              </w:rPr>
              <w:t>Kārtība, kādā pieprasa un sniedz kredītiestādes rīcībā esošās neizpaužamās ziņas”</w:t>
            </w:r>
            <w:r>
              <w:rPr>
                <w:rFonts w:ascii="Times New Roman" w:hAnsi="Times New Roman"/>
                <w:sz w:val="24"/>
                <w:szCs w:val="24"/>
              </w:rPr>
              <w:t xml:space="preserve"> (turpmāk – projekts)</w:t>
            </w:r>
          </w:p>
        </w:tc>
      </w:tr>
      <w:tr w:rsidR="00AB0F94" w:rsidTr="00AB0F94">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p>
        </w:tc>
        <w:tc>
          <w:tcPr>
            <w:tcW w:w="3789"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Politikas joma un nozare vai teritorija</w:t>
            </w:r>
          </w:p>
        </w:tc>
        <w:tc>
          <w:tcPr>
            <w:tcW w:w="940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Iekšlietu politika.</w:t>
            </w:r>
          </w:p>
        </w:tc>
      </w:tr>
      <w:tr w:rsidR="00AB0F94" w:rsidTr="00AB0F94">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4.</w:t>
            </w:r>
          </w:p>
        </w:tc>
        <w:tc>
          <w:tcPr>
            <w:tcW w:w="3789"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mērķgrupas</w:t>
            </w:r>
          </w:p>
        </w:tc>
        <w:tc>
          <w:tcPr>
            <w:tcW w:w="9402" w:type="dxa"/>
            <w:tcBorders>
              <w:top w:val="outset" w:sz="6" w:space="0" w:color="auto"/>
              <w:left w:val="outset" w:sz="6" w:space="0" w:color="auto"/>
              <w:bottom w:val="outset" w:sz="6" w:space="0" w:color="auto"/>
              <w:right w:val="outset" w:sz="6" w:space="0" w:color="auto"/>
            </w:tcBorders>
            <w:hideMark/>
          </w:tcPr>
          <w:p w:rsidR="00AB0F94" w:rsidRPr="00AB0F94" w:rsidRDefault="00AB0F94" w:rsidP="00D8073D">
            <w:pPr>
              <w:spacing w:after="0" w:line="240" w:lineRule="auto"/>
              <w:ind w:firstLine="598"/>
              <w:jc w:val="both"/>
              <w:rPr>
                <w:rFonts w:ascii="Times New Roman" w:eastAsia="Times New Roman" w:hAnsi="Times New Roman"/>
                <w:sz w:val="24"/>
                <w:szCs w:val="24"/>
                <w:lang w:eastAsia="en-US"/>
              </w:rPr>
            </w:pPr>
            <w:r w:rsidRPr="00AB0F94">
              <w:rPr>
                <w:rFonts w:ascii="Times New Roman" w:hAnsi="Times New Roman"/>
                <w:sz w:val="24"/>
                <w:szCs w:val="24"/>
              </w:rPr>
              <w:t>Operatīvās darbības subjekti, procesa virzītāji, Iekšlietu ministrijas Informācijas centrs, Valsts reģionālās attīstības aģentūra, Finanšu izlūkošanas dienests, kredītiestādes.</w:t>
            </w:r>
          </w:p>
        </w:tc>
      </w:tr>
      <w:tr w:rsidR="00AB0F94" w:rsidTr="00AB0F94">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p>
        </w:tc>
        <w:tc>
          <w:tcPr>
            <w:tcW w:w="3789"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mērķis un sākotnēji identificētās problēmas būtība</w:t>
            </w:r>
          </w:p>
        </w:tc>
        <w:tc>
          <w:tcPr>
            <w:tcW w:w="9402" w:type="dxa"/>
            <w:tcBorders>
              <w:top w:val="outset" w:sz="6" w:space="0" w:color="auto"/>
              <w:left w:val="outset" w:sz="6" w:space="0" w:color="auto"/>
              <w:bottom w:val="outset" w:sz="6" w:space="0" w:color="auto"/>
              <w:right w:val="outset" w:sz="6" w:space="0" w:color="auto"/>
            </w:tcBorders>
            <w:hideMark/>
          </w:tcPr>
          <w:p w:rsidR="00AB0F94" w:rsidRPr="00AB0F94" w:rsidRDefault="00AB0F94" w:rsidP="00D8073D">
            <w:pPr>
              <w:shd w:val="clear" w:color="auto" w:fill="FFFFFF"/>
              <w:spacing w:after="0" w:line="240" w:lineRule="auto"/>
              <w:ind w:firstLine="593"/>
              <w:jc w:val="both"/>
              <w:rPr>
                <w:rFonts w:ascii="Times New Roman" w:hAnsi="Times New Roman"/>
                <w:sz w:val="24"/>
                <w:szCs w:val="24"/>
              </w:rPr>
            </w:pPr>
            <w:r>
              <w:rPr>
                <w:rFonts w:ascii="Times New Roman" w:hAnsi="Times New Roman"/>
                <w:sz w:val="24"/>
                <w:szCs w:val="24"/>
              </w:rPr>
              <w:t>Projekta</w:t>
            </w:r>
            <w:r w:rsidRPr="00AB0F94">
              <w:rPr>
                <w:rFonts w:ascii="Times New Roman" w:hAnsi="Times New Roman"/>
                <w:sz w:val="24"/>
                <w:szCs w:val="24"/>
              </w:rPr>
              <w:t xml:space="preserve"> mērķis ir noteikt vienveidīgu un skaidru rīcību procesa virzītājiem, operatīvās darbības subjektiem un kredītiestādēm, gadījumos, kad tiek pieprasītas un sniegtas kredītiestādes rīcībā esošās neizpaužamās ziņas, un ieviest tehnisko risinājumu, kas datu apmaiņu starp minētajiem subjektiem padarīs ātrāku un vienkāršāku. </w:t>
            </w:r>
          </w:p>
          <w:p w:rsidR="00AB0F94" w:rsidRPr="00AB0F94" w:rsidRDefault="00AB0F94" w:rsidP="00D8073D">
            <w:pPr>
              <w:shd w:val="clear" w:color="auto" w:fill="FFFFFF"/>
              <w:spacing w:after="0" w:line="240" w:lineRule="auto"/>
              <w:ind w:firstLine="593"/>
              <w:jc w:val="both"/>
              <w:rPr>
                <w:rFonts w:ascii="Times New Roman" w:hAnsi="Times New Roman"/>
                <w:sz w:val="24"/>
                <w:szCs w:val="24"/>
              </w:rPr>
            </w:pPr>
            <w:r w:rsidRPr="00AB0F94">
              <w:rPr>
                <w:rFonts w:ascii="Times New Roman" w:hAnsi="Times New Roman"/>
                <w:sz w:val="24"/>
                <w:szCs w:val="24"/>
              </w:rPr>
              <w:t>Ņemot vērā minēto, projekts paredz noteikt kārtību, kādā procesa virzītājs un operatīvās darbības subjekts pieprasa un kredītiestāde sniedz tās rīcībā esošās neizpaužamās ziņas, arī ziņas darījuma pārraudzības gadījumā (turpmāk – datu apmaiņa), šo ziņu sniegšanas termiņu, pieprasījuma veidlapas paraugu un mašīnlasāmo datu struktūru.</w:t>
            </w:r>
          </w:p>
          <w:p w:rsidR="00AB0F94" w:rsidRPr="00AB0F94" w:rsidRDefault="00AB0F94" w:rsidP="00D8073D">
            <w:pPr>
              <w:pStyle w:val="ListParagraph"/>
              <w:ind w:left="30" w:firstLine="567"/>
              <w:jc w:val="both"/>
              <w:rPr>
                <w:bCs/>
              </w:rPr>
            </w:pPr>
            <w:r w:rsidRPr="00AB0F94">
              <w:rPr>
                <w:bCs/>
              </w:rPr>
              <w:t>Projektā ir noteikti vairāki datu apmaiņas kanāli:</w:t>
            </w:r>
          </w:p>
          <w:p w:rsidR="00AB0F94" w:rsidRPr="00AB0F94" w:rsidRDefault="00AB0F94" w:rsidP="00D8073D">
            <w:pPr>
              <w:pStyle w:val="ListParagraph"/>
              <w:numPr>
                <w:ilvl w:val="0"/>
                <w:numId w:val="1"/>
              </w:numPr>
              <w:ind w:left="30" w:firstLine="567"/>
              <w:jc w:val="both"/>
            </w:pPr>
            <w:r w:rsidRPr="00AB0F94">
              <w:rPr>
                <w:bCs/>
              </w:rPr>
              <w:t>datu apmaiņa, izmantojot Kriminālprocesa informācijas sistēmu un Datu izplatīšanas tīklu. Šo kanālu plānots izmantot attiecībā uz procesa virzītājiem un nākotnē, kad tiks rasts atbilstošs tehniskais risinājums, arī uz operatīvās darbības subjektiem;</w:t>
            </w:r>
          </w:p>
          <w:p w:rsidR="00AB0F94" w:rsidRPr="00AB0F94" w:rsidRDefault="00AB0F94" w:rsidP="00D8073D">
            <w:pPr>
              <w:pStyle w:val="ListParagraph"/>
              <w:numPr>
                <w:ilvl w:val="0"/>
                <w:numId w:val="1"/>
              </w:numPr>
              <w:ind w:left="30" w:firstLine="567"/>
              <w:jc w:val="both"/>
            </w:pPr>
            <w:r w:rsidRPr="00AB0F94">
              <w:t>datu apmaiņa ar elektroniskā pasta starpniecību, izmantojot transporta slāņa drošību (</w:t>
            </w:r>
            <w:r w:rsidRPr="00AB0F94">
              <w:rPr>
                <w:i/>
                <w:iCs/>
              </w:rPr>
              <w:t>TLS</w:t>
            </w:r>
            <w:r w:rsidRPr="00AB0F94">
              <w:t>). Šo kanālu plānots izmantot, ja nebūs uzsākta datu apmaiņa ar Datu izplatīšanas tīklu (operatīvās darbības subjektiem, līdz brīdim, kad tiks rasts cits tehniskais risinājums), vai, ja tiks konstatēts neplānots Datu izplatīšanas tīkla darbības pārtraukums, ko nav iespējams novērst vienas darbdienas laikā;</w:t>
            </w:r>
          </w:p>
          <w:p w:rsidR="00AB0F94" w:rsidRPr="00AB0F94" w:rsidRDefault="00AB0F94" w:rsidP="00D8073D">
            <w:pPr>
              <w:pStyle w:val="ListParagraph"/>
              <w:numPr>
                <w:ilvl w:val="0"/>
                <w:numId w:val="1"/>
              </w:numPr>
              <w:ind w:left="30" w:firstLine="567"/>
              <w:jc w:val="both"/>
            </w:pPr>
            <w:r w:rsidRPr="00AB0F94">
              <w:t xml:space="preserve">datu apmaiņa ar Finanšu izlūkošanas dienesta starpniecību. Šo kanālu varēs izmantot procesa virzītāji un operatīvās darbības subjekti, īpašos gadījumos, kad </w:t>
            </w:r>
            <w:r w:rsidRPr="00AB0F94">
              <w:rPr>
                <w:bCs/>
              </w:rPr>
              <w:t>informācijas atklāšana par kriminālprocesa vai operatīvās darbības faktu var apdraudēt attiecīgi kriminālprocesa vai operatīvās darbības intereses</w:t>
            </w:r>
            <w:r w:rsidRPr="00AB0F94">
              <w:t>.</w:t>
            </w:r>
          </w:p>
        </w:tc>
      </w:tr>
      <w:tr w:rsidR="00AB0F94" w:rsidTr="00AB0F94">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6.</w:t>
            </w:r>
          </w:p>
        </w:tc>
        <w:tc>
          <w:tcPr>
            <w:tcW w:w="3789"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Dokumenta izstrādes laiks un plānotā virzība</w:t>
            </w:r>
          </w:p>
        </w:tc>
        <w:tc>
          <w:tcPr>
            <w:tcW w:w="9402" w:type="dxa"/>
            <w:tcBorders>
              <w:top w:val="outset" w:sz="6" w:space="0" w:color="auto"/>
              <w:left w:val="outset" w:sz="6" w:space="0" w:color="auto"/>
              <w:bottom w:val="outset" w:sz="6" w:space="0" w:color="auto"/>
              <w:right w:val="outset" w:sz="6" w:space="0" w:color="auto"/>
            </w:tcBorders>
            <w:hideMark/>
          </w:tcPr>
          <w:p w:rsidR="00AB0F94" w:rsidRPr="00AB0F94" w:rsidRDefault="00AB0F94" w:rsidP="00D8073D">
            <w:pPr>
              <w:spacing w:after="0" w:line="240" w:lineRule="auto"/>
              <w:jc w:val="both"/>
              <w:rPr>
                <w:rFonts w:ascii="Times New Roman" w:hAnsi="Times New Roman"/>
                <w:sz w:val="24"/>
                <w:szCs w:val="24"/>
              </w:rPr>
            </w:pPr>
            <w:r w:rsidRPr="00AB0F94">
              <w:rPr>
                <w:rFonts w:ascii="Times New Roman" w:hAnsi="Times New Roman"/>
                <w:sz w:val="24"/>
                <w:szCs w:val="24"/>
              </w:rPr>
              <w:t>Projekta spēkā stāšanās laiks – 2021. gada 1. jūlijs.</w:t>
            </w:r>
          </w:p>
        </w:tc>
      </w:tr>
      <w:tr w:rsidR="00AB0F94" w:rsidTr="00AB0F94">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p>
        </w:tc>
        <w:tc>
          <w:tcPr>
            <w:tcW w:w="3789"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Dokumenti</w:t>
            </w:r>
          </w:p>
        </w:tc>
        <w:tc>
          <w:tcPr>
            <w:tcW w:w="940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P</w:t>
            </w:r>
            <w:r>
              <w:rPr>
                <w:rFonts w:ascii="Times New Roman" w:eastAsia="Times New Roman" w:hAnsi="Times New Roman"/>
                <w:sz w:val="24"/>
                <w:szCs w:val="24"/>
                <w:lang w:eastAsia="en-US"/>
              </w:rPr>
              <w:t>rojekts</w:t>
            </w:r>
            <w:r>
              <w:rPr>
                <w:rFonts w:ascii="Times New Roman" w:eastAsia="Times New Roman" w:hAnsi="Times New Roman"/>
                <w:sz w:val="24"/>
                <w:szCs w:val="24"/>
                <w:lang w:eastAsia="en-US"/>
              </w:rPr>
              <w:t xml:space="preserve"> ar pielikumiem</w:t>
            </w:r>
            <w:r>
              <w:rPr>
                <w:rFonts w:ascii="Times New Roman" w:eastAsia="Times New Roman" w:hAnsi="Times New Roman"/>
                <w:sz w:val="24"/>
                <w:szCs w:val="24"/>
                <w:lang w:eastAsia="en-US"/>
              </w:rPr>
              <w:t xml:space="preserve">, </w:t>
            </w:r>
            <w:hyperlink r:id="rId7" w:history="1">
              <w:r>
                <w:rPr>
                  <w:rStyle w:val="Hyperlink"/>
                  <w:rFonts w:ascii="Times New Roman" w:eastAsia="Times New Roman" w:hAnsi="Times New Roman"/>
                  <w:color w:val="auto"/>
                  <w:sz w:val="24"/>
                  <w:szCs w:val="24"/>
                  <w:u w:val="none"/>
                  <w:lang w:eastAsia="en-US"/>
                </w:rPr>
                <w:t>anotācija</w:t>
              </w:r>
            </w:hyperlink>
            <w:r>
              <w:rPr>
                <w:rStyle w:val="Hyperlink"/>
                <w:rFonts w:ascii="Times New Roman" w:eastAsia="Times New Roman" w:hAnsi="Times New Roman"/>
                <w:color w:val="auto"/>
                <w:sz w:val="24"/>
                <w:szCs w:val="24"/>
                <w:u w:val="none"/>
                <w:lang w:eastAsia="en-US"/>
              </w:rPr>
              <w:t>.</w:t>
            </w:r>
          </w:p>
        </w:tc>
      </w:tr>
      <w:tr w:rsidR="00AB0F94" w:rsidTr="00AB0F94">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p>
        </w:tc>
        <w:tc>
          <w:tcPr>
            <w:tcW w:w="3789"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Sabiedrības pārstāvju iespējas līdzdarboties</w:t>
            </w:r>
          </w:p>
        </w:tc>
        <w:tc>
          <w:tcPr>
            <w:tcW w:w="940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jc w:val="both"/>
              <w:rPr>
                <w:rFonts w:ascii="Times New Roman" w:eastAsia="Times New Roman" w:hAnsi="Times New Roman"/>
                <w:sz w:val="24"/>
                <w:szCs w:val="24"/>
                <w:lang w:eastAsia="en-US"/>
              </w:rPr>
            </w:pPr>
            <w:r>
              <w:rPr>
                <w:rFonts w:ascii="Times New Roman" w:hAnsi="Times New Roman"/>
                <w:sz w:val="24"/>
                <w:szCs w:val="24"/>
                <w:lang w:eastAsia="en-US"/>
              </w:rPr>
              <w:t xml:space="preserve">Rakstiski iesniedzot viedokli, iebildumus un priekšlikumus par izstrādāto </w:t>
            </w:r>
            <w:r>
              <w:rPr>
                <w:rFonts w:ascii="Times New Roman" w:eastAsia="Times New Roman" w:hAnsi="Times New Roman"/>
                <w:sz w:val="24"/>
                <w:szCs w:val="24"/>
                <w:lang w:eastAsia="en-US"/>
              </w:rPr>
              <w:t>projektu</w:t>
            </w:r>
            <w:r>
              <w:rPr>
                <w:rFonts w:ascii="Times New Roman" w:hAnsi="Times New Roman"/>
                <w:sz w:val="24"/>
                <w:szCs w:val="24"/>
                <w:lang w:eastAsia="en-US"/>
              </w:rPr>
              <w:t>.</w:t>
            </w:r>
          </w:p>
        </w:tc>
      </w:tr>
      <w:tr w:rsidR="00AB0F94" w:rsidTr="00AB0F94">
        <w:trPr>
          <w:trHeight w:val="1128"/>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9.</w:t>
            </w:r>
          </w:p>
        </w:tc>
        <w:tc>
          <w:tcPr>
            <w:tcW w:w="3789"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Pieteikšanās līdzdalībai</w:t>
            </w:r>
          </w:p>
        </w:tc>
        <w:tc>
          <w:tcPr>
            <w:tcW w:w="940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ind w:firstLine="598"/>
              <w:jc w:val="both"/>
              <w:rPr>
                <w:rFonts w:ascii="Times New Roman" w:hAnsi="Times New Roman"/>
                <w:sz w:val="24"/>
                <w:szCs w:val="24"/>
                <w:lang w:eastAsia="en-US"/>
              </w:rPr>
            </w:pPr>
            <w:r>
              <w:rPr>
                <w:rFonts w:ascii="Times New Roman" w:hAnsi="Times New Roman"/>
                <w:sz w:val="24"/>
                <w:szCs w:val="24"/>
                <w:lang w:eastAsia="en-US"/>
              </w:rPr>
              <w:t xml:space="preserve">Viedokļus, iebildumus un priekšlikumus lūgums iesniegt </w:t>
            </w:r>
            <w:r>
              <w:rPr>
                <w:rFonts w:ascii="Times New Roman" w:hAnsi="Times New Roman"/>
                <w:b/>
                <w:sz w:val="24"/>
                <w:szCs w:val="24"/>
                <w:lang w:eastAsia="en-US"/>
              </w:rPr>
              <w:t>līdz 13.12</w:t>
            </w:r>
            <w:r>
              <w:rPr>
                <w:rFonts w:ascii="Times New Roman" w:hAnsi="Times New Roman"/>
                <w:b/>
                <w:sz w:val="24"/>
                <w:szCs w:val="24"/>
                <w:lang w:eastAsia="en-US"/>
              </w:rPr>
              <w:t xml:space="preserve">.2020., </w:t>
            </w:r>
            <w:r>
              <w:rPr>
                <w:rFonts w:ascii="Times New Roman" w:hAnsi="Times New Roman"/>
                <w:sz w:val="24"/>
                <w:szCs w:val="24"/>
                <w:lang w:eastAsia="en-US"/>
              </w:rPr>
              <w:t xml:space="preserve">nosūtot tos uz elektroniskā pasta adresi </w:t>
            </w:r>
            <w:proofErr w:type="spellStart"/>
            <w:r>
              <w:rPr>
                <w:rStyle w:val="Hyperlink"/>
                <w:rFonts w:ascii="Times New Roman" w:hAnsi="Times New Roman"/>
                <w:sz w:val="24"/>
                <w:szCs w:val="24"/>
                <w:lang w:eastAsia="en-US"/>
              </w:rPr>
              <w:t>inese.sproge@iem.gov.lv</w:t>
            </w:r>
            <w:proofErr w:type="spellEnd"/>
            <w:r>
              <w:rPr>
                <w:rFonts w:ascii="Times New Roman" w:hAnsi="Times New Roman"/>
                <w:sz w:val="24"/>
                <w:szCs w:val="24"/>
                <w:lang w:eastAsia="en-US"/>
              </w:rPr>
              <w:t xml:space="preserve">. </w:t>
            </w:r>
            <w:r>
              <w:rPr>
                <w:rFonts w:ascii="Times New Roman" w:eastAsia="Times New Roman" w:hAnsi="Times New Roman"/>
                <w:sz w:val="24"/>
                <w:szCs w:val="24"/>
                <w:lang w:eastAsia="en-US"/>
              </w:rPr>
              <w:t xml:space="preserve">Iesniedzot viedokli, iebildumus </w:t>
            </w:r>
            <w:r>
              <w:rPr>
                <w:rFonts w:ascii="Times New Roman" w:eastAsia="Times New Roman" w:hAnsi="Times New Roman"/>
                <w:sz w:val="24"/>
                <w:szCs w:val="24"/>
                <w:lang w:eastAsia="en-US"/>
              </w:rPr>
              <w:t xml:space="preserve">vai priekšlikumus par </w:t>
            </w:r>
            <w:r>
              <w:rPr>
                <w:rFonts w:ascii="Times New Roman" w:eastAsia="Times New Roman" w:hAnsi="Times New Roman"/>
                <w:sz w:val="24"/>
                <w:szCs w:val="24"/>
                <w:lang w:eastAsia="en-US"/>
              </w:rPr>
              <w:t>projektu, jānorāda iesniedzēja vārds, uzvārds, institūcijas nosaukums, kuru pārstāv (ja tāda ir), tālruņa numurs un e-pasta adrese.</w:t>
            </w:r>
            <w:bookmarkStart w:id="0" w:name="_GoBack"/>
            <w:bookmarkEnd w:id="0"/>
          </w:p>
        </w:tc>
      </w:tr>
      <w:tr w:rsidR="00AB0F94" w:rsidTr="00AB0F94">
        <w:trPr>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10.</w:t>
            </w:r>
          </w:p>
        </w:tc>
        <w:tc>
          <w:tcPr>
            <w:tcW w:w="3789"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Cita informācija</w:t>
            </w:r>
          </w:p>
        </w:tc>
        <w:tc>
          <w:tcPr>
            <w:tcW w:w="940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Nav.</w:t>
            </w:r>
          </w:p>
        </w:tc>
      </w:tr>
      <w:tr w:rsidR="00AB0F94" w:rsidTr="00AB0F94">
        <w:trPr>
          <w:trHeight w:val="495"/>
          <w:tblCellSpacing w:w="15" w:type="dxa"/>
        </w:trPr>
        <w:tc>
          <w:tcPr>
            <w:tcW w:w="842"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11.</w:t>
            </w:r>
          </w:p>
        </w:tc>
        <w:tc>
          <w:tcPr>
            <w:tcW w:w="3789" w:type="dxa"/>
            <w:tcBorders>
              <w:top w:val="outset" w:sz="6" w:space="0" w:color="auto"/>
              <w:left w:val="outset" w:sz="6" w:space="0" w:color="auto"/>
              <w:bottom w:val="outset" w:sz="6" w:space="0" w:color="auto"/>
              <w:right w:val="outset" w:sz="6" w:space="0" w:color="auto"/>
            </w:tcBorders>
            <w:hideMark/>
          </w:tcPr>
          <w:p w:rsidR="00AB0F94" w:rsidRDefault="00AB0F94" w:rsidP="00D8073D">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Atbildīgā amatpersona</w:t>
            </w:r>
          </w:p>
        </w:tc>
        <w:tc>
          <w:tcPr>
            <w:tcW w:w="9402" w:type="dxa"/>
            <w:tcBorders>
              <w:top w:val="outset" w:sz="6" w:space="0" w:color="auto"/>
              <w:left w:val="outset" w:sz="6" w:space="0" w:color="auto"/>
              <w:bottom w:val="outset" w:sz="6" w:space="0" w:color="auto"/>
              <w:right w:val="outset" w:sz="6" w:space="0" w:color="auto"/>
            </w:tcBorders>
            <w:hideMark/>
          </w:tcPr>
          <w:p w:rsidR="00AB0F94" w:rsidRPr="00AB0F94" w:rsidRDefault="00AB0F94" w:rsidP="00D8073D">
            <w:pPr>
              <w:pStyle w:val="HTMLPreformatted"/>
              <w:rPr>
                <w:rFonts w:ascii="Times New Roman" w:hAnsi="Times New Roman" w:cs="Times New Roman"/>
                <w:sz w:val="24"/>
                <w:szCs w:val="24"/>
              </w:rPr>
            </w:pPr>
            <w:r w:rsidRPr="00AB0F94">
              <w:rPr>
                <w:rFonts w:ascii="Times New Roman" w:hAnsi="Times New Roman" w:cs="Times New Roman"/>
                <w:sz w:val="24"/>
                <w:szCs w:val="24"/>
              </w:rPr>
              <w:t>Inese Sproģe</w:t>
            </w:r>
            <w:r>
              <w:rPr>
                <w:rFonts w:ascii="Times New Roman" w:hAnsi="Times New Roman" w:cs="Times New Roman"/>
                <w:sz w:val="24"/>
                <w:szCs w:val="24"/>
              </w:rPr>
              <w:t xml:space="preserve">, </w:t>
            </w:r>
            <w:r w:rsidRPr="00AB0F94">
              <w:rPr>
                <w:rFonts w:ascii="Times New Roman" w:hAnsi="Times New Roman" w:cs="Times New Roman"/>
                <w:sz w:val="24"/>
                <w:szCs w:val="24"/>
              </w:rPr>
              <w:t>Iekšlietu ministrijas</w:t>
            </w:r>
            <w:r>
              <w:rPr>
                <w:rFonts w:ascii="Times New Roman" w:hAnsi="Times New Roman" w:cs="Times New Roman"/>
                <w:sz w:val="24"/>
                <w:szCs w:val="24"/>
              </w:rPr>
              <w:t xml:space="preserve"> </w:t>
            </w:r>
            <w:r w:rsidRPr="00AB0F94">
              <w:rPr>
                <w:rFonts w:ascii="Times New Roman" w:hAnsi="Times New Roman" w:cs="Times New Roman"/>
                <w:sz w:val="24"/>
                <w:szCs w:val="24"/>
              </w:rPr>
              <w:t>Juridiskā departamenta</w:t>
            </w:r>
            <w:r>
              <w:rPr>
                <w:rFonts w:ascii="Times New Roman" w:hAnsi="Times New Roman" w:cs="Times New Roman"/>
                <w:sz w:val="24"/>
                <w:szCs w:val="24"/>
              </w:rPr>
              <w:t xml:space="preserve"> </w:t>
            </w:r>
            <w:r w:rsidRPr="00AB0F94">
              <w:rPr>
                <w:rFonts w:ascii="Times New Roman" w:hAnsi="Times New Roman" w:cs="Times New Roman"/>
                <w:sz w:val="24"/>
                <w:szCs w:val="24"/>
              </w:rPr>
              <w:t>Normatīvo aktu nodaļas juriste</w:t>
            </w:r>
            <w:r>
              <w:rPr>
                <w:rFonts w:ascii="Times New Roman" w:hAnsi="Times New Roman" w:cs="Times New Roman"/>
                <w:sz w:val="24"/>
                <w:szCs w:val="24"/>
              </w:rPr>
              <w:t xml:space="preserve"> </w:t>
            </w:r>
            <w:r w:rsidRPr="00AB0F94">
              <w:rPr>
                <w:rFonts w:ascii="Times New Roman" w:hAnsi="Times New Roman" w:cs="Times New Roman"/>
                <w:sz w:val="24"/>
                <w:szCs w:val="24"/>
              </w:rPr>
              <w:t>tālr.67219534</w:t>
            </w:r>
            <w:r>
              <w:rPr>
                <w:rFonts w:ascii="Times New Roman" w:hAnsi="Times New Roman" w:cs="Times New Roman"/>
                <w:sz w:val="24"/>
                <w:szCs w:val="24"/>
              </w:rPr>
              <w:t xml:space="preserve">, </w:t>
            </w:r>
            <w:r w:rsidRPr="00AB0F94">
              <w:rPr>
                <w:rFonts w:ascii="Times New Roman" w:hAnsi="Times New Roman" w:cs="Times New Roman"/>
                <w:sz w:val="24"/>
                <w:szCs w:val="24"/>
              </w:rPr>
              <w:t xml:space="preserve">e-pasts: </w:t>
            </w:r>
            <w:hyperlink r:id="rId8" w:history="1">
              <w:r w:rsidRPr="00AB0F94">
                <w:rPr>
                  <w:rStyle w:val="Hyperlink"/>
                  <w:rFonts w:ascii="Times New Roman" w:hAnsi="Times New Roman" w:cs="Times New Roman"/>
                  <w:sz w:val="24"/>
                  <w:szCs w:val="24"/>
                </w:rPr>
                <w:t>Inese.Sproge@iem.gov.lv</w:t>
              </w:r>
            </w:hyperlink>
          </w:p>
        </w:tc>
      </w:tr>
    </w:tbl>
    <w:p w:rsidR="00AB0F94" w:rsidRDefault="00AB0F94" w:rsidP="00D8073D">
      <w:pPr>
        <w:spacing w:after="0" w:line="240" w:lineRule="auto"/>
      </w:pPr>
    </w:p>
    <w:p w:rsidR="00AB0F94" w:rsidRDefault="00AB0F94" w:rsidP="00D8073D">
      <w:pPr>
        <w:spacing w:after="0" w:line="240" w:lineRule="auto"/>
      </w:pPr>
    </w:p>
    <w:p w:rsidR="00A6661B" w:rsidRDefault="00A6661B" w:rsidP="00D8073D">
      <w:pPr>
        <w:spacing w:after="0" w:line="240" w:lineRule="auto"/>
      </w:pPr>
    </w:p>
    <w:sectPr w:rsidR="00A6661B" w:rsidSect="00AB0F94">
      <w:headerReference w:type="default" r:id="rId9"/>
      <w:pgSz w:w="16838" w:h="11906" w:orient="landscape"/>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F94" w:rsidRDefault="00AB0F94" w:rsidP="00AB0F94">
      <w:pPr>
        <w:spacing w:after="0" w:line="240" w:lineRule="auto"/>
      </w:pPr>
      <w:r>
        <w:separator/>
      </w:r>
    </w:p>
  </w:endnote>
  <w:endnote w:type="continuationSeparator" w:id="0">
    <w:p w:rsidR="00AB0F94" w:rsidRDefault="00AB0F94" w:rsidP="00AB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F94" w:rsidRDefault="00AB0F94" w:rsidP="00AB0F94">
      <w:pPr>
        <w:spacing w:after="0" w:line="240" w:lineRule="auto"/>
      </w:pPr>
      <w:r>
        <w:separator/>
      </w:r>
    </w:p>
  </w:footnote>
  <w:footnote w:type="continuationSeparator" w:id="0">
    <w:p w:rsidR="00AB0F94" w:rsidRDefault="00AB0F94" w:rsidP="00AB0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983427"/>
      <w:docPartObj>
        <w:docPartGallery w:val="Page Numbers (Top of Page)"/>
        <w:docPartUnique/>
      </w:docPartObj>
    </w:sdtPr>
    <w:sdtEndPr>
      <w:rPr>
        <w:noProof/>
      </w:rPr>
    </w:sdtEndPr>
    <w:sdtContent>
      <w:p w:rsidR="00AB0F94" w:rsidRDefault="00AB0F94">
        <w:pPr>
          <w:pStyle w:val="Header"/>
          <w:jc w:val="center"/>
        </w:pPr>
        <w:r>
          <w:fldChar w:fldCharType="begin"/>
        </w:r>
        <w:r>
          <w:instrText xml:space="preserve"> PAGE   \* MERGEFORMAT </w:instrText>
        </w:r>
        <w:r>
          <w:fldChar w:fldCharType="separate"/>
        </w:r>
        <w:r w:rsidR="00D8073D">
          <w:rPr>
            <w:noProof/>
          </w:rPr>
          <w:t>2</w:t>
        </w:r>
        <w:r>
          <w:rPr>
            <w:noProof/>
          </w:rPr>
          <w:fldChar w:fldCharType="end"/>
        </w:r>
      </w:p>
    </w:sdtContent>
  </w:sdt>
  <w:p w:rsidR="00AB0F94" w:rsidRDefault="00AB0F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84B08"/>
    <w:multiLevelType w:val="hybridMultilevel"/>
    <w:tmpl w:val="3F68CE70"/>
    <w:lvl w:ilvl="0" w:tplc="643CD3BA">
      <w:start w:val="1"/>
      <w:numFmt w:val="decimal"/>
      <w:lvlText w:val="%1."/>
      <w:lvlJc w:val="left"/>
      <w:pPr>
        <w:ind w:left="957" w:hanging="360"/>
      </w:pPr>
      <w:rPr>
        <w:rFonts w:hint="default"/>
      </w:rPr>
    </w:lvl>
    <w:lvl w:ilvl="1" w:tplc="04260019" w:tentative="1">
      <w:start w:val="1"/>
      <w:numFmt w:val="lowerLetter"/>
      <w:lvlText w:val="%2."/>
      <w:lvlJc w:val="left"/>
      <w:pPr>
        <w:ind w:left="1677" w:hanging="360"/>
      </w:pPr>
    </w:lvl>
    <w:lvl w:ilvl="2" w:tplc="0426001B" w:tentative="1">
      <w:start w:val="1"/>
      <w:numFmt w:val="lowerRoman"/>
      <w:lvlText w:val="%3."/>
      <w:lvlJc w:val="right"/>
      <w:pPr>
        <w:ind w:left="2397" w:hanging="180"/>
      </w:pPr>
    </w:lvl>
    <w:lvl w:ilvl="3" w:tplc="0426000F" w:tentative="1">
      <w:start w:val="1"/>
      <w:numFmt w:val="decimal"/>
      <w:lvlText w:val="%4."/>
      <w:lvlJc w:val="left"/>
      <w:pPr>
        <w:ind w:left="3117" w:hanging="360"/>
      </w:pPr>
    </w:lvl>
    <w:lvl w:ilvl="4" w:tplc="04260019" w:tentative="1">
      <w:start w:val="1"/>
      <w:numFmt w:val="lowerLetter"/>
      <w:lvlText w:val="%5."/>
      <w:lvlJc w:val="left"/>
      <w:pPr>
        <w:ind w:left="3837" w:hanging="360"/>
      </w:pPr>
    </w:lvl>
    <w:lvl w:ilvl="5" w:tplc="0426001B" w:tentative="1">
      <w:start w:val="1"/>
      <w:numFmt w:val="lowerRoman"/>
      <w:lvlText w:val="%6."/>
      <w:lvlJc w:val="right"/>
      <w:pPr>
        <w:ind w:left="4557" w:hanging="180"/>
      </w:pPr>
    </w:lvl>
    <w:lvl w:ilvl="6" w:tplc="0426000F" w:tentative="1">
      <w:start w:val="1"/>
      <w:numFmt w:val="decimal"/>
      <w:lvlText w:val="%7."/>
      <w:lvlJc w:val="left"/>
      <w:pPr>
        <w:ind w:left="5277" w:hanging="360"/>
      </w:pPr>
    </w:lvl>
    <w:lvl w:ilvl="7" w:tplc="04260019" w:tentative="1">
      <w:start w:val="1"/>
      <w:numFmt w:val="lowerLetter"/>
      <w:lvlText w:val="%8."/>
      <w:lvlJc w:val="left"/>
      <w:pPr>
        <w:ind w:left="5997" w:hanging="360"/>
      </w:pPr>
    </w:lvl>
    <w:lvl w:ilvl="8" w:tplc="0426001B" w:tentative="1">
      <w:start w:val="1"/>
      <w:numFmt w:val="lowerRoman"/>
      <w:lvlText w:val="%9."/>
      <w:lvlJc w:val="right"/>
      <w:pPr>
        <w:ind w:left="67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94"/>
    <w:rsid w:val="00A6661B"/>
    <w:rsid w:val="00AB0F94"/>
    <w:rsid w:val="00D807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F6C44-733D-4221-8DF8-A60A92C4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F94"/>
    <w:pPr>
      <w:spacing w:after="200" w:line="276"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B0F94"/>
    <w:rPr>
      <w:color w:val="0000FF"/>
      <w:u w:val="single"/>
    </w:rPr>
  </w:style>
  <w:style w:type="paragraph" w:styleId="ListParagraph">
    <w:name w:val="List Paragraph"/>
    <w:basedOn w:val="Normal"/>
    <w:link w:val="ListParagraphChar"/>
    <w:uiPriority w:val="34"/>
    <w:qFormat/>
    <w:rsid w:val="00AB0F94"/>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
    <w:uiPriority w:val="34"/>
    <w:rsid w:val="00AB0F94"/>
    <w:rPr>
      <w:rFonts w:ascii="Times New Roman" w:eastAsia="Times New Roman" w:hAnsi="Times New Roman" w:cs="Times New Roman"/>
      <w:sz w:val="24"/>
      <w:szCs w:val="24"/>
      <w:lang w:eastAsia="lv-LV"/>
    </w:rPr>
  </w:style>
  <w:style w:type="paragraph" w:styleId="HTMLPreformatted">
    <w:name w:val="HTML Preformatted"/>
    <w:basedOn w:val="Normal"/>
    <w:link w:val="HTMLPreformattedChar"/>
    <w:uiPriority w:val="99"/>
    <w:unhideWhenUsed/>
    <w:rsid w:val="00AB0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B0F94"/>
    <w:rPr>
      <w:rFonts w:ascii="Courier New" w:eastAsia="Times New Roman" w:hAnsi="Courier New" w:cs="Courier New"/>
      <w:sz w:val="20"/>
      <w:szCs w:val="20"/>
      <w:lang w:eastAsia="lv-LV"/>
    </w:rPr>
  </w:style>
  <w:style w:type="paragraph" w:styleId="Header">
    <w:name w:val="header"/>
    <w:basedOn w:val="Normal"/>
    <w:link w:val="HeaderChar"/>
    <w:uiPriority w:val="99"/>
    <w:unhideWhenUsed/>
    <w:rsid w:val="00AB0F9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0F94"/>
    <w:rPr>
      <w:rFonts w:ascii="Calibri" w:eastAsia="Calibri" w:hAnsi="Calibri" w:cs="Times New Roman"/>
      <w:lang w:eastAsia="lv-LV"/>
    </w:rPr>
  </w:style>
  <w:style w:type="paragraph" w:styleId="Footer">
    <w:name w:val="footer"/>
    <w:basedOn w:val="Normal"/>
    <w:link w:val="FooterChar"/>
    <w:uiPriority w:val="99"/>
    <w:unhideWhenUsed/>
    <w:rsid w:val="00AB0F9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B0F94"/>
    <w:rPr>
      <w:rFonts w:ascii="Calibri" w:eastAsia="Calibri" w:hAnsi="Calibri"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9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ese.Sproge@iem.gov.lv" TargetMode="External"/><Relationship Id="rId3" Type="http://schemas.openxmlformats.org/officeDocument/2006/relationships/settings" Target="settings.xml"/><Relationship Id="rId7" Type="http://schemas.openxmlformats.org/officeDocument/2006/relationships/hyperlink" Target="file:///C:\Documents%20and%20Settings\kristinema\Local%20Settings\Temp\IEMAnot_070613_ZinParbKart.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2166</Words>
  <Characters>1236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Sproģe</dc:creator>
  <cp:keywords/>
  <dc:description/>
  <cp:lastModifiedBy>Inese Sproģe</cp:lastModifiedBy>
  <cp:revision>1</cp:revision>
  <dcterms:created xsi:type="dcterms:W3CDTF">2020-11-27T08:28:00Z</dcterms:created>
  <dcterms:modified xsi:type="dcterms:W3CDTF">2020-11-27T08:40:00Z</dcterms:modified>
</cp:coreProperties>
</file>