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D8AB6" w14:textId="4E501F71" w:rsid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  <w:bookmarkStart w:id="0" w:name="_GoBack"/>
      <w:bookmarkEnd w:id="0"/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62C1BC9B" wp14:editId="72D3169A">
            <wp:simplePos x="0" y="0"/>
            <wp:positionH relativeFrom="margin">
              <wp:align>left</wp:align>
            </wp:positionH>
            <wp:positionV relativeFrom="paragraph">
              <wp:posOffset>51526</wp:posOffset>
            </wp:positionV>
            <wp:extent cx="1254760" cy="878840"/>
            <wp:effectExtent l="0" t="0" r="2540" b="0"/>
            <wp:wrapTight wrapText="bothSides">
              <wp:wrapPolygon edited="0">
                <wp:start x="17053" y="0"/>
                <wp:lineTo x="0" y="5150"/>
                <wp:lineTo x="0" y="20601"/>
                <wp:lineTo x="9838" y="21069"/>
                <wp:lineTo x="14429" y="21069"/>
                <wp:lineTo x="21316" y="21069"/>
                <wp:lineTo x="21316" y="17792"/>
                <wp:lineTo x="18364" y="14983"/>
                <wp:lineTo x="21316" y="14983"/>
                <wp:lineTo x="21316" y="12173"/>
                <wp:lineTo x="18692" y="7491"/>
                <wp:lineTo x="21316" y="7491"/>
                <wp:lineTo x="21316" y="4682"/>
                <wp:lineTo x="20332" y="0"/>
                <wp:lineTo x="17053" y="0"/>
              </wp:wrapPolygon>
            </wp:wrapTight>
            <wp:docPr id="15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9FCBC" w14:textId="2026A383" w:rsid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</w:p>
    <w:p w14:paraId="6D66FA24" w14:textId="27170902" w:rsid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</w:p>
    <w:p w14:paraId="39C15D54" w14:textId="00C49EF9" w:rsid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</w:p>
    <w:p w14:paraId="12135E06" w14:textId="0C0ABC10" w:rsid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</w:p>
    <w:p w14:paraId="12DD736A" w14:textId="77777777" w:rsidR="00C855A6" w:rsidRPr="00C855A6" w:rsidRDefault="00C855A6" w:rsidP="005464A7">
      <w:pPr>
        <w:keepNext/>
        <w:jc w:val="center"/>
        <w:outlineLvl w:val="0"/>
        <w:rPr>
          <w:b/>
          <w:szCs w:val="24"/>
          <w:lang w:eastAsia="lv-LV"/>
        </w:rPr>
      </w:pPr>
    </w:p>
    <w:p w14:paraId="37146E36" w14:textId="77777777" w:rsidR="00C855A6" w:rsidRDefault="00C855A6" w:rsidP="005464A7">
      <w:pPr>
        <w:keepNext/>
        <w:jc w:val="center"/>
        <w:outlineLvl w:val="0"/>
        <w:rPr>
          <w:b/>
          <w:szCs w:val="24"/>
          <w:lang w:val="lv-LV" w:eastAsia="lv-LV"/>
        </w:rPr>
      </w:pPr>
    </w:p>
    <w:p w14:paraId="74334000" w14:textId="77777777" w:rsidR="00C855A6" w:rsidRDefault="00C855A6" w:rsidP="005464A7">
      <w:pPr>
        <w:keepNext/>
        <w:jc w:val="center"/>
        <w:outlineLvl w:val="0"/>
        <w:rPr>
          <w:b/>
          <w:szCs w:val="24"/>
          <w:lang w:val="lv-LV" w:eastAsia="lv-LV"/>
        </w:rPr>
      </w:pPr>
    </w:p>
    <w:p w14:paraId="1F101C00" w14:textId="25D4EA75" w:rsidR="005464A7" w:rsidRDefault="005464A7" w:rsidP="005464A7">
      <w:pPr>
        <w:keepNext/>
        <w:jc w:val="center"/>
        <w:outlineLvl w:val="0"/>
        <w:rPr>
          <w:b/>
          <w:szCs w:val="24"/>
          <w:lang w:val="lv-LV" w:eastAsia="lv-LV"/>
        </w:rPr>
      </w:pPr>
      <w:r w:rsidRPr="005464A7">
        <w:rPr>
          <w:b/>
          <w:szCs w:val="24"/>
          <w:lang w:val="lv-LV" w:eastAsia="lv-LV"/>
        </w:rPr>
        <w:t>VIENOŠANĀS</w:t>
      </w:r>
      <w:r w:rsidRPr="00DA1460" w:rsidDel="00A15FE8">
        <w:rPr>
          <w:b/>
          <w:szCs w:val="24"/>
          <w:lang w:val="lv-LV" w:eastAsia="lv-LV"/>
        </w:rPr>
        <w:t xml:space="preserve"> </w:t>
      </w:r>
      <w:r w:rsidRPr="00DA1460">
        <w:rPr>
          <w:b/>
          <w:szCs w:val="24"/>
          <w:lang w:val="lv-LV" w:eastAsia="lv-LV"/>
        </w:rPr>
        <w:t>Nr.____</w:t>
      </w:r>
    </w:p>
    <w:p w14:paraId="480EE5D8" w14:textId="54A1712D" w:rsidR="005464A7" w:rsidRDefault="005464A7" w:rsidP="005464A7">
      <w:pPr>
        <w:jc w:val="center"/>
        <w:rPr>
          <w:b/>
          <w:szCs w:val="24"/>
          <w:lang w:val="lv-LV" w:eastAsia="lv-LV"/>
        </w:rPr>
      </w:pPr>
      <w:r w:rsidRPr="00DA1460">
        <w:rPr>
          <w:b/>
          <w:szCs w:val="24"/>
          <w:lang w:val="lv-LV" w:eastAsia="lv-LV"/>
        </w:rPr>
        <w:t xml:space="preserve">par Eiropas Ekonomikas zonas finanšu </w:t>
      </w:r>
      <w:r w:rsidRPr="0012421B">
        <w:rPr>
          <w:b/>
          <w:szCs w:val="24"/>
          <w:lang w:val="lv-LV" w:eastAsia="lv-LV"/>
        </w:rPr>
        <w:t xml:space="preserve">instrumenta </w:t>
      </w:r>
      <w:r w:rsidRPr="0012421B">
        <w:rPr>
          <w:b/>
          <w:szCs w:val="28"/>
          <w:lang w:val="lv-LV"/>
        </w:rPr>
        <w:t>2014. - 2021. gada perioda</w:t>
      </w:r>
      <w:r w:rsidRPr="0012421B">
        <w:rPr>
          <w:b/>
          <w:szCs w:val="24"/>
          <w:lang w:val="lv-LV" w:eastAsia="lv-LV"/>
        </w:rPr>
        <w:t xml:space="preserve"> programmas „</w:t>
      </w:r>
      <w:r>
        <w:rPr>
          <w:b/>
          <w:szCs w:val="24"/>
          <w:lang w:val="lv-LV" w:eastAsia="lv-LV"/>
        </w:rPr>
        <w:t>Starptautiskā policijas sadarbība un noziedzības apkarošana”</w:t>
      </w:r>
      <w:r w:rsidRPr="00DA1460">
        <w:rPr>
          <w:b/>
          <w:szCs w:val="24"/>
          <w:lang w:val="lv-LV" w:eastAsia="lv-LV"/>
        </w:rPr>
        <w:t xml:space="preserve"> divpusējās sadarbības fonda finansējuma piešķiršanu </w:t>
      </w:r>
      <w:r>
        <w:rPr>
          <w:b/>
          <w:szCs w:val="24"/>
          <w:lang w:val="lv-LV" w:eastAsia="lv-LV"/>
        </w:rPr>
        <w:t>iniciatīvas</w:t>
      </w:r>
      <w:r w:rsidRPr="00DA1460">
        <w:rPr>
          <w:b/>
          <w:szCs w:val="24"/>
          <w:lang w:val="lv-LV" w:eastAsia="lv-LV"/>
        </w:rPr>
        <w:t xml:space="preserve"> „___________” īstenošanai</w:t>
      </w:r>
    </w:p>
    <w:p w14:paraId="507FAE5D" w14:textId="77777777" w:rsidR="00C855A6" w:rsidRPr="00DA1460" w:rsidRDefault="00C855A6" w:rsidP="005464A7">
      <w:pPr>
        <w:jc w:val="center"/>
        <w:rPr>
          <w:b/>
          <w:szCs w:val="24"/>
          <w:lang w:val="lv-LV" w:eastAsia="lv-LV"/>
        </w:rPr>
      </w:pPr>
    </w:p>
    <w:p w14:paraId="7E9471FF" w14:textId="77777777" w:rsidR="005464A7" w:rsidRPr="00DA1460" w:rsidRDefault="005464A7" w:rsidP="005464A7">
      <w:pPr>
        <w:tabs>
          <w:tab w:val="center" w:pos="4616"/>
          <w:tab w:val="left" w:pos="7065"/>
        </w:tabs>
        <w:jc w:val="center"/>
        <w:rPr>
          <w:b/>
          <w:szCs w:val="24"/>
          <w:lang w:val="lv-LV" w:eastAsia="lv-LV"/>
        </w:rPr>
      </w:pPr>
    </w:p>
    <w:p w14:paraId="1FE63E5F" w14:textId="77777777" w:rsidR="005464A7" w:rsidRDefault="005464A7" w:rsidP="005464A7">
      <w:pPr>
        <w:tabs>
          <w:tab w:val="right" w:pos="9071"/>
        </w:tabs>
        <w:rPr>
          <w:b/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>Rīgā</w:t>
      </w:r>
      <w:r w:rsidRPr="00DA1460">
        <w:rPr>
          <w:szCs w:val="24"/>
          <w:lang w:val="lv-LV" w:eastAsia="lv-LV"/>
        </w:rPr>
        <w:tab/>
        <w:t>_____.gada ___._____________</w:t>
      </w:r>
    </w:p>
    <w:p w14:paraId="5EF38A5E" w14:textId="77777777" w:rsidR="005464A7" w:rsidRDefault="005464A7" w:rsidP="005464A7">
      <w:pPr>
        <w:jc w:val="both"/>
        <w:rPr>
          <w:b/>
          <w:szCs w:val="24"/>
          <w:lang w:val="lv-LV" w:eastAsia="lv-LV"/>
        </w:rPr>
      </w:pPr>
    </w:p>
    <w:p w14:paraId="40101968" w14:textId="77777777" w:rsidR="005464A7" w:rsidRDefault="005464A7" w:rsidP="005464A7">
      <w:pPr>
        <w:jc w:val="both"/>
        <w:rPr>
          <w:b/>
          <w:szCs w:val="24"/>
          <w:lang w:val="lv-LV" w:eastAsia="lv-LV"/>
        </w:rPr>
      </w:pPr>
    </w:p>
    <w:p w14:paraId="44AB7BC7" w14:textId="6F6FD974" w:rsidR="005464A7" w:rsidRDefault="005464A7" w:rsidP="005464A7">
      <w:pPr>
        <w:jc w:val="both"/>
        <w:rPr>
          <w:szCs w:val="24"/>
          <w:lang w:val="lv-LV" w:eastAsia="lv-LV"/>
        </w:rPr>
      </w:pPr>
      <w:r>
        <w:rPr>
          <w:b/>
          <w:szCs w:val="24"/>
          <w:lang w:val="lv-LV" w:eastAsia="lv-LV"/>
        </w:rPr>
        <w:t>Latvijas Republikas Iekšlietu ministrija</w:t>
      </w:r>
      <w:r w:rsidRPr="00DA1460">
        <w:rPr>
          <w:szCs w:val="24"/>
          <w:lang w:val="lv-LV" w:eastAsia="lv-LV"/>
        </w:rPr>
        <w:t xml:space="preserve"> kā </w:t>
      </w:r>
      <w:r>
        <w:rPr>
          <w:szCs w:val="24"/>
          <w:lang w:val="lv-LV" w:eastAsia="lv-LV"/>
        </w:rPr>
        <w:t>Eiropas Ekonomikas zonas</w:t>
      </w:r>
      <w:r w:rsidRPr="00DA1460">
        <w:rPr>
          <w:szCs w:val="24"/>
          <w:lang w:val="lv-LV" w:eastAsia="lv-LV"/>
        </w:rPr>
        <w:t xml:space="preserve"> finanšu instrumenta 2014.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–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2021.</w:t>
      </w:r>
      <w:r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gada perioda programmas </w:t>
      </w:r>
      <w:r>
        <w:rPr>
          <w:szCs w:val="24"/>
          <w:lang w:val="lv-LV" w:eastAsia="lv-LV"/>
        </w:rPr>
        <w:t>„Starptautiskā policijas sadarbība un noziedzības apkarošana</w:t>
      </w:r>
      <w:r w:rsidRPr="00DA1460">
        <w:rPr>
          <w:szCs w:val="24"/>
          <w:lang w:val="lv-LV" w:eastAsia="lv-LV"/>
        </w:rPr>
        <w:t xml:space="preserve">” (turpmāk – </w:t>
      </w:r>
      <w:r w:rsidRPr="00DA1460">
        <w:rPr>
          <w:b/>
          <w:szCs w:val="24"/>
          <w:lang w:val="lv-LV" w:eastAsia="lv-LV"/>
        </w:rPr>
        <w:t>Programma</w:t>
      </w:r>
      <w:r w:rsidRPr="00DA1460">
        <w:rPr>
          <w:szCs w:val="24"/>
          <w:lang w:val="lv-LV" w:eastAsia="lv-LV"/>
        </w:rPr>
        <w:t xml:space="preserve">) </w:t>
      </w:r>
      <w:r>
        <w:rPr>
          <w:szCs w:val="24"/>
          <w:lang w:val="lv-LV" w:eastAsia="lv-LV"/>
        </w:rPr>
        <w:t>apsaimniekotājs</w:t>
      </w:r>
      <w:r w:rsidRPr="00DA1460">
        <w:rPr>
          <w:b/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(turpmāk – </w:t>
      </w:r>
      <w:r w:rsidRPr="00DA1460">
        <w:rPr>
          <w:b/>
          <w:szCs w:val="24"/>
          <w:lang w:val="lv-LV" w:eastAsia="lv-LV"/>
        </w:rPr>
        <w:t xml:space="preserve">Programmas </w:t>
      </w:r>
      <w:r>
        <w:rPr>
          <w:b/>
          <w:szCs w:val="24"/>
          <w:lang w:val="lv-LV" w:eastAsia="lv-LV"/>
        </w:rPr>
        <w:t>apsaimniekotājs</w:t>
      </w:r>
      <w:r w:rsidRPr="00DA1460">
        <w:rPr>
          <w:szCs w:val="24"/>
          <w:lang w:val="lv-LV" w:eastAsia="lv-LV"/>
        </w:rPr>
        <w:t xml:space="preserve">), kuru saskaņā ar </w:t>
      </w:r>
      <w:r>
        <w:rPr>
          <w:szCs w:val="24"/>
          <w:lang w:val="lv-LV" w:eastAsia="lv-LV"/>
        </w:rPr>
        <w:t xml:space="preserve">Latvijas Republikas Iekšlietu </w:t>
      </w:r>
      <w:r w:rsidRPr="00DA1460">
        <w:rPr>
          <w:szCs w:val="24"/>
          <w:lang w:val="lv-LV" w:eastAsia="lv-LV"/>
        </w:rPr>
        <w:t>ministrijas 20</w:t>
      </w:r>
      <w:r>
        <w:rPr>
          <w:szCs w:val="24"/>
          <w:lang w:val="lv-LV" w:eastAsia="lv-LV"/>
        </w:rPr>
        <w:t>20</w:t>
      </w:r>
      <w:r w:rsidRPr="00DA1460">
        <w:rPr>
          <w:szCs w:val="24"/>
          <w:lang w:val="lv-LV" w:eastAsia="lv-LV"/>
        </w:rPr>
        <w:t xml:space="preserve">.gada </w:t>
      </w:r>
      <w:r>
        <w:rPr>
          <w:szCs w:val="24"/>
          <w:lang w:val="lv-LV" w:eastAsia="lv-LV"/>
        </w:rPr>
        <w:t>___.________</w:t>
      </w:r>
      <w:r w:rsidRPr="00DA1460">
        <w:rPr>
          <w:szCs w:val="24"/>
          <w:lang w:val="lv-LV" w:eastAsia="lv-LV"/>
        </w:rPr>
        <w:t xml:space="preserve"> rīkojumu Nr.</w:t>
      </w:r>
      <w:r>
        <w:rPr>
          <w:szCs w:val="24"/>
          <w:lang w:val="lv-LV" w:eastAsia="lv-LV"/>
        </w:rPr>
        <w:t>_____</w:t>
      </w:r>
      <w:r w:rsidRPr="00DA1460">
        <w:rPr>
          <w:szCs w:val="24"/>
          <w:lang w:val="lv-LV" w:eastAsia="lv-LV"/>
        </w:rPr>
        <w:t xml:space="preserve"> pā</w:t>
      </w:r>
      <w:r>
        <w:rPr>
          <w:szCs w:val="24"/>
          <w:lang w:val="lv-LV" w:eastAsia="lv-LV"/>
        </w:rPr>
        <w:t>rstāv valsts sekretāra vietnieks</w:t>
      </w:r>
      <w:r w:rsidRPr="00DA1460">
        <w:rPr>
          <w:szCs w:val="24"/>
          <w:lang w:val="lv-LV" w:eastAsia="lv-LV"/>
        </w:rPr>
        <w:t xml:space="preserve">, Programmas </w:t>
      </w:r>
      <w:r>
        <w:rPr>
          <w:szCs w:val="24"/>
          <w:lang w:val="lv-LV" w:eastAsia="lv-LV"/>
        </w:rPr>
        <w:t>apsaimniekotāja</w:t>
      </w:r>
      <w:r w:rsidRPr="00DA1460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atbildīgā amatpersona</w:t>
      </w:r>
      <w:r w:rsidRPr="00DA1460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__________</w:t>
      </w:r>
      <w:r w:rsidRPr="00DA1460">
        <w:rPr>
          <w:szCs w:val="24"/>
          <w:lang w:val="lv-LV" w:eastAsia="lv-LV"/>
        </w:rPr>
        <w:t xml:space="preserve">, no vienas puses, </w:t>
      </w:r>
      <w:r w:rsidR="00C47B5F">
        <w:rPr>
          <w:szCs w:val="24"/>
          <w:lang w:val="lv-LV" w:eastAsia="lv-LV"/>
        </w:rPr>
        <w:t>un</w:t>
      </w:r>
    </w:p>
    <w:p w14:paraId="01B868B3" w14:textId="77777777" w:rsidR="005464A7" w:rsidRDefault="005464A7" w:rsidP="005464A7">
      <w:pPr>
        <w:jc w:val="both"/>
        <w:rPr>
          <w:szCs w:val="24"/>
          <w:lang w:val="lv-LV" w:eastAsia="lv-LV"/>
        </w:rPr>
      </w:pPr>
    </w:p>
    <w:p w14:paraId="1A95419E" w14:textId="77777777" w:rsidR="005464A7" w:rsidRDefault="005464A7" w:rsidP="005464A7">
      <w:pPr>
        <w:jc w:val="both"/>
        <w:rPr>
          <w:szCs w:val="24"/>
          <w:lang w:val="lv-LV" w:eastAsia="lv-LV"/>
        </w:rPr>
      </w:pPr>
      <w:r>
        <w:rPr>
          <w:b/>
          <w:szCs w:val="24"/>
          <w:lang w:val="lv-LV" w:eastAsia="lv-LV"/>
        </w:rPr>
        <w:t>_____________</w:t>
      </w:r>
      <w:r w:rsidRPr="00DA1460">
        <w:rPr>
          <w:szCs w:val="24"/>
          <w:lang w:val="lv-LV" w:eastAsia="lv-LV"/>
        </w:rPr>
        <w:t xml:space="preserve"> (turpmāk</w:t>
      </w:r>
      <w:r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–</w:t>
      </w:r>
      <w:r>
        <w:rPr>
          <w:b/>
          <w:szCs w:val="24"/>
          <w:lang w:val="lv-LV" w:eastAsia="lv-LV"/>
        </w:rPr>
        <w:t xml:space="preserve"> F</w:t>
      </w:r>
      <w:r w:rsidRPr="00DA1460">
        <w:rPr>
          <w:b/>
          <w:szCs w:val="24"/>
          <w:lang w:val="lv-LV" w:eastAsia="lv-LV"/>
        </w:rPr>
        <w:t>inansējuma saņēmējs</w:t>
      </w:r>
      <w:r w:rsidRPr="00DA1460">
        <w:rPr>
          <w:szCs w:val="24"/>
          <w:lang w:val="lv-LV" w:eastAsia="lv-LV"/>
        </w:rPr>
        <w:t>), kuru saskaņā ar _________________</w:t>
      </w:r>
      <w:r w:rsidRPr="00DA1460">
        <w:rPr>
          <w:i/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pārstāv ________________, no otras puses, turpmāk kopā saukti </w:t>
      </w:r>
      <w:r>
        <w:rPr>
          <w:szCs w:val="24"/>
          <w:lang w:val="lv-LV" w:eastAsia="lv-LV"/>
        </w:rPr>
        <w:t>„</w:t>
      </w:r>
      <w:r w:rsidRPr="00DA1460">
        <w:rPr>
          <w:b/>
          <w:szCs w:val="24"/>
          <w:lang w:val="lv-LV" w:eastAsia="lv-LV"/>
        </w:rPr>
        <w:t>Puses</w:t>
      </w:r>
      <w:r w:rsidRPr="00DA1460">
        <w:rPr>
          <w:szCs w:val="24"/>
          <w:lang w:val="lv-LV" w:eastAsia="lv-LV"/>
        </w:rPr>
        <w:t>”,</w:t>
      </w:r>
    </w:p>
    <w:p w14:paraId="6B0312C7" w14:textId="77777777" w:rsidR="005464A7" w:rsidRDefault="005464A7" w:rsidP="005464A7">
      <w:pPr>
        <w:jc w:val="both"/>
        <w:rPr>
          <w:szCs w:val="24"/>
          <w:highlight w:val="yellow"/>
          <w:lang w:val="lv-LV" w:eastAsia="lv-LV"/>
        </w:rPr>
      </w:pPr>
    </w:p>
    <w:p w14:paraId="6FF45EF7" w14:textId="77777777" w:rsidR="005464A7" w:rsidRDefault="005464A7" w:rsidP="005464A7">
      <w:p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ievērojot </w:t>
      </w:r>
      <w:r w:rsidR="00D52147" w:rsidRPr="00D52147">
        <w:rPr>
          <w:lang w:val="lv-LV"/>
        </w:rPr>
        <w:t>Eiropas B</w:t>
      </w:r>
      <w:r w:rsidR="00D52147">
        <w:rPr>
          <w:lang w:val="lv-LV"/>
        </w:rPr>
        <w:t>rīvās tirdzniecības asociācijas</w:t>
      </w:r>
      <w:r w:rsidR="00D52147" w:rsidRPr="00D52147">
        <w:rPr>
          <w:lang w:val="lv-LV"/>
        </w:rPr>
        <w:t xml:space="preserve"> valstu Pastāvīgās komitejas</w:t>
      </w:r>
      <w:r w:rsidR="00D52147">
        <w:rPr>
          <w:lang w:val="lv-LV"/>
        </w:rPr>
        <w:t xml:space="preserve"> </w:t>
      </w:r>
      <w:r w:rsidRPr="00DA1460">
        <w:rPr>
          <w:szCs w:val="24"/>
          <w:lang w:val="lv-LV" w:eastAsia="lv-LV"/>
        </w:rPr>
        <w:t xml:space="preserve">2016.gada 23.septembrī apstiprinātos noteikumus par </w:t>
      </w:r>
      <w:r>
        <w:rPr>
          <w:szCs w:val="24"/>
          <w:lang w:val="lv-LV" w:eastAsia="lv-LV"/>
        </w:rPr>
        <w:t>Eiropas Ekonomikas zonas</w:t>
      </w:r>
      <w:r w:rsidRPr="00DA1460">
        <w:rPr>
          <w:szCs w:val="24"/>
          <w:lang w:val="lv-LV" w:eastAsia="lv-LV"/>
        </w:rPr>
        <w:t xml:space="preserve"> finanšu instrumenta ieviešanu 2014.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–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2021.</w:t>
      </w:r>
      <w:r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gadā (turpmāk – </w:t>
      </w:r>
      <w:r w:rsidRPr="00DA1460">
        <w:rPr>
          <w:b/>
          <w:szCs w:val="24"/>
          <w:lang w:val="lv-LV" w:eastAsia="lv-LV"/>
        </w:rPr>
        <w:t>Donorvalsts noteikumi</w:t>
      </w:r>
      <w:r w:rsidRPr="00DA1460">
        <w:rPr>
          <w:szCs w:val="24"/>
          <w:lang w:val="lv-LV" w:eastAsia="lv-LV"/>
        </w:rPr>
        <w:t>), Ministru kabineta 20</w:t>
      </w:r>
      <w:r>
        <w:rPr>
          <w:szCs w:val="24"/>
          <w:lang w:val="lv-LV" w:eastAsia="lv-LV"/>
        </w:rPr>
        <w:t>20</w:t>
      </w:r>
      <w:r w:rsidRPr="00DA1460">
        <w:rPr>
          <w:szCs w:val="24"/>
          <w:lang w:val="lv-LV" w:eastAsia="lv-LV"/>
        </w:rPr>
        <w:t xml:space="preserve">.gada </w:t>
      </w:r>
      <w:r w:rsidR="00D52147">
        <w:rPr>
          <w:szCs w:val="24"/>
          <w:lang w:val="lv-LV" w:eastAsia="lv-LV"/>
        </w:rPr>
        <w:t>11. februāra</w:t>
      </w:r>
      <w:r w:rsidRPr="00DA1460">
        <w:rPr>
          <w:szCs w:val="24"/>
          <w:lang w:val="lv-LV" w:eastAsia="lv-LV"/>
        </w:rPr>
        <w:t xml:space="preserve"> noteikumus Nr.</w:t>
      </w:r>
      <w:r w:rsidR="00D52147">
        <w:rPr>
          <w:szCs w:val="24"/>
          <w:lang w:val="lv-LV" w:eastAsia="lv-LV"/>
        </w:rPr>
        <w:t>91</w:t>
      </w:r>
      <w:r w:rsidRPr="00DA1460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„Eiropas Ekonomikas zonas</w:t>
      </w:r>
      <w:r w:rsidRPr="00DA1460">
        <w:rPr>
          <w:szCs w:val="24"/>
          <w:lang w:val="lv-LV" w:eastAsia="lv-LV"/>
        </w:rPr>
        <w:t xml:space="preserve"> finanšu instrumenta 2014.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–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2021.</w:t>
      </w:r>
      <w:r w:rsidR="00D52147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gada perioda programmas </w:t>
      </w:r>
      <w:r>
        <w:rPr>
          <w:szCs w:val="24"/>
          <w:lang w:val="lv-LV" w:eastAsia="lv-LV"/>
        </w:rPr>
        <w:t>„</w:t>
      </w:r>
      <w:r w:rsidR="00D52147">
        <w:rPr>
          <w:szCs w:val="24"/>
          <w:lang w:val="lv-LV" w:eastAsia="lv-LV"/>
        </w:rPr>
        <w:t>Starptautiskā policijas sadarbība un noziedzības apkarošana</w:t>
      </w:r>
      <w:r w:rsidRPr="00DA1460">
        <w:rPr>
          <w:szCs w:val="24"/>
          <w:lang w:val="lv-LV" w:eastAsia="lv-LV"/>
        </w:rPr>
        <w:t>” īstenošanas noteikumi” un citus Latvijas Republikas normatīvos aktus,</w:t>
      </w:r>
      <w:r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noslēdz </w:t>
      </w:r>
      <w:r>
        <w:rPr>
          <w:szCs w:val="24"/>
          <w:lang w:val="lv-LV" w:eastAsia="lv-LV"/>
        </w:rPr>
        <w:t>šādu</w:t>
      </w:r>
      <w:r w:rsidRPr="00DA1460">
        <w:rPr>
          <w:szCs w:val="24"/>
          <w:lang w:val="lv-LV" w:eastAsia="lv-LV"/>
        </w:rPr>
        <w:t xml:space="preserve"> </w:t>
      </w:r>
      <w:r w:rsidRPr="00D52147">
        <w:rPr>
          <w:szCs w:val="24"/>
          <w:lang w:val="lv-LV" w:eastAsia="lv-LV"/>
        </w:rPr>
        <w:t>vienošanos</w:t>
      </w:r>
      <w:r>
        <w:rPr>
          <w:szCs w:val="24"/>
          <w:lang w:val="lv-LV" w:eastAsia="lv-LV"/>
        </w:rPr>
        <w:t xml:space="preserve"> (</w:t>
      </w:r>
      <w:r w:rsidRPr="00DA1460">
        <w:rPr>
          <w:szCs w:val="24"/>
          <w:lang w:val="lv-LV" w:eastAsia="lv-LV"/>
        </w:rPr>
        <w:t>turpmāk –</w:t>
      </w:r>
      <w:r w:rsidRPr="004A6A89">
        <w:rPr>
          <w:b/>
          <w:i/>
          <w:szCs w:val="24"/>
          <w:lang w:val="lv-LV" w:eastAsia="lv-LV"/>
        </w:rPr>
        <w:t>Vienošanās</w:t>
      </w:r>
      <w:r>
        <w:rPr>
          <w:szCs w:val="24"/>
          <w:lang w:val="lv-LV" w:eastAsia="lv-LV"/>
        </w:rPr>
        <w:t>):</w:t>
      </w:r>
    </w:p>
    <w:p w14:paraId="0CEC218B" w14:textId="77777777" w:rsidR="005464A7" w:rsidRDefault="005464A7" w:rsidP="005464A7">
      <w:pPr>
        <w:jc w:val="both"/>
        <w:rPr>
          <w:szCs w:val="24"/>
          <w:lang w:val="lv-LV" w:eastAsia="lv-LV"/>
        </w:rPr>
      </w:pPr>
    </w:p>
    <w:p w14:paraId="59CF960E" w14:textId="77777777" w:rsidR="005464A7" w:rsidRDefault="005464A7" w:rsidP="005464A7">
      <w:pPr>
        <w:numPr>
          <w:ilvl w:val="0"/>
          <w:numId w:val="1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 w:rsidRPr="00D52147">
        <w:rPr>
          <w:b/>
          <w:szCs w:val="24"/>
          <w:lang w:val="lv-LV" w:eastAsia="lv-LV"/>
        </w:rPr>
        <w:t>Vienošanās</w:t>
      </w:r>
      <w:r>
        <w:rPr>
          <w:b/>
          <w:szCs w:val="24"/>
          <w:lang w:val="lv-LV" w:eastAsia="lv-LV"/>
        </w:rPr>
        <w:t xml:space="preserve"> priekšmets</w:t>
      </w:r>
    </w:p>
    <w:p w14:paraId="0BBC78A5" w14:textId="77777777" w:rsidR="00D52147" w:rsidRDefault="00D52147" w:rsidP="00D52147">
      <w:pPr>
        <w:ind w:left="555"/>
        <w:rPr>
          <w:b/>
          <w:szCs w:val="24"/>
          <w:lang w:val="lv-LV" w:eastAsia="lv-LV"/>
        </w:rPr>
      </w:pPr>
    </w:p>
    <w:p w14:paraId="586D1873" w14:textId="69582697" w:rsidR="005464A7" w:rsidRPr="00734767" w:rsidRDefault="005464A7" w:rsidP="0073476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F434A7">
        <w:rPr>
          <w:szCs w:val="24"/>
          <w:lang w:val="lv-LV" w:eastAsia="lv-LV"/>
        </w:rPr>
        <w:t xml:space="preserve">Pamatojoties uz </w:t>
      </w:r>
      <w:r w:rsidR="00734767">
        <w:rPr>
          <w:szCs w:val="24"/>
          <w:lang w:val="lv-LV" w:eastAsia="lv-LV"/>
        </w:rPr>
        <w:t xml:space="preserve">Programmas </w:t>
      </w:r>
      <w:r w:rsidR="00AA1133">
        <w:rPr>
          <w:szCs w:val="24"/>
          <w:lang w:val="lv-LV" w:eastAsia="lv-LV"/>
        </w:rPr>
        <w:t>Sadarbības komitejas, kas</w:t>
      </w:r>
      <w:r w:rsidR="00734767">
        <w:rPr>
          <w:szCs w:val="24"/>
          <w:lang w:val="lv-LV" w:eastAsia="lv-LV"/>
        </w:rPr>
        <w:t xml:space="preserve"> izveidota ar Iekšlietu ministrijas 2020. gada 16. marta rīkojumu Nr. 1-12/343 “Par sadarbības komitejas izveidi un nolikuma apstiprināšanu Eiropas Ekonomikas zonas finanšu instrumenta 2014. – 2021. gadam programmas “Starptautiskā policijas sadarbība un noziedzības apkarošana” ietvaros”, </w:t>
      </w:r>
      <w:r w:rsidR="00D52147" w:rsidRPr="00734767">
        <w:rPr>
          <w:szCs w:val="24"/>
          <w:lang w:val="lv-LV" w:eastAsia="lv-LV"/>
        </w:rPr>
        <w:t>_____</w:t>
      </w:r>
      <w:r w:rsidRPr="00734767">
        <w:rPr>
          <w:szCs w:val="24"/>
          <w:lang w:val="lv-LV" w:eastAsia="lv-LV"/>
        </w:rPr>
        <w:t xml:space="preserve">.gada ___.__________ lēmumu Nr._____ „__________________”, Programmas </w:t>
      </w:r>
      <w:r w:rsidR="00D52147" w:rsidRPr="00734767">
        <w:rPr>
          <w:szCs w:val="24"/>
          <w:lang w:val="lv-LV" w:eastAsia="lv-LV"/>
        </w:rPr>
        <w:t>apsaimniekotājs</w:t>
      </w:r>
      <w:r w:rsidRPr="00734767">
        <w:rPr>
          <w:szCs w:val="24"/>
          <w:lang w:val="lv-LV" w:eastAsia="lv-LV"/>
        </w:rPr>
        <w:t xml:space="preserve"> no divpusējās sadarbības fonda finanšu līdzekļiem piešķir Finansējuma saņēmējam </w:t>
      </w:r>
      <w:r w:rsidRPr="00734767">
        <w:rPr>
          <w:szCs w:val="24"/>
          <w:lang w:val="lv-LV"/>
        </w:rPr>
        <w:t xml:space="preserve">ne vairāk kā </w:t>
      </w:r>
      <w:r w:rsidRPr="00734767">
        <w:rPr>
          <w:b/>
          <w:szCs w:val="24"/>
          <w:lang w:val="lv-LV"/>
        </w:rPr>
        <w:t>__________ </w:t>
      </w:r>
      <w:r w:rsidRPr="00734767">
        <w:rPr>
          <w:i/>
          <w:szCs w:val="24"/>
          <w:lang w:val="lv-LV"/>
        </w:rPr>
        <w:t>euro</w:t>
      </w:r>
      <w:r w:rsidRPr="00734767">
        <w:rPr>
          <w:szCs w:val="24"/>
          <w:lang w:val="lv-LV"/>
        </w:rPr>
        <w:t xml:space="preserve"> </w:t>
      </w:r>
      <w:r w:rsidRPr="00734767">
        <w:rPr>
          <w:szCs w:val="24"/>
          <w:highlight w:val="lightGray"/>
          <w:lang w:val="lv-LV"/>
        </w:rPr>
        <w:t>(&lt;</w:t>
      </w:r>
      <w:r w:rsidRPr="00734767">
        <w:rPr>
          <w:i/>
          <w:iCs/>
          <w:szCs w:val="24"/>
          <w:highlight w:val="lightGray"/>
          <w:lang w:val="lv-LV"/>
        </w:rPr>
        <w:t>summa vārdiem&gt;</w:t>
      </w:r>
      <w:r w:rsidRPr="00734767">
        <w:rPr>
          <w:szCs w:val="24"/>
          <w:lang w:val="lv-LV"/>
        </w:rPr>
        <w:t xml:space="preserve">) </w:t>
      </w:r>
      <w:r w:rsidR="00D52147" w:rsidRPr="00734767">
        <w:rPr>
          <w:szCs w:val="24"/>
          <w:lang w:val="lv-LV" w:eastAsia="lv-LV"/>
        </w:rPr>
        <w:t>iniciatīvas</w:t>
      </w:r>
      <w:r w:rsidRPr="00734767">
        <w:rPr>
          <w:szCs w:val="24"/>
          <w:lang w:val="lv-LV" w:eastAsia="lv-LV"/>
        </w:rPr>
        <w:t xml:space="preserve"> „____________” (turpmāk – </w:t>
      </w:r>
      <w:r w:rsidR="00734767">
        <w:rPr>
          <w:szCs w:val="24"/>
          <w:lang w:val="lv-LV" w:eastAsia="lv-LV"/>
        </w:rPr>
        <w:t>Iniciatīva</w:t>
      </w:r>
      <w:r w:rsidRPr="00734767">
        <w:rPr>
          <w:szCs w:val="24"/>
          <w:lang w:val="lv-LV" w:eastAsia="lv-LV"/>
        </w:rPr>
        <w:t>) īstenošanai.</w:t>
      </w:r>
    </w:p>
    <w:p w14:paraId="6C4FCAB1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4C1FDD1D" w14:textId="63A93573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F</w:t>
      </w:r>
      <w:r w:rsidRPr="00F434A7">
        <w:rPr>
          <w:szCs w:val="24"/>
          <w:lang w:val="lv-LV" w:eastAsia="lv-LV"/>
        </w:rPr>
        <w:t xml:space="preserve">inansējuma saņēmējs īsteno </w:t>
      </w:r>
      <w:r w:rsidR="00E23047">
        <w:rPr>
          <w:szCs w:val="24"/>
          <w:lang w:val="lv-LV" w:eastAsia="lv-LV"/>
        </w:rPr>
        <w:t>Iniciatīvu</w:t>
      </w:r>
      <w:r w:rsidRPr="00F434A7">
        <w:rPr>
          <w:szCs w:val="24"/>
          <w:lang w:val="lv-LV" w:eastAsia="lv-LV"/>
        </w:rPr>
        <w:t xml:space="preserve"> atbilstoši </w:t>
      </w:r>
      <w:r w:rsidR="00E23047">
        <w:rPr>
          <w:szCs w:val="24"/>
          <w:lang w:val="lv-LV" w:eastAsia="lv-LV"/>
        </w:rPr>
        <w:t>Iniciatīvas pieteikumā</w:t>
      </w:r>
      <w:r w:rsidRPr="00F434A7">
        <w:rPr>
          <w:szCs w:val="24"/>
          <w:lang w:val="lv-LV" w:eastAsia="lv-LV"/>
        </w:rPr>
        <w:t xml:space="preserve"> paredzētajam, kas ir </w:t>
      </w:r>
      <w:r w:rsidRPr="00E23047">
        <w:rPr>
          <w:szCs w:val="24"/>
          <w:lang w:val="lv-LV" w:eastAsia="lv-LV"/>
        </w:rPr>
        <w:t xml:space="preserve">Vienošanās </w:t>
      </w:r>
      <w:r w:rsidRPr="00F434A7">
        <w:rPr>
          <w:szCs w:val="24"/>
          <w:lang w:val="lv-LV" w:eastAsia="lv-LV"/>
        </w:rPr>
        <w:t xml:space="preserve">neatņemama sastāvdaļa, </w:t>
      </w:r>
      <w:r w:rsidRPr="00E23047">
        <w:rPr>
          <w:szCs w:val="24"/>
          <w:lang w:val="lv-LV" w:eastAsia="lv-LV"/>
        </w:rPr>
        <w:t xml:space="preserve">Vienošanās </w:t>
      </w:r>
      <w:r w:rsidRPr="00F434A7">
        <w:rPr>
          <w:szCs w:val="24"/>
          <w:lang w:val="lv-LV" w:eastAsia="lv-LV"/>
        </w:rPr>
        <w:t>izvirzītajiem nosacījumiem un prasībām</w:t>
      </w:r>
      <w:r w:rsidR="00E23047">
        <w:rPr>
          <w:szCs w:val="24"/>
          <w:lang w:val="lv-LV" w:eastAsia="lv-LV"/>
        </w:rPr>
        <w:t>,</w:t>
      </w:r>
      <w:r w:rsidRPr="00F434A7">
        <w:rPr>
          <w:szCs w:val="24"/>
          <w:lang w:val="lv-LV" w:eastAsia="lv-LV"/>
        </w:rPr>
        <w:t xml:space="preserve"> un </w:t>
      </w:r>
      <w:r w:rsidR="00E23047">
        <w:rPr>
          <w:szCs w:val="24"/>
          <w:lang w:val="lv-LV" w:eastAsia="lv-LV"/>
        </w:rPr>
        <w:t>saskaņā</w:t>
      </w:r>
      <w:r w:rsidR="00956E50">
        <w:rPr>
          <w:szCs w:val="24"/>
          <w:lang w:val="lv-LV" w:eastAsia="lv-LV"/>
        </w:rPr>
        <w:t xml:space="preserve"> ar</w:t>
      </w:r>
      <w:r w:rsidR="00E23047">
        <w:rPr>
          <w:szCs w:val="24"/>
          <w:lang w:val="lv-LV" w:eastAsia="lv-LV"/>
        </w:rPr>
        <w:t xml:space="preserve"> uz </w:t>
      </w:r>
      <w:r w:rsidRPr="00F434A7">
        <w:rPr>
          <w:szCs w:val="24"/>
          <w:lang w:val="lv-LV" w:eastAsia="lv-LV"/>
        </w:rPr>
        <w:t>Programm</w:t>
      </w:r>
      <w:r w:rsidR="00E23047">
        <w:rPr>
          <w:szCs w:val="24"/>
          <w:lang w:val="lv-LV" w:eastAsia="lv-LV"/>
        </w:rPr>
        <w:t>u</w:t>
      </w:r>
      <w:r w:rsidRPr="00F434A7">
        <w:rPr>
          <w:szCs w:val="24"/>
          <w:lang w:val="lv-LV" w:eastAsia="lv-LV"/>
        </w:rPr>
        <w:t xml:space="preserve"> attiecināmiem normatīvajiem aktiem.</w:t>
      </w:r>
    </w:p>
    <w:p w14:paraId="7D728244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2CFC57A6" w14:textId="6D74654D" w:rsidR="005464A7" w:rsidRDefault="00956E50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I</w:t>
      </w:r>
      <w:r w:rsidR="00E23047">
        <w:rPr>
          <w:szCs w:val="24"/>
          <w:lang w:val="lv-LV" w:eastAsia="lv-LV"/>
        </w:rPr>
        <w:t>niciatīvu</w:t>
      </w:r>
      <w:r w:rsidR="005464A7" w:rsidRPr="00DA1460">
        <w:rPr>
          <w:szCs w:val="24"/>
          <w:lang w:val="lv-LV" w:eastAsia="lv-LV"/>
        </w:rPr>
        <w:t xml:space="preserve"> īsteno no ___.gada __.______ līdz ___.gada __._______.</w:t>
      </w:r>
    </w:p>
    <w:p w14:paraId="74C8E1CD" w14:textId="4D51143B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598B58AD" w14:textId="77777777" w:rsidR="005464A7" w:rsidRDefault="005464A7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 xml:space="preserve">Norēķinu veikšanas </w:t>
      </w:r>
      <w:r w:rsidRPr="00D00C75">
        <w:rPr>
          <w:b/>
          <w:szCs w:val="24"/>
          <w:lang w:val="lv-LV" w:eastAsia="lv-LV"/>
        </w:rPr>
        <w:t>kārtība</w:t>
      </w:r>
    </w:p>
    <w:p w14:paraId="51D5D191" w14:textId="77777777" w:rsidR="000817B5" w:rsidRDefault="000817B5" w:rsidP="000817B5">
      <w:pPr>
        <w:ind w:left="555"/>
        <w:rPr>
          <w:b/>
          <w:szCs w:val="24"/>
          <w:lang w:val="lv-LV" w:eastAsia="lv-LV"/>
        </w:rPr>
      </w:pPr>
    </w:p>
    <w:p w14:paraId="12D59706" w14:textId="2D9A4FCC" w:rsidR="005464A7" w:rsidRPr="00C512D5" w:rsidRDefault="005464A7" w:rsidP="005464A7">
      <w:pPr>
        <w:numPr>
          <w:ilvl w:val="1"/>
          <w:numId w:val="2"/>
        </w:numPr>
        <w:jc w:val="both"/>
        <w:rPr>
          <w:lang w:val="lv-LV"/>
        </w:rPr>
      </w:pPr>
      <w:r w:rsidRPr="00C855A6">
        <w:rPr>
          <w:szCs w:val="24"/>
          <w:lang w:val="lv-LV" w:eastAsia="lv-LV"/>
        </w:rPr>
        <w:t>Finansējuma saņēmējs</w:t>
      </w:r>
      <w:r w:rsidR="005F1034">
        <w:rPr>
          <w:szCs w:val="24"/>
          <w:lang w:val="lv-LV" w:eastAsia="lv-LV"/>
        </w:rPr>
        <w:t>, kas ir Iekšlietu ministrijas padotības iestāde vai Finanšu izlūkošanas dienests,</w:t>
      </w:r>
      <w:r w:rsidRPr="00C855A6">
        <w:rPr>
          <w:szCs w:val="24"/>
          <w:lang w:val="lv-LV" w:eastAsia="lv-LV"/>
        </w:rPr>
        <w:t xml:space="preserve"> pēc Vienošanās noslēgšanas nodrošina </w:t>
      </w:r>
      <w:r w:rsidR="000817B5" w:rsidRPr="00C855A6">
        <w:rPr>
          <w:szCs w:val="24"/>
          <w:lang w:val="lv-LV" w:eastAsia="lv-LV"/>
        </w:rPr>
        <w:t xml:space="preserve">iniciatīvas </w:t>
      </w:r>
      <w:r w:rsidRPr="00C855A6">
        <w:rPr>
          <w:szCs w:val="24"/>
          <w:lang w:val="lv-LV" w:eastAsia="lv-LV"/>
        </w:rPr>
        <w:t>īstenošanai nepieciešamā finansējuma pieprasīšanu valsts budžetā</w:t>
      </w:r>
      <w:r w:rsidR="00956E50">
        <w:rPr>
          <w:szCs w:val="24"/>
          <w:lang w:val="lv-LV" w:eastAsia="lv-LV"/>
        </w:rPr>
        <w:t xml:space="preserve"> atbilstoši normatīvajiem aktiem budžeta pieprasījumu sagatavošanas jomā</w:t>
      </w:r>
      <w:r w:rsidRPr="00C855A6">
        <w:rPr>
          <w:szCs w:val="24"/>
          <w:lang w:val="lv-LV" w:eastAsia="lv-LV"/>
        </w:rPr>
        <w:t xml:space="preserve"> </w:t>
      </w:r>
    </w:p>
    <w:p w14:paraId="41731389" w14:textId="64EE1F92" w:rsidR="00CA5FC3" w:rsidRPr="00C512D5" w:rsidRDefault="00CA5FC3" w:rsidP="00C512D5">
      <w:pPr>
        <w:ind w:left="555"/>
        <w:jc w:val="both"/>
        <w:rPr>
          <w:lang w:val="lv-LV"/>
        </w:rPr>
      </w:pPr>
    </w:p>
    <w:p w14:paraId="7F1BF83D" w14:textId="1F3306E1" w:rsidR="005F1034" w:rsidRPr="00C512D5" w:rsidRDefault="00495384" w:rsidP="00495384">
      <w:pPr>
        <w:numPr>
          <w:ilvl w:val="1"/>
          <w:numId w:val="2"/>
        </w:numPr>
        <w:jc w:val="both"/>
        <w:rPr>
          <w:lang w:val="lv-LV"/>
        </w:rPr>
      </w:pPr>
      <w:r w:rsidRPr="00495384">
        <w:rPr>
          <w:lang w:val="lv-LV"/>
        </w:rPr>
        <w:t>Programma</w:t>
      </w:r>
      <w:r w:rsidR="00956E50">
        <w:rPr>
          <w:lang w:val="lv-LV"/>
        </w:rPr>
        <w:t>s apsaimniekotājs attiecībā uz F</w:t>
      </w:r>
      <w:r w:rsidRPr="00495384">
        <w:rPr>
          <w:lang w:val="lv-LV"/>
        </w:rPr>
        <w:t>inansējuma saņēmēj</w:t>
      </w:r>
      <w:r w:rsidR="00956E50">
        <w:rPr>
          <w:lang w:val="lv-LV"/>
        </w:rPr>
        <w:t>u</w:t>
      </w:r>
      <w:r w:rsidRPr="00495384">
        <w:rPr>
          <w:lang w:val="lv-LV"/>
        </w:rPr>
        <w:t xml:space="preserve">, kas </w:t>
      </w:r>
      <w:r w:rsidRPr="00495384">
        <w:rPr>
          <w:szCs w:val="24"/>
          <w:lang w:val="lv-LV" w:eastAsia="lv-LV"/>
        </w:rPr>
        <w:t xml:space="preserve">nav Iekšlietu ministrijas padotības iestāde vai Finanšu izlūkošanas dienests, pēc Vienošanās noslēgšanas nodrošina </w:t>
      </w:r>
      <w:r w:rsidR="00956E50">
        <w:rPr>
          <w:szCs w:val="24"/>
          <w:lang w:val="lv-LV" w:eastAsia="lv-LV"/>
        </w:rPr>
        <w:t>I</w:t>
      </w:r>
      <w:r w:rsidRPr="00495384">
        <w:rPr>
          <w:szCs w:val="24"/>
          <w:lang w:val="lv-LV" w:eastAsia="lv-LV"/>
        </w:rPr>
        <w:t>niciatīvas īstenošanai nepieciešamā finansējuma pieprasīšanu valsts budžetā</w:t>
      </w:r>
      <w:r w:rsidR="00956E50" w:rsidRPr="00956E50">
        <w:rPr>
          <w:szCs w:val="24"/>
          <w:lang w:val="lv-LV" w:eastAsia="lv-LV"/>
        </w:rPr>
        <w:t xml:space="preserve"> </w:t>
      </w:r>
      <w:r w:rsidR="00956E50">
        <w:rPr>
          <w:szCs w:val="24"/>
          <w:lang w:val="lv-LV" w:eastAsia="lv-LV"/>
        </w:rPr>
        <w:t>atbilstoši normatīvajiem aktiem budžeta pieprasījumu sagatavošanas jomā</w:t>
      </w:r>
      <w:r w:rsidRPr="00495384">
        <w:rPr>
          <w:szCs w:val="24"/>
          <w:lang w:val="lv-LV" w:eastAsia="lv-LV"/>
        </w:rPr>
        <w:t xml:space="preserve">. </w:t>
      </w:r>
      <w:r w:rsidR="003857BB">
        <w:rPr>
          <w:szCs w:val="24"/>
          <w:lang w:val="lv-LV" w:eastAsia="lv-LV"/>
        </w:rPr>
        <w:t>10</w:t>
      </w:r>
      <w:r w:rsidR="00D91B48">
        <w:rPr>
          <w:szCs w:val="24"/>
          <w:lang w:val="lv-LV" w:eastAsia="lv-LV"/>
        </w:rPr>
        <w:t xml:space="preserve"> (</w:t>
      </w:r>
      <w:r w:rsidR="003857BB">
        <w:rPr>
          <w:szCs w:val="24"/>
          <w:lang w:val="lv-LV" w:eastAsia="lv-LV"/>
        </w:rPr>
        <w:t>desmit</w:t>
      </w:r>
      <w:r w:rsidR="00D91B48">
        <w:rPr>
          <w:szCs w:val="24"/>
          <w:lang w:val="lv-LV" w:eastAsia="lv-LV"/>
        </w:rPr>
        <w:t>)</w:t>
      </w:r>
      <w:r w:rsidRPr="00495384">
        <w:rPr>
          <w:szCs w:val="24"/>
          <w:lang w:val="lv-LV" w:eastAsia="lv-LV"/>
        </w:rPr>
        <w:t xml:space="preserve"> </w:t>
      </w:r>
      <w:r w:rsidR="003857BB">
        <w:rPr>
          <w:szCs w:val="24"/>
          <w:lang w:val="lv-LV" w:eastAsia="lv-LV"/>
        </w:rPr>
        <w:t xml:space="preserve">darba </w:t>
      </w:r>
      <w:r w:rsidRPr="00495384">
        <w:rPr>
          <w:szCs w:val="24"/>
          <w:lang w:val="lv-LV" w:eastAsia="lv-LV"/>
        </w:rPr>
        <w:t xml:space="preserve">dienu laikā pēc Finanšu ministrijas rīkojuma par </w:t>
      </w:r>
      <w:r w:rsidR="003857BB">
        <w:rPr>
          <w:szCs w:val="24"/>
          <w:lang w:val="lv-LV" w:eastAsia="lv-LV"/>
        </w:rPr>
        <w:t>I</w:t>
      </w:r>
      <w:r w:rsidRPr="00495384">
        <w:rPr>
          <w:szCs w:val="24"/>
          <w:lang w:val="lv-LV" w:eastAsia="lv-LV"/>
        </w:rPr>
        <w:t xml:space="preserve">niciatīvas īstenošanai nepieciešamā finansējuma </w:t>
      </w:r>
      <w:r w:rsidR="00956E50">
        <w:rPr>
          <w:szCs w:val="24"/>
          <w:lang w:val="lv-LV" w:eastAsia="lv-LV"/>
        </w:rPr>
        <w:t xml:space="preserve">piešķiršanu </w:t>
      </w:r>
      <w:r w:rsidRPr="00495384">
        <w:rPr>
          <w:szCs w:val="24"/>
          <w:lang w:val="lv-LV" w:eastAsia="lv-LV"/>
        </w:rPr>
        <w:t xml:space="preserve">saņemšanas, </w:t>
      </w:r>
      <w:r w:rsidR="00956E50">
        <w:rPr>
          <w:szCs w:val="24"/>
          <w:lang w:val="lv-LV" w:eastAsia="lv-LV"/>
        </w:rPr>
        <w:t>F</w:t>
      </w:r>
      <w:r w:rsidR="005F1034" w:rsidRPr="00495384">
        <w:rPr>
          <w:szCs w:val="24"/>
          <w:lang w:val="lv-LV" w:eastAsia="lv-LV"/>
        </w:rPr>
        <w:t>inansējuma saņēmējs, kas nav Iekšlietu ministrijas padotības iestāde</w:t>
      </w:r>
      <w:r w:rsidR="00B14470" w:rsidRPr="00495384">
        <w:rPr>
          <w:szCs w:val="24"/>
          <w:lang w:val="lv-LV" w:eastAsia="lv-LV"/>
        </w:rPr>
        <w:t xml:space="preserve"> vai Finanšu izlūkošanas dienests</w:t>
      </w:r>
      <w:r w:rsidR="005F1034" w:rsidRPr="00495384">
        <w:rPr>
          <w:szCs w:val="24"/>
          <w:lang w:val="lv-LV" w:eastAsia="lv-LV"/>
        </w:rPr>
        <w:t xml:space="preserve">, saskaņo ar Programmas apsaimniekotāju transfertu veidlapu atbilstoši normatīvajos aktos paredzētajam, </w:t>
      </w:r>
      <w:r w:rsidR="005F1034" w:rsidRPr="00C512D5">
        <w:rPr>
          <w:szCs w:val="24"/>
          <w:lang w:val="lv-LV" w:eastAsia="lv-LV"/>
        </w:rPr>
        <w:t xml:space="preserve">plānojot finansējumu attiecīgās </w:t>
      </w:r>
      <w:r w:rsidR="003857BB">
        <w:rPr>
          <w:szCs w:val="24"/>
          <w:lang w:val="lv-LV" w:eastAsia="lv-LV"/>
        </w:rPr>
        <w:t>I</w:t>
      </w:r>
      <w:r w:rsidR="005F1034" w:rsidRPr="00C512D5">
        <w:rPr>
          <w:szCs w:val="24"/>
          <w:lang w:val="lv-LV" w:eastAsia="lv-LV"/>
        </w:rPr>
        <w:t>niciatīvas īstenošanai kā transferta izdevumus uz citām nozaru ministrijām un citām centrālajām valsts iestādēm</w:t>
      </w:r>
      <w:r w:rsidR="005F1034" w:rsidRPr="00495384">
        <w:rPr>
          <w:szCs w:val="24"/>
          <w:lang w:val="lv-LV" w:eastAsia="lv-LV"/>
        </w:rPr>
        <w:t>.</w:t>
      </w:r>
    </w:p>
    <w:p w14:paraId="1CF21D8E" w14:textId="1682F8F8" w:rsidR="009F4070" w:rsidRPr="00C512D5" w:rsidRDefault="005A5184" w:rsidP="005464A7">
      <w:pPr>
        <w:numPr>
          <w:ilvl w:val="1"/>
          <w:numId w:val="2"/>
        </w:numPr>
        <w:jc w:val="both"/>
        <w:rPr>
          <w:lang w:val="lv-LV"/>
        </w:rPr>
      </w:pPr>
      <w:r>
        <w:rPr>
          <w:szCs w:val="24"/>
          <w:lang w:val="lv-LV" w:eastAsia="lv-LV"/>
        </w:rPr>
        <w:t>Programmas apsaimniekotājs</w:t>
      </w:r>
      <w:r w:rsidR="00956E50">
        <w:rPr>
          <w:szCs w:val="24"/>
          <w:lang w:val="lv-LV" w:eastAsia="lv-LV"/>
        </w:rPr>
        <w:t xml:space="preserve"> F</w:t>
      </w:r>
      <w:r w:rsidR="00B14470">
        <w:rPr>
          <w:szCs w:val="24"/>
          <w:lang w:val="lv-LV" w:eastAsia="lv-LV"/>
        </w:rPr>
        <w:t>inansējuma saņēmējam, kas nav Iekšlietu ministrijas padotības iestāde vai Finanšu izlūkošanas dienests,</w:t>
      </w:r>
      <w:r>
        <w:rPr>
          <w:szCs w:val="24"/>
          <w:lang w:val="lv-LV" w:eastAsia="lv-LV"/>
        </w:rPr>
        <w:t xml:space="preserve"> pārskaita finansējumu</w:t>
      </w:r>
      <w:r w:rsidR="00B14470">
        <w:rPr>
          <w:szCs w:val="24"/>
          <w:lang w:val="lv-LV" w:eastAsia="lv-LV"/>
        </w:rPr>
        <w:t xml:space="preserve"> atbilstoši transfertu veidlapā paredzētajam</w:t>
      </w:r>
      <w:r w:rsidR="00495384">
        <w:rPr>
          <w:szCs w:val="24"/>
          <w:lang w:val="lv-LV" w:eastAsia="lv-LV"/>
        </w:rPr>
        <w:t xml:space="preserve"> 10</w:t>
      </w:r>
      <w:r w:rsidR="00D91B48">
        <w:rPr>
          <w:szCs w:val="24"/>
          <w:lang w:val="lv-LV" w:eastAsia="lv-LV"/>
        </w:rPr>
        <w:t xml:space="preserve"> (desmit)</w:t>
      </w:r>
      <w:r w:rsidR="00495384">
        <w:rPr>
          <w:szCs w:val="24"/>
          <w:lang w:val="lv-LV" w:eastAsia="lv-LV"/>
        </w:rPr>
        <w:t xml:space="preserve"> darba dienu laikā no brīža, kad attiecīgais finansējums ir kļuvis pieejams attiecīgajam mērķim</w:t>
      </w:r>
      <w:r>
        <w:rPr>
          <w:szCs w:val="24"/>
          <w:lang w:val="lv-LV" w:eastAsia="lv-LV"/>
        </w:rPr>
        <w:t xml:space="preserve"> 90%</w:t>
      </w:r>
      <w:r w:rsidR="00D91B48">
        <w:rPr>
          <w:szCs w:val="24"/>
          <w:lang w:val="lv-LV" w:eastAsia="lv-LV"/>
        </w:rPr>
        <w:t xml:space="preserve"> (deviņdesmit procentu)</w:t>
      </w:r>
      <w:r>
        <w:rPr>
          <w:szCs w:val="24"/>
          <w:lang w:val="lv-LV" w:eastAsia="lv-LV"/>
        </w:rPr>
        <w:t xml:space="preserve"> apmērā no </w:t>
      </w:r>
      <w:r w:rsidR="00956E50">
        <w:rPr>
          <w:szCs w:val="24"/>
          <w:lang w:val="lv-LV" w:eastAsia="lv-LV"/>
        </w:rPr>
        <w:t>transfertu veidlapā</w:t>
      </w:r>
      <w:r w:rsidR="008B5849">
        <w:rPr>
          <w:szCs w:val="24"/>
          <w:lang w:val="lv-LV" w:eastAsia="lv-LV"/>
        </w:rPr>
        <w:t xml:space="preserve"> norādītās summas</w:t>
      </w:r>
      <w:r w:rsidR="00956E50">
        <w:rPr>
          <w:szCs w:val="24"/>
          <w:lang w:val="lv-LV" w:eastAsia="lv-LV"/>
        </w:rPr>
        <w:t xml:space="preserve"> attiecīgajam kalendāra gadam</w:t>
      </w:r>
      <w:r w:rsidR="008B5849">
        <w:rPr>
          <w:szCs w:val="24"/>
          <w:lang w:val="lv-LV" w:eastAsia="lv-LV"/>
        </w:rPr>
        <w:t xml:space="preserve"> kā avansa finansējum</w:t>
      </w:r>
      <w:r w:rsidR="00D21A20">
        <w:rPr>
          <w:szCs w:val="24"/>
          <w:lang w:val="lv-LV" w:eastAsia="lv-LV"/>
        </w:rPr>
        <w:t>u</w:t>
      </w:r>
      <w:r w:rsidR="008B5849">
        <w:rPr>
          <w:szCs w:val="24"/>
          <w:lang w:val="lv-LV" w:eastAsia="lv-LV"/>
        </w:rPr>
        <w:t xml:space="preserve">, savukārt, </w:t>
      </w:r>
      <w:r w:rsidR="00CA5FC3">
        <w:rPr>
          <w:szCs w:val="24"/>
          <w:lang w:val="lv-LV" w:eastAsia="lv-LV"/>
        </w:rPr>
        <w:t xml:space="preserve"> atlikušo finansējuma</w:t>
      </w:r>
      <w:r w:rsidR="009F4070">
        <w:rPr>
          <w:szCs w:val="24"/>
          <w:lang w:val="lv-LV" w:eastAsia="lv-LV"/>
        </w:rPr>
        <w:t xml:space="preserve"> daļu atbilstoši</w:t>
      </w:r>
      <w:r w:rsidR="00956E50">
        <w:rPr>
          <w:szCs w:val="24"/>
          <w:lang w:val="lv-LV" w:eastAsia="lv-LV"/>
        </w:rPr>
        <w:t xml:space="preserve"> attiecīgajā kalendārajā gadā</w:t>
      </w:r>
      <w:r w:rsidR="009F4070">
        <w:rPr>
          <w:szCs w:val="24"/>
          <w:lang w:val="lv-LV" w:eastAsia="lv-LV"/>
        </w:rPr>
        <w:t xml:space="preserve"> veikto maksājumu summa</w:t>
      </w:r>
      <w:r w:rsidR="00B14470">
        <w:rPr>
          <w:szCs w:val="24"/>
          <w:lang w:val="lv-LV" w:eastAsia="lv-LV"/>
        </w:rPr>
        <w:t>i</w:t>
      </w:r>
      <w:r w:rsidR="00956E50">
        <w:rPr>
          <w:szCs w:val="24"/>
          <w:lang w:val="lv-LV" w:eastAsia="lv-LV"/>
        </w:rPr>
        <w:t>, no kuras atskaita avansa finansējuma summu</w:t>
      </w:r>
      <w:r w:rsidR="009F4070">
        <w:rPr>
          <w:szCs w:val="24"/>
          <w:lang w:val="lv-LV" w:eastAsia="lv-LV"/>
        </w:rPr>
        <w:t>, nepārsniedzot 10%</w:t>
      </w:r>
      <w:r w:rsidR="00D91B48">
        <w:rPr>
          <w:szCs w:val="24"/>
          <w:lang w:val="lv-LV" w:eastAsia="lv-LV"/>
        </w:rPr>
        <w:t xml:space="preserve"> (desmit procentus)</w:t>
      </w:r>
      <w:r w:rsidR="009F4070">
        <w:rPr>
          <w:szCs w:val="24"/>
          <w:lang w:val="lv-LV" w:eastAsia="lv-LV"/>
        </w:rPr>
        <w:t xml:space="preserve"> no kopējā </w:t>
      </w:r>
      <w:r w:rsidR="00D21A20">
        <w:rPr>
          <w:szCs w:val="24"/>
          <w:lang w:val="lv-LV" w:eastAsia="lv-LV"/>
        </w:rPr>
        <w:t xml:space="preserve">attiecīgajā kalendārajā gadā </w:t>
      </w:r>
      <w:r w:rsidR="009F4070">
        <w:rPr>
          <w:szCs w:val="24"/>
          <w:lang w:val="lv-LV" w:eastAsia="lv-LV"/>
        </w:rPr>
        <w:t>plānoto izdevumu summas</w:t>
      </w:r>
      <w:r w:rsidR="00495384">
        <w:rPr>
          <w:szCs w:val="24"/>
          <w:lang w:val="lv-LV" w:eastAsia="lv-LV"/>
        </w:rPr>
        <w:t xml:space="preserve"> 10 </w:t>
      </w:r>
      <w:r w:rsidR="00D91B48">
        <w:rPr>
          <w:szCs w:val="24"/>
          <w:lang w:val="lv-LV" w:eastAsia="lv-LV"/>
        </w:rPr>
        <w:t xml:space="preserve">(desmit) </w:t>
      </w:r>
      <w:r w:rsidR="00495384">
        <w:rPr>
          <w:szCs w:val="24"/>
          <w:lang w:val="lv-LV" w:eastAsia="lv-LV"/>
        </w:rPr>
        <w:t>darba dienu laikā</w:t>
      </w:r>
      <w:r w:rsidR="00CA5FC3">
        <w:rPr>
          <w:szCs w:val="24"/>
          <w:lang w:val="lv-LV" w:eastAsia="lv-LV"/>
        </w:rPr>
        <w:t xml:space="preserve"> pēc </w:t>
      </w:r>
      <w:r w:rsidR="00956E50">
        <w:rPr>
          <w:szCs w:val="24"/>
          <w:lang w:val="lv-LV" w:eastAsia="lv-LV"/>
        </w:rPr>
        <w:t>Vienošanās</w:t>
      </w:r>
      <w:r w:rsidR="00CA5FC3">
        <w:rPr>
          <w:szCs w:val="24"/>
          <w:lang w:val="lv-LV" w:eastAsia="lv-LV"/>
        </w:rPr>
        <w:t xml:space="preserve"> 5.2.punktā minētā atzinuma </w:t>
      </w:r>
      <w:r w:rsidR="00D21A20">
        <w:rPr>
          <w:szCs w:val="24"/>
          <w:lang w:val="lv-LV" w:eastAsia="lv-LV"/>
        </w:rPr>
        <w:t>apstiprināšana</w:t>
      </w:r>
      <w:r w:rsidR="00CA5FC3">
        <w:rPr>
          <w:szCs w:val="24"/>
          <w:lang w:val="lv-LV" w:eastAsia="lv-LV"/>
        </w:rPr>
        <w:t>s</w:t>
      </w:r>
      <w:r w:rsidR="009F4070">
        <w:rPr>
          <w:szCs w:val="24"/>
          <w:lang w:val="lv-LV" w:eastAsia="lv-LV"/>
        </w:rPr>
        <w:t>.</w:t>
      </w:r>
      <w:r w:rsidR="00D21A20">
        <w:rPr>
          <w:szCs w:val="24"/>
          <w:lang w:val="lv-LV" w:eastAsia="lv-LV"/>
        </w:rPr>
        <w:t xml:space="preserve"> Ja šajā apakšpunktā norādītais avansa finansējums netiek izlietots līdz kārtējā kalendāra gada 15.decembrim, finansējuma saņēmējs, kas nav Iekšlietu ministrijas padotības iestāde vai Finanšu izlūkošanas dienests, nodrošina finansējuma atlikuma ieskaitīšanu Programmas apsaimniekotājam.</w:t>
      </w:r>
    </w:p>
    <w:p w14:paraId="270F7183" w14:textId="77777777" w:rsidR="000817B5" w:rsidRPr="00C855A6" w:rsidRDefault="000817B5" w:rsidP="000817B5">
      <w:pPr>
        <w:ind w:left="555"/>
        <w:jc w:val="both"/>
        <w:rPr>
          <w:lang w:val="lv-LV"/>
        </w:rPr>
      </w:pPr>
    </w:p>
    <w:p w14:paraId="4E7ECE5B" w14:textId="77777777" w:rsidR="005464A7" w:rsidRPr="00C855A6" w:rsidRDefault="005464A7" w:rsidP="005464A7">
      <w:pPr>
        <w:ind w:left="555"/>
        <w:jc w:val="both"/>
        <w:rPr>
          <w:i/>
          <w:lang w:val="lv-LV"/>
        </w:rPr>
      </w:pPr>
    </w:p>
    <w:p w14:paraId="71BF5A76" w14:textId="77777777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 xml:space="preserve">Ja </w:t>
      </w:r>
      <w:r w:rsidR="000817B5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īstenošanas gaitā ir notikusi </w:t>
      </w:r>
      <w:r w:rsidR="000817B5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fi</w:t>
      </w:r>
      <w:r w:rsidR="004446AD" w:rsidRPr="00C855A6">
        <w:rPr>
          <w:szCs w:val="24"/>
          <w:lang w:val="lv-LV" w:eastAsia="lv-LV"/>
        </w:rPr>
        <w:t xml:space="preserve">nansējuma summas vai tās daļas </w:t>
      </w:r>
      <w:r w:rsidRPr="00C855A6">
        <w:rPr>
          <w:szCs w:val="24"/>
          <w:lang w:val="lv-LV" w:eastAsia="lv-LV"/>
        </w:rPr>
        <w:t xml:space="preserve">pārmaksa vai nepamatota izmaksa, 10 (desmit) darba dienu laikā pēc Programmas </w:t>
      </w:r>
      <w:r w:rsidR="004446AD" w:rsidRPr="00C855A6">
        <w:rPr>
          <w:szCs w:val="24"/>
          <w:lang w:val="lv-LV" w:eastAsia="lv-LV"/>
        </w:rPr>
        <w:t>apsaimniekotāja</w:t>
      </w:r>
      <w:r w:rsidRPr="00C855A6">
        <w:rPr>
          <w:szCs w:val="24"/>
          <w:lang w:val="lv-LV" w:eastAsia="lv-LV"/>
        </w:rPr>
        <w:t xml:space="preserve"> rakstveida pieprasījuma saņemšanas Finansējuma</w:t>
      </w:r>
      <w:r w:rsidRPr="00892818">
        <w:rPr>
          <w:szCs w:val="24"/>
          <w:lang w:val="lv-LV" w:eastAsia="lv-LV"/>
        </w:rPr>
        <w:t xml:space="preserve"> saņēmējs atmaksā Programmas </w:t>
      </w:r>
      <w:r w:rsidR="004446AD">
        <w:rPr>
          <w:szCs w:val="24"/>
          <w:lang w:val="lv-LV" w:eastAsia="lv-LV"/>
        </w:rPr>
        <w:t>apsaimniekotājam</w:t>
      </w:r>
      <w:r w:rsidRPr="00892818">
        <w:rPr>
          <w:szCs w:val="24"/>
          <w:lang w:val="lv-LV" w:eastAsia="lv-LV"/>
        </w:rPr>
        <w:t xml:space="preserve"> pārmaksāto vai nepamatoti izmaksāto summu, vai, pēc Programmas </w:t>
      </w:r>
      <w:r w:rsidR="004446AD">
        <w:rPr>
          <w:szCs w:val="24"/>
          <w:lang w:val="lv-LV" w:eastAsia="lv-LV"/>
        </w:rPr>
        <w:t xml:space="preserve">apsaimniekotāja </w:t>
      </w:r>
      <w:r w:rsidRPr="00892818">
        <w:rPr>
          <w:szCs w:val="24"/>
          <w:lang w:val="lv-LV" w:eastAsia="lv-LV"/>
        </w:rPr>
        <w:t xml:space="preserve">norādījuma, rakstveidā vienojas ar Programmas </w:t>
      </w:r>
      <w:r w:rsidR="004446AD">
        <w:rPr>
          <w:szCs w:val="24"/>
          <w:lang w:val="lv-LV" w:eastAsia="lv-LV"/>
        </w:rPr>
        <w:t>apsaimniekotāju</w:t>
      </w:r>
      <w:r w:rsidRPr="00892818">
        <w:rPr>
          <w:szCs w:val="24"/>
          <w:lang w:val="lv-LV" w:eastAsia="lv-LV"/>
        </w:rPr>
        <w:t xml:space="preserve"> par pārmaksātās vai nepamatoti izmaksātās finansējuma summas vai tās daļas atmaksas kalendāro grafiku.</w:t>
      </w:r>
    </w:p>
    <w:p w14:paraId="54FE662A" w14:textId="77777777" w:rsidR="005464A7" w:rsidRDefault="005464A7" w:rsidP="005464A7">
      <w:pPr>
        <w:tabs>
          <w:tab w:val="left" w:pos="6492"/>
        </w:tabs>
        <w:ind w:left="555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ab/>
      </w:r>
    </w:p>
    <w:p w14:paraId="3EA2387E" w14:textId="2BF28710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lastRenderedPageBreak/>
        <w:t xml:space="preserve">Ja </w:t>
      </w:r>
      <w:r w:rsidR="005448FC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īstenošanas gaitā rodas papildu izmaksas un </w:t>
      </w:r>
      <w:r w:rsidR="005448FC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faktiskās izmaksas ir lielākas par </w:t>
      </w:r>
      <w:r>
        <w:rPr>
          <w:szCs w:val="24"/>
          <w:lang w:val="lv-LV" w:eastAsia="lv-LV"/>
        </w:rPr>
        <w:t>Vienošanās</w:t>
      </w:r>
      <w:r w:rsidRPr="00DA1460">
        <w:rPr>
          <w:szCs w:val="24"/>
          <w:lang w:val="lv-LV" w:eastAsia="lv-LV"/>
        </w:rPr>
        <w:t xml:space="preserve"> 1.</w:t>
      </w:r>
      <w:r>
        <w:rPr>
          <w:szCs w:val="24"/>
          <w:lang w:val="lv-LV" w:eastAsia="lv-LV"/>
        </w:rPr>
        <w:t>1</w:t>
      </w:r>
      <w:r w:rsidRPr="00DA1460">
        <w:rPr>
          <w:szCs w:val="24"/>
          <w:lang w:val="lv-LV" w:eastAsia="lv-LV"/>
        </w:rPr>
        <w:t xml:space="preserve">.apakšpunktā minēto kopējo finansējumu, </w:t>
      </w: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 xml:space="preserve">inansējuma saņēmējs uzņemas nodrošināt papildu finansējuma savlaicīgu piesaisti, lai nodrošinātu </w:t>
      </w:r>
      <w:r w:rsidR="005448FC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īstenošanu plānotajā laikā un apjomā</w:t>
      </w:r>
      <w:r>
        <w:rPr>
          <w:szCs w:val="24"/>
          <w:lang w:val="lv-LV" w:eastAsia="lv-LV"/>
        </w:rPr>
        <w:t>, kā arī sedz sadārdzinājumu no saviem finanšu līdzekļiem</w:t>
      </w:r>
      <w:r w:rsidRPr="00DA1460">
        <w:rPr>
          <w:szCs w:val="24"/>
          <w:lang w:val="lv-LV" w:eastAsia="lv-LV"/>
        </w:rPr>
        <w:t>.</w:t>
      </w:r>
    </w:p>
    <w:p w14:paraId="635CE8A1" w14:textId="77777777" w:rsidR="004446AD" w:rsidRDefault="004446AD" w:rsidP="004446AD">
      <w:pPr>
        <w:ind w:left="555"/>
        <w:jc w:val="both"/>
        <w:rPr>
          <w:szCs w:val="24"/>
          <w:lang w:val="lv-LV" w:eastAsia="lv-LV"/>
        </w:rPr>
      </w:pPr>
    </w:p>
    <w:p w14:paraId="7E5551C2" w14:textId="77777777" w:rsidR="005464A7" w:rsidRDefault="004446AD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 w:rsidRPr="004446AD">
        <w:rPr>
          <w:b/>
          <w:szCs w:val="24"/>
          <w:lang w:val="lv-LV" w:eastAsia="lv-LV"/>
        </w:rPr>
        <w:t xml:space="preserve">Iniciatīvas </w:t>
      </w:r>
      <w:r w:rsidR="005464A7" w:rsidRPr="00DA1460">
        <w:rPr>
          <w:b/>
          <w:szCs w:val="24"/>
          <w:lang w:val="lv-LV" w:eastAsia="lv-LV"/>
        </w:rPr>
        <w:t>izmaksu attiecināmība</w:t>
      </w:r>
    </w:p>
    <w:p w14:paraId="2A2E878C" w14:textId="77777777" w:rsidR="004446AD" w:rsidRDefault="004446AD" w:rsidP="004446AD">
      <w:pPr>
        <w:ind w:left="555"/>
        <w:rPr>
          <w:b/>
          <w:szCs w:val="24"/>
          <w:lang w:val="lv-LV" w:eastAsia="lv-LV"/>
        </w:rPr>
      </w:pPr>
    </w:p>
    <w:p w14:paraId="5612DA4D" w14:textId="17FEA58F" w:rsidR="005464A7" w:rsidRDefault="004446AD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Iniciatīvas</w:t>
      </w:r>
      <w:r w:rsidR="005464A7" w:rsidRPr="00DA1460">
        <w:rPr>
          <w:szCs w:val="24"/>
          <w:lang w:val="lv-LV" w:eastAsia="lv-LV"/>
        </w:rPr>
        <w:t xml:space="preserve"> izmaksu attiecināmības vērtēšanā </w:t>
      </w:r>
      <w:r w:rsidR="005464A7">
        <w:rPr>
          <w:szCs w:val="24"/>
          <w:lang w:val="lv-LV" w:eastAsia="lv-LV"/>
        </w:rPr>
        <w:t xml:space="preserve">Programmas </w:t>
      </w:r>
      <w:r>
        <w:rPr>
          <w:szCs w:val="24"/>
          <w:lang w:val="lv-LV" w:eastAsia="lv-LV"/>
        </w:rPr>
        <w:t>apsaimniekotājs</w:t>
      </w:r>
      <w:r w:rsidR="005464A7">
        <w:rPr>
          <w:szCs w:val="24"/>
          <w:lang w:val="lv-LV" w:eastAsia="lv-LV"/>
        </w:rPr>
        <w:t xml:space="preserve"> </w:t>
      </w:r>
      <w:r w:rsidR="005464A7" w:rsidRPr="00DA1460">
        <w:rPr>
          <w:szCs w:val="24"/>
          <w:lang w:val="lv-LV" w:eastAsia="lv-LV"/>
        </w:rPr>
        <w:t xml:space="preserve">ņem vērā </w:t>
      </w:r>
      <w:r>
        <w:rPr>
          <w:szCs w:val="24"/>
          <w:lang w:val="lv-LV" w:eastAsia="lv-LV"/>
        </w:rPr>
        <w:t>Vienošanā</w:t>
      </w:r>
      <w:r w:rsidR="005464A7">
        <w:rPr>
          <w:szCs w:val="24"/>
          <w:lang w:val="lv-LV" w:eastAsia="lv-LV"/>
        </w:rPr>
        <w:t>, Saprašanās memorandā</w:t>
      </w:r>
      <w:r w:rsidR="005464A7">
        <w:rPr>
          <w:rStyle w:val="FootnoteReference"/>
          <w:szCs w:val="24"/>
          <w:lang w:val="lv-LV" w:eastAsia="lv-LV"/>
        </w:rPr>
        <w:footnoteReference w:id="1"/>
      </w:r>
      <w:r w:rsidR="005464A7">
        <w:rPr>
          <w:szCs w:val="24"/>
          <w:lang w:val="lv-LV" w:eastAsia="lv-LV"/>
        </w:rPr>
        <w:t xml:space="preserve">, </w:t>
      </w:r>
      <w:r>
        <w:rPr>
          <w:szCs w:val="28"/>
          <w:lang w:val="lv-LV"/>
        </w:rPr>
        <w:t>Donorvalstu noteikumu</w:t>
      </w:r>
      <w:r w:rsidR="005464A7" w:rsidRPr="000812B0">
        <w:rPr>
          <w:szCs w:val="24"/>
          <w:lang w:val="lv-LV" w:eastAsia="lv-LV"/>
        </w:rPr>
        <w:t xml:space="preserve"> 8.</w:t>
      </w:r>
      <w:r w:rsidR="00C050BD">
        <w:rPr>
          <w:szCs w:val="24"/>
          <w:lang w:val="lv-LV" w:eastAsia="lv-LV"/>
        </w:rPr>
        <w:t xml:space="preserve"> </w:t>
      </w:r>
      <w:r w:rsidR="005464A7" w:rsidRPr="000812B0">
        <w:rPr>
          <w:szCs w:val="24"/>
          <w:lang w:val="lv-LV" w:eastAsia="lv-LV"/>
        </w:rPr>
        <w:t>nodaļā noteikt</w:t>
      </w:r>
      <w:r>
        <w:rPr>
          <w:szCs w:val="24"/>
          <w:lang w:val="lv-LV" w:eastAsia="lv-LV"/>
        </w:rPr>
        <w:t>os nosacījumus</w:t>
      </w:r>
      <w:r w:rsidR="005464A7">
        <w:rPr>
          <w:szCs w:val="24"/>
          <w:lang w:val="lv-LV" w:eastAsia="lv-LV"/>
        </w:rPr>
        <w:t>, Latvijas Republikas normatīvajos aktos, Finanšu ministrijas kā vadošās iestādes Eiropas Ekonomikas zonas finanšu instrumenta vadlīnijās un metodikās</w:t>
      </w:r>
      <w:r w:rsidR="00C050BD">
        <w:rPr>
          <w:szCs w:val="24"/>
          <w:lang w:val="lv-LV" w:eastAsia="lv-LV"/>
        </w:rPr>
        <w:t xml:space="preserve"> noteiktos nosacījumus</w:t>
      </w:r>
      <w:r w:rsidR="005464A7" w:rsidRPr="000812B0">
        <w:rPr>
          <w:szCs w:val="24"/>
          <w:lang w:val="lv-LV" w:eastAsia="lv-LV"/>
        </w:rPr>
        <w:t>.</w:t>
      </w:r>
    </w:p>
    <w:p w14:paraId="2C4DB103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3B8C8F4A" w14:textId="77777777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Finansējuma saņēmējs nodrošina un atbild, ka finansējums tiek izlietots tikai un vienīgi ar </w:t>
      </w:r>
      <w:r w:rsidR="00C050BD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īstenošanu saistīto aktivitāšu izdevumu apmaksai.</w:t>
      </w:r>
    </w:p>
    <w:p w14:paraId="1A61E380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38616245" w14:textId="7D36F12C" w:rsidR="005464A7" w:rsidRPr="00C050BD" w:rsidRDefault="005464A7" w:rsidP="00463B48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C050BD">
        <w:rPr>
          <w:szCs w:val="24"/>
          <w:lang w:val="lv-LV" w:eastAsia="lv-LV"/>
        </w:rPr>
        <w:t>Vienošanās 1.3.</w:t>
      </w:r>
      <w:r w:rsidR="00C050BD" w:rsidRPr="00C050BD">
        <w:rPr>
          <w:szCs w:val="24"/>
          <w:lang w:val="lv-LV" w:eastAsia="lv-LV"/>
        </w:rPr>
        <w:t xml:space="preserve"> </w:t>
      </w:r>
      <w:r w:rsidRPr="00C050BD">
        <w:rPr>
          <w:szCs w:val="24"/>
          <w:lang w:val="lv-LV" w:eastAsia="lv-LV"/>
        </w:rPr>
        <w:t>apakšpunktā noteiktajā termiņā radušās izmaksas uzskatāmas par attiecināmām, ja tās veiktas atbils</w:t>
      </w:r>
      <w:r w:rsidR="00C050BD" w:rsidRPr="00C050BD">
        <w:rPr>
          <w:szCs w:val="24"/>
          <w:lang w:val="lv-LV" w:eastAsia="lv-LV"/>
        </w:rPr>
        <w:t xml:space="preserve">toši normatīvo aktu un </w:t>
      </w:r>
      <w:r w:rsidRPr="00C050BD">
        <w:rPr>
          <w:szCs w:val="24"/>
          <w:lang w:val="lv-LV" w:eastAsia="lv-LV"/>
        </w:rPr>
        <w:t xml:space="preserve">Vienošanās prasībām, kā arī </w:t>
      </w:r>
      <w:r w:rsidR="00C050BD" w:rsidRPr="00C050BD">
        <w:rPr>
          <w:szCs w:val="24"/>
          <w:lang w:val="lv-LV" w:eastAsia="lv-LV"/>
        </w:rPr>
        <w:t xml:space="preserve">Iniciatīvas pieteikumam, </w:t>
      </w:r>
      <w:r w:rsidRPr="00C050BD">
        <w:rPr>
          <w:szCs w:val="24"/>
          <w:lang w:val="lv-LV" w:eastAsia="lv-LV"/>
        </w:rPr>
        <w:t>un tās apmaksātas</w:t>
      </w:r>
      <w:r w:rsidR="00956E50">
        <w:rPr>
          <w:szCs w:val="24"/>
          <w:lang w:val="lv-LV" w:eastAsia="lv-LV"/>
        </w:rPr>
        <w:t xml:space="preserve"> ne vēlāk kā</w:t>
      </w:r>
      <w:r w:rsidRPr="00C050BD">
        <w:rPr>
          <w:szCs w:val="24"/>
          <w:lang w:val="lv-LV" w:eastAsia="lv-LV"/>
        </w:rPr>
        <w:t xml:space="preserve"> 30 (trīsdesmit) dienu laikā pēc </w:t>
      </w:r>
      <w:r w:rsidR="00C050BD" w:rsidRPr="00C050BD">
        <w:rPr>
          <w:szCs w:val="24"/>
          <w:lang w:val="lv-LV" w:eastAsia="lv-LV"/>
        </w:rPr>
        <w:t>Iniciatīvas īstenošanas termiņa beigām.</w:t>
      </w:r>
      <w:r w:rsidRPr="00C050BD">
        <w:rPr>
          <w:szCs w:val="24"/>
          <w:lang w:val="lv-LV" w:eastAsia="lv-LV"/>
        </w:rPr>
        <w:t xml:space="preserve"> </w:t>
      </w:r>
    </w:p>
    <w:p w14:paraId="0B03B076" w14:textId="3FCF20EB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Programmas </w:t>
      </w:r>
      <w:r w:rsidR="00C050BD">
        <w:rPr>
          <w:szCs w:val="24"/>
          <w:lang w:val="lv-LV" w:eastAsia="lv-LV"/>
        </w:rPr>
        <w:t>apsaimniekotājs</w:t>
      </w:r>
      <w:r w:rsidRPr="00DA1460">
        <w:rPr>
          <w:szCs w:val="24"/>
          <w:lang w:val="lv-LV" w:eastAsia="lv-LV"/>
        </w:rPr>
        <w:t xml:space="preserve"> samazina </w:t>
      </w:r>
      <w:r w:rsidR="00C050BD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pārskatā iekļauto attiecināmo izdevumu summu, ja izdevumi nav veikti atbilstoši </w:t>
      </w:r>
      <w:r w:rsidR="00C050BD">
        <w:rPr>
          <w:szCs w:val="24"/>
          <w:lang w:val="lv-LV" w:eastAsia="lv-LV"/>
        </w:rPr>
        <w:t>Iniciatīvas pieteikumam</w:t>
      </w:r>
      <w:r w:rsidRPr="00DA1460">
        <w:rPr>
          <w:szCs w:val="24"/>
          <w:lang w:val="lv-LV" w:eastAsia="lv-LV"/>
        </w:rPr>
        <w:t xml:space="preserve">, </w:t>
      </w:r>
      <w:r w:rsidR="00C050BD">
        <w:rPr>
          <w:szCs w:val="24"/>
          <w:lang w:val="lv-LV" w:eastAsia="lv-LV"/>
        </w:rPr>
        <w:t>Vienošanās</w:t>
      </w:r>
      <w:r w:rsidRPr="00DA1460">
        <w:rPr>
          <w:szCs w:val="24"/>
          <w:lang w:val="lv-LV" w:eastAsia="lv-LV"/>
        </w:rPr>
        <w:t>, Latvijas Republikas normatīvajiem aktiem, Eiropas Savienības tiesību aktiem un Donorvalsts noteikumiem, kā arī, ja nav iesniegti izdevumus pamatojošie dokumenti</w:t>
      </w:r>
      <w:r w:rsidR="00D91B48">
        <w:rPr>
          <w:szCs w:val="24"/>
          <w:lang w:val="lv-LV" w:eastAsia="lv-LV"/>
        </w:rPr>
        <w:t>, vai arī tie nav atbilstoši</w:t>
      </w:r>
      <w:r w:rsidRPr="00DA1460">
        <w:rPr>
          <w:szCs w:val="24"/>
          <w:lang w:val="lv-LV" w:eastAsia="lv-LV"/>
        </w:rPr>
        <w:t>.</w:t>
      </w:r>
    </w:p>
    <w:p w14:paraId="2795459B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249C21A1" w14:textId="77777777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Programmas </w:t>
      </w:r>
      <w:r w:rsidR="00C050BD">
        <w:rPr>
          <w:szCs w:val="24"/>
          <w:lang w:val="lv-LV" w:eastAsia="lv-LV"/>
        </w:rPr>
        <w:t>apsaimniekotājs</w:t>
      </w:r>
      <w:r w:rsidRPr="00DA1460">
        <w:rPr>
          <w:szCs w:val="24"/>
          <w:lang w:val="lv-LV" w:eastAsia="lv-LV"/>
        </w:rPr>
        <w:t>, samazinot attiecināmo izdevumu summu, ievēro Ministru kabineta 2018.</w:t>
      </w:r>
      <w:r w:rsidR="00C050BD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gada 13.</w:t>
      </w:r>
      <w:r w:rsidR="00C050BD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novembra noteikumu Nr.683 </w:t>
      </w:r>
      <w:r>
        <w:rPr>
          <w:szCs w:val="24"/>
          <w:lang w:val="lv-LV" w:eastAsia="lv-LV"/>
        </w:rPr>
        <w:t>„</w:t>
      </w:r>
      <w:r w:rsidRPr="00DA1460">
        <w:rPr>
          <w:szCs w:val="24"/>
          <w:lang w:val="lv-LV" w:eastAsia="lv-LV"/>
        </w:rPr>
        <w:t>Eiropas Ekonomikas zonas finanšu instrumenta un Norvēģijas finanšu instrumenta 2014.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–</w:t>
      </w:r>
      <w:r>
        <w:rPr>
          <w:szCs w:val="24"/>
          <w:lang w:val="lv-LV" w:eastAsia="lv-LV"/>
        </w:rPr>
        <w:t> </w:t>
      </w:r>
      <w:r w:rsidRPr="00DA1460">
        <w:rPr>
          <w:szCs w:val="24"/>
          <w:lang w:val="lv-LV" w:eastAsia="lv-LV"/>
        </w:rPr>
        <w:t>2021.</w:t>
      </w:r>
      <w:r w:rsidR="00C050BD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gada perioda vadības noteikumi” (turpmāk – Vadības noteikumi) XVI.</w:t>
      </w:r>
      <w:r w:rsidR="00C050BD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nodaļā noteikto un vadošās iestādes </w:t>
      </w:r>
      <w:r>
        <w:rPr>
          <w:szCs w:val="24"/>
          <w:lang w:val="lv-LV" w:eastAsia="lv-LV"/>
        </w:rPr>
        <w:t>2019.</w:t>
      </w:r>
      <w:r w:rsidR="00C050BD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gada 27.</w:t>
      </w:r>
      <w:r w:rsidR="00C050BD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maija Vadlīnijas Nr.3 „</w:t>
      </w:r>
      <w:r w:rsidRPr="00DA1460">
        <w:rPr>
          <w:szCs w:val="24"/>
          <w:lang w:val="lv-LV" w:eastAsia="lv-LV"/>
        </w:rPr>
        <w:t>Vadlīnijas ziņošanai un informēšanai par neatbilstībām, neatbilstību uzskaitei un finanšu korekciju piemērošanai Eiropas Ekonomikas zonas un Norvēģijas finanšu instrumentu 2014.–2021.</w:t>
      </w:r>
      <w:r w:rsidR="00C050BD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gada periodā</w:t>
      </w:r>
      <w:r>
        <w:rPr>
          <w:szCs w:val="24"/>
          <w:lang w:val="lv-LV" w:eastAsia="lv-LV"/>
        </w:rPr>
        <w:t>”</w:t>
      </w:r>
      <w:r w:rsidRPr="00DA1460">
        <w:rPr>
          <w:szCs w:val="24"/>
          <w:lang w:val="lv-LV" w:eastAsia="lv-LV"/>
        </w:rPr>
        <w:t>.</w:t>
      </w:r>
    </w:p>
    <w:p w14:paraId="14C2DA8F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558EEBD0" w14:textId="2CA93534" w:rsidR="005464A7" w:rsidRPr="00F426FE" w:rsidRDefault="00C050BD" w:rsidP="00F426FE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>Iniciatīvas</w:t>
      </w:r>
      <w:r w:rsidR="005464A7" w:rsidRPr="00C855A6">
        <w:rPr>
          <w:szCs w:val="24"/>
          <w:lang w:val="lv-LV" w:eastAsia="lv-LV"/>
        </w:rPr>
        <w:t xml:space="preserve"> īstenošanas izdevumus, kas nav veikti </w:t>
      </w:r>
      <w:r w:rsidR="005464A7" w:rsidRPr="00C855A6">
        <w:rPr>
          <w:i/>
          <w:szCs w:val="24"/>
          <w:lang w:val="lv-LV" w:eastAsia="lv-LV"/>
        </w:rPr>
        <w:t>euro</w:t>
      </w:r>
      <w:r w:rsidR="005464A7" w:rsidRPr="00C855A6">
        <w:rPr>
          <w:szCs w:val="24"/>
          <w:lang w:val="lv-LV" w:eastAsia="lv-LV"/>
        </w:rPr>
        <w:t xml:space="preserve">, Finansējuma saņēmējs konvertē uz </w:t>
      </w:r>
      <w:r w:rsidR="005464A7" w:rsidRPr="00C855A6">
        <w:rPr>
          <w:i/>
          <w:szCs w:val="24"/>
          <w:lang w:val="lv-LV" w:eastAsia="lv-LV"/>
        </w:rPr>
        <w:t>euro</w:t>
      </w:r>
      <w:r w:rsidR="005464A7" w:rsidRPr="00C855A6">
        <w:rPr>
          <w:szCs w:val="24"/>
          <w:lang w:val="lv-LV" w:eastAsia="lv-LV"/>
        </w:rPr>
        <w:t>, izmantojot Eiropas Komisijas ikmēneša valūtas maiņas kursu mēnesī, kurā izdevumi reģistrēti Finansējuma saņēmēja norēķinu kontā vai faktiski veikti maksājumi, ja tie veikti skaidrā naudā.</w:t>
      </w:r>
    </w:p>
    <w:p w14:paraId="66F96260" w14:textId="77777777" w:rsidR="00C050BD" w:rsidRDefault="00C050BD" w:rsidP="005464A7">
      <w:pPr>
        <w:ind w:left="555"/>
        <w:jc w:val="both"/>
        <w:rPr>
          <w:szCs w:val="24"/>
          <w:lang w:val="lv-LV" w:eastAsia="lv-LV"/>
        </w:rPr>
      </w:pPr>
    </w:p>
    <w:p w14:paraId="083FF896" w14:textId="5445130A" w:rsidR="005464A7" w:rsidRDefault="005464A7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 w:rsidRPr="00DA1460">
        <w:rPr>
          <w:b/>
          <w:szCs w:val="24"/>
          <w:lang w:val="lv-LV" w:eastAsia="lv-LV"/>
        </w:rPr>
        <w:t xml:space="preserve">Prasības iepirkumu veikšanai </w:t>
      </w:r>
      <w:r w:rsidR="00155FF6">
        <w:rPr>
          <w:b/>
          <w:szCs w:val="24"/>
          <w:lang w:val="lv-LV" w:eastAsia="lv-LV"/>
        </w:rPr>
        <w:t>Iniciatīvas</w:t>
      </w:r>
      <w:r w:rsidRPr="00DA1460">
        <w:rPr>
          <w:b/>
          <w:szCs w:val="24"/>
          <w:lang w:val="lv-LV" w:eastAsia="lv-LV"/>
        </w:rPr>
        <w:t xml:space="preserve"> īstenošanas vajadzībām</w:t>
      </w:r>
    </w:p>
    <w:p w14:paraId="193041B3" w14:textId="77777777" w:rsidR="00C050BD" w:rsidRDefault="00C050BD" w:rsidP="00C050BD">
      <w:pPr>
        <w:ind w:left="555"/>
        <w:rPr>
          <w:b/>
          <w:szCs w:val="24"/>
          <w:lang w:val="lv-LV" w:eastAsia="lv-LV"/>
        </w:rPr>
      </w:pPr>
    </w:p>
    <w:p w14:paraId="6B553423" w14:textId="082E9BA2" w:rsidR="005464A7" w:rsidRPr="00AD76A9" w:rsidRDefault="005464A7" w:rsidP="00AD76A9">
      <w:pPr>
        <w:pStyle w:val="ListParagraph"/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AD76A9">
        <w:rPr>
          <w:szCs w:val="24"/>
          <w:lang w:val="lv-LV" w:eastAsia="lv-LV"/>
        </w:rPr>
        <w:t>Slēdzot līgumus par preču vai pakalpojumu iegādi, tai skaitā uzņēmuma līgumus, vai veicot preču vai pakalpojumu iegādes, Finansējuma saņēmējs nodrošina:</w:t>
      </w:r>
    </w:p>
    <w:p w14:paraId="3EBE00D3" w14:textId="71656DC2" w:rsidR="005464A7" w:rsidRDefault="005464A7" w:rsidP="00AD76A9">
      <w:pPr>
        <w:pStyle w:val="ListParagraph"/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AD76A9">
        <w:rPr>
          <w:szCs w:val="24"/>
          <w:lang w:val="lv-LV" w:eastAsia="lv-LV"/>
        </w:rPr>
        <w:lastRenderedPageBreak/>
        <w:t>normatīvo aktu iepirkumu jomā, tai skaitā Iepirkumu uzraudzības biroja izstrādāt</w:t>
      </w:r>
      <w:r w:rsidR="00D91B48">
        <w:rPr>
          <w:szCs w:val="24"/>
          <w:lang w:val="lv-LV" w:eastAsia="lv-LV"/>
        </w:rPr>
        <w:t>o</w:t>
      </w:r>
      <w:r w:rsidRPr="00AD76A9">
        <w:rPr>
          <w:szCs w:val="24"/>
          <w:lang w:val="lv-LV" w:eastAsia="lv-LV"/>
        </w:rPr>
        <w:t xml:space="preserve"> vadlīnij</w:t>
      </w:r>
      <w:r w:rsidR="00D91B48">
        <w:rPr>
          <w:szCs w:val="24"/>
          <w:lang w:val="lv-LV" w:eastAsia="lv-LV"/>
        </w:rPr>
        <w:t>u</w:t>
      </w:r>
      <w:r w:rsidRPr="00AD76A9">
        <w:rPr>
          <w:szCs w:val="24"/>
          <w:lang w:val="lv-LV" w:eastAsia="lv-LV"/>
        </w:rPr>
        <w:t xml:space="preserve"> tirgus priekšizpētes veikšanai, ievērošanu;</w:t>
      </w:r>
    </w:p>
    <w:p w14:paraId="1A327DE4" w14:textId="77777777" w:rsidR="005464A7" w:rsidRDefault="005464A7" w:rsidP="00AD76A9">
      <w:pPr>
        <w:pStyle w:val="ListParagraph"/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AD76A9">
        <w:rPr>
          <w:szCs w:val="24"/>
          <w:lang w:val="lv-LV" w:eastAsia="lv-LV"/>
        </w:rPr>
        <w:t>labas saimnieciskās prakses, caurskatāmības un godīgas konkurences principu ievērošanu un lietderīgu piešķirtā finansējuma izlietošanu;</w:t>
      </w:r>
    </w:p>
    <w:p w14:paraId="0A39F5EF" w14:textId="5968B836" w:rsidR="005464A7" w:rsidRPr="00F426FE" w:rsidRDefault="005464A7" w:rsidP="00F426FE">
      <w:pPr>
        <w:pStyle w:val="ListParagraph"/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AD76A9">
        <w:rPr>
          <w:szCs w:val="24"/>
          <w:lang w:val="lv-LV" w:eastAsia="lv-LV"/>
        </w:rPr>
        <w:t>iepirkuma procedūru veikšanu saskaņā ar normatīvo aktu prasībām publisko iepirkumu jomā.</w:t>
      </w:r>
    </w:p>
    <w:p w14:paraId="6C9C94A8" w14:textId="77777777" w:rsidR="00AD76A9" w:rsidRDefault="00AD76A9" w:rsidP="005464A7">
      <w:pPr>
        <w:ind w:left="1290"/>
        <w:jc w:val="both"/>
        <w:rPr>
          <w:szCs w:val="24"/>
          <w:lang w:val="lv-LV" w:eastAsia="lv-LV"/>
        </w:rPr>
      </w:pPr>
    </w:p>
    <w:p w14:paraId="4DFFF222" w14:textId="2DD6CA7D" w:rsidR="005464A7" w:rsidRDefault="005448FC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>
        <w:rPr>
          <w:b/>
          <w:szCs w:val="24"/>
          <w:lang w:val="lv-LV" w:eastAsia="lv-LV"/>
        </w:rPr>
        <w:t>Divpusējās sadarbības fonda iniciatīvas pārskata</w:t>
      </w:r>
      <w:r w:rsidR="005464A7" w:rsidRPr="00DA1460">
        <w:rPr>
          <w:b/>
          <w:szCs w:val="24"/>
          <w:lang w:val="lv-LV" w:eastAsia="lv-LV"/>
        </w:rPr>
        <w:t xml:space="preserve"> iesniegšanas un apstiprināšanas kārtība</w:t>
      </w:r>
    </w:p>
    <w:p w14:paraId="6EF8DAFD" w14:textId="77777777" w:rsidR="00AD76A9" w:rsidRDefault="00AD76A9" w:rsidP="00AD76A9">
      <w:pPr>
        <w:ind w:left="555"/>
        <w:rPr>
          <w:b/>
          <w:szCs w:val="24"/>
          <w:lang w:val="lv-LV" w:eastAsia="lv-LV"/>
        </w:rPr>
      </w:pPr>
    </w:p>
    <w:p w14:paraId="5BF6178A" w14:textId="05385C0A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F</w:t>
      </w:r>
      <w:r w:rsidRPr="008D4362">
        <w:rPr>
          <w:szCs w:val="24"/>
          <w:lang w:val="lv-LV" w:eastAsia="lv-LV"/>
        </w:rPr>
        <w:t>inansējuma saņēmēj</w:t>
      </w:r>
      <w:r>
        <w:rPr>
          <w:szCs w:val="24"/>
          <w:lang w:val="lv-LV" w:eastAsia="lv-LV"/>
        </w:rPr>
        <w:t>am</w:t>
      </w:r>
      <w:r w:rsidRPr="008D4362">
        <w:rPr>
          <w:szCs w:val="24"/>
          <w:lang w:val="lv-LV" w:eastAsia="lv-LV"/>
        </w:rPr>
        <w:t xml:space="preserve"> Programmas divpusējās sadarbības fonda </w:t>
      </w:r>
      <w:r w:rsidR="005448FC">
        <w:rPr>
          <w:szCs w:val="24"/>
          <w:lang w:val="lv-LV" w:eastAsia="lv-LV"/>
        </w:rPr>
        <w:t>iniciatīvas pārskatu</w:t>
      </w:r>
      <w:r w:rsidR="00C855A6">
        <w:rPr>
          <w:szCs w:val="24"/>
          <w:lang w:val="lv-LV" w:eastAsia="lv-LV"/>
        </w:rPr>
        <w:t xml:space="preserve"> (veidlapa </w:t>
      </w:r>
      <w:r w:rsidR="00C855A6" w:rsidRPr="00DA1460">
        <w:rPr>
          <w:szCs w:val="24"/>
          <w:lang w:val="lv-LV" w:eastAsia="lv-LV"/>
        </w:rPr>
        <w:t xml:space="preserve">pieejamību tīmekļvietnē </w:t>
      </w:r>
      <w:hyperlink r:id="rId8" w:history="1">
        <w:r w:rsidR="00C855A6" w:rsidRPr="005D3E97">
          <w:rPr>
            <w:rStyle w:val="Hyperlink"/>
            <w:szCs w:val="24"/>
            <w:lang w:val="lv-LV"/>
          </w:rPr>
          <w:t>www.iem.gov.lv</w:t>
        </w:r>
      </w:hyperlink>
      <w:r w:rsidR="00C855A6">
        <w:rPr>
          <w:rStyle w:val="Hyperlink"/>
          <w:szCs w:val="24"/>
          <w:lang w:val="lv-LV"/>
        </w:rPr>
        <w:t>)</w:t>
      </w:r>
      <w:r w:rsidR="00C855A6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 xml:space="preserve">(turpmāk tekstā – </w:t>
      </w:r>
      <w:r w:rsidR="005448FC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pārskats)</w:t>
      </w:r>
      <w:r w:rsidRPr="00866BBF">
        <w:rPr>
          <w:szCs w:val="24"/>
          <w:lang w:val="lv-LV" w:eastAsia="lv-LV"/>
        </w:rPr>
        <w:t xml:space="preserve"> ar </w:t>
      </w:r>
      <w:r>
        <w:rPr>
          <w:szCs w:val="24"/>
          <w:lang w:val="lv-LV" w:eastAsia="lv-LV"/>
        </w:rPr>
        <w:t xml:space="preserve">apliecinātām </w:t>
      </w:r>
      <w:r w:rsidRPr="00866BBF">
        <w:rPr>
          <w:szCs w:val="24"/>
          <w:lang w:val="lv-LV" w:eastAsia="lv-LV"/>
        </w:rPr>
        <w:t>izdevumu pamatojošo dokumentu kopij</w:t>
      </w:r>
      <w:r>
        <w:rPr>
          <w:szCs w:val="24"/>
          <w:lang w:val="lv-LV" w:eastAsia="lv-LV"/>
        </w:rPr>
        <w:t>ām</w:t>
      </w:r>
      <w:r w:rsidRPr="00866BBF">
        <w:rPr>
          <w:szCs w:val="24"/>
          <w:lang w:val="lv-LV" w:eastAsia="lv-LV"/>
        </w:rPr>
        <w:t xml:space="preserve"> jāiesniedz Programmas </w:t>
      </w:r>
      <w:r w:rsidR="005448FC">
        <w:rPr>
          <w:szCs w:val="24"/>
          <w:lang w:val="lv-LV" w:eastAsia="lv-LV"/>
        </w:rPr>
        <w:t>apsaimniekotājam</w:t>
      </w:r>
      <w:r w:rsidR="00D91B48">
        <w:rPr>
          <w:szCs w:val="24"/>
          <w:lang w:val="lv-LV" w:eastAsia="lv-LV"/>
        </w:rPr>
        <w:t xml:space="preserve"> ne vēlāk kā</w:t>
      </w:r>
      <w:r w:rsidRPr="00866BBF">
        <w:rPr>
          <w:szCs w:val="24"/>
          <w:lang w:val="lv-LV" w:eastAsia="lv-LV"/>
        </w:rPr>
        <w:t xml:space="preserve"> </w:t>
      </w:r>
      <w:r w:rsidR="00377449">
        <w:rPr>
          <w:szCs w:val="24"/>
          <w:lang w:val="lv-LV" w:eastAsia="lv-LV"/>
        </w:rPr>
        <w:t>30</w:t>
      </w:r>
      <w:r w:rsidRPr="00866BBF">
        <w:rPr>
          <w:szCs w:val="24"/>
          <w:lang w:val="lv-LV" w:eastAsia="lv-LV"/>
        </w:rPr>
        <w:t xml:space="preserve"> (</w:t>
      </w:r>
      <w:r w:rsidR="00377449">
        <w:rPr>
          <w:szCs w:val="24"/>
          <w:lang w:val="lv-LV" w:eastAsia="lv-LV"/>
        </w:rPr>
        <w:t>trīsdesmit</w:t>
      </w:r>
      <w:r w:rsidRPr="00866BBF">
        <w:rPr>
          <w:szCs w:val="24"/>
          <w:lang w:val="lv-LV" w:eastAsia="lv-LV"/>
        </w:rPr>
        <w:t xml:space="preserve">) dienu laikā pēc </w:t>
      </w:r>
      <w:r w:rsidR="005448FC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īstenošanas </w:t>
      </w:r>
      <w:r w:rsidRPr="00866BBF">
        <w:rPr>
          <w:szCs w:val="24"/>
          <w:lang w:val="lv-LV" w:eastAsia="lv-LV"/>
        </w:rPr>
        <w:t>perioda beigu datuma</w:t>
      </w:r>
      <w:r>
        <w:rPr>
          <w:szCs w:val="24"/>
          <w:lang w:val="lv-LV" w:eastAsia="lv-LV"/>
        </w:rPr>
        <w:t xml:space="preserve"> vienā no šādiem veidiem:</w:t>
      </w:r>
    </w:p>
    <w:p w14:paraId="0AF1FE40" w14:textId="77777777" w:rsidR="005464A7" w:rsidRPr="002010A6" w:rsidRDefault="005464A7" w:rsidP="005464A7">
      <w:pPr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2010A6">
        <w:rPr>
          <w:color w:val="000000"/>
          <w:szCs w:val="24"/>
          <w:lang w:val="lv-LV"/>
        </w:rPr>
        <w:t>papīra formā, nosūtot uz Ministrijas juridisko adresi, vienlaikus nosūtot elektronisku kopiju Ministrijas kontaktpersonai uz e-pastu;</w:t>
      </w:r>
    </w:p>
    <w:p w14:paraId="00B38D0F" w14:textId="0BB58F9D" w:rsidR="005464A7" w:rsidRPr="004A6A89" w:rsidRDefault="005464A7" w:rsidP="005464A7">
      <w:pPr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2010A6">
        <w:rPr>
          <w:color w:val="000000"/>
          <w:szCs w:val="24"/>
          <w:lang w:val="lv-LV"/>
        </w:rPr>
        <w:t>elektroniska dokumenta formā, parakstītu ar drošu elektronisko parakstu un apliecinātu ar laika zīmogu uz e-pastu:</w:t>
      </w:r>
      <w:r w:rsidRPr="002010A6">
        <w:rPr>
          <w:rFonts w:ascii="Calibri" w:eastAsia="Calibri" w:hAnsi="Calibri"/>
          <w:i/>
          <w:iCs/>
          <w:color w:val="1F497D"/>
          <w:sz w:val="22"/>
          <w:szCs w:val="22"/>
          <w:u w:val="single"/>
          <w:lang w:val="lv-LV"/>
        </w:rPr>
        <w:t xml:space="preserve"> </w:t>
      </w:r>
      <w:hyperlink r:id="rId9" w:history="1">
        <w:r w:rsidR="005448FC" w:rsidRPr="005D3E97">
          <w:rPr>
            <w:rStyle w:val="Hyperlink"/>
            <w:iCs/>
            <w:szCs w:val="24"/>
            <w:lang w:val="lv-LV"/>
          </w:rPr>
          <w:t>kanceleja@iem.gov.lv</w:t>
        </w:r>
      </w:hyperlink>
      <w:r w:rsidRPr="004A6A89">
        <w:rPr>
          <w:lang w:val="lv-LV"/>
        </w:rPr>
        <w:t>.</w:t>
      </w:r>
    </w:p>
    <w:p w14:paraId="027310CD" w14:textId="4F5331C8" w:rsidR="005464A7" w:rsidRDefault="005464A7" w:rsidP="005448FC">
      <w:pPr>
        <w:jc w:val="both"/>
        <w:rPr>
          <w:szCs w:val="24"/>
          <w:lang w:val="lv-LV" w:eastAsia="lv-LV"/>
        </w:rPr>
      </w:pPr>
    </w:p>
    <w:p w14:paraId="135838A8" w14:textId="5CBA58BA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Programmas </w:t>
      </w:r>
      <w:r w:rsidR="005448FC">
        <w:rPr>
          <w:szCs w:val="24"/>
          <w:lang w:val="lv-LV" w:eastAsia="lv-LV"/>
        </w:rPr>
        <w:t xml:space="preserve">apsaimniekotājs </w:t>
      </w:r>
      <w:r w:rsidRPr="00DA1460">
        <w:rPr>
          <w:szCs w:val="24"/>
          <w:lang w:val="lv-LV" w:eastAsia="lv-LV"/>
        </w:rPr>
        <w:t xml:space="preserve">20 </w:t>
      </w:r>
      <w:r>
        <w:rPr>
          <w:szCs w:val="24"/>
          <w:lang w:val="lv-LV" w:eastAsia="lv-LV"/>
        </w:rPr>
        <w:t xml:space="preserve">(divdesmit) </w:t>
      </w:r>
      <w:r w:rsidRPr="00DA1460">
        <w:rPr>
          <w:szCs w:val="24"/>
          <w:lang w:val="lv-LV" w:eastAsia="lv-LV"/>
        </w:rPr>
        <w:t>darb</w:t>
      </w:r>
      <w:r>
        <w:rPr>
          <w:szCs w:val="24"/>
          <w:lang w:val="lv-LV" w:eastAsia="lv-LV"/>
        </w:rPr>
        <w:t xml:space="preserve">a </w:t>
      </w:r>
      <w:r w:rsidRPr="00DA1460">
        <w:rPr>
          <w:szCs w:val="24"/>
          <w:lang w:val="lv-LV" w:eastAsia="lv-LV"/>
        </w:rPr>
        <w:t>dienu laikā</w:t>
      </w:r>
      <w:r w:rsidR="00D91B48">
        <w:rPr>
          <w:szCs w:val="24"/>
          <w:lang w:val="lv-LV" w:eastAsia="lv-LV"/>
        </w:rPr>
        <w:t xml:space="preserve"> no saņemšanas izvērtē un</w:t>
      </w:r>
      <w:r w:rsidRPr="00DA1460">
        <w:rPr>
          <w:szCs w:val="24"/>
          <w:lang w:val="lv-LV" w:eastAsia="lv-LV"/>
        </w:rPr>
        <w:t xml:space="preserve"> apstiprina </w:t>
      </w: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 xml:space="preserve">inansējuma saņēmēja iesniegto </w:t>
      </w:r>
      <w:r w:rsidR="00377449">
        <w:rPr>
          <w:szCs w:val="24"/>
          <w:lang w:val="lv-LV" w:eastAsia="lv-LV"/>
        </w:rPr>
        <w:t>I</w:t>
      </w:r>
      <w:r w:rsidR="005448FC">
        <w:rPr>
          <w:szCs w:val="24"/>
          <w:lang w:val="lv-LV" w:eastAsia="lv-LV"/>
        </w:rPr>
        <w:t>niciatīvas</w:t>
      </w:r>
      <w:r w:rsidRPr="00DA1460">
        <w:rPr>
          <w:szCs w:val="24"/>
          <w:lang w:val="lv-LV" w:eastAsia="lv-LV"/>
        </w:rPr>
        <w:t xml:space="preserve"> pārskatu, tajā iekļautos attiecināmos izdevumus</w:t>
      </w:r>
      <w:r w:rsidR="00C512D5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un sagatavo atzinumu par izdevumu </w:t>
      </w:r>
      <w:r w:rsidR="005448FC">
        <w:rPr>
          <w:szCs w:val="24"/>
          <w:lang w:val="lv-LV" w:eastAsia="lv-LV"/>
        </w:rPr>
        <w:t>apstiprināšanu.</w:t>
      </w:r>
      <w:r w:rsidRPr="00DA1460">
        <w:rPr>
          <w:szCs w:val="24"/>
          <w:lang w:val="lv-LV" w:eastAsia="lv-LV"/>
        </w:rPr>
        <w:t xml:space="preserve"> Par apstiprināto</w:t>
      </w:r>
      <w:r w:rsidR="00D91B48">
        <w:rPr>
          <w:szCs w:val="24"/>
          <w:lang w:val="lv-LV" w:eastAsia="lv-LV"/>
        </w:rPr>
        <w:t xml:space="preserve"> Iniciatīvas</w:t>
      </w:r>
      <w:r w:rsidRPr="00DA1460">
        <w:rPr>
          <w:szCs w:val="24"/>
          <w:lang w:val="lv-LV" w:eastAsia="lv-LV"/>
        </w:rPr>
        <w:t xml:space="preserve"> attiecināmo izdevumu summu Programmas apsaimniekotājs rakstiski informē </w:t>
      </w: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 xml:space="preserve">inansējuma saņēmēju. </w:t>
      </w:r>
    </w:p>
    <w:p w14:paraId="3A8230A4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2F90E97B" w14:textId="5537A2E4" w:rsidR="005464A7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Ja </w:t>
      </w:r>
      <w:r w:rsidR="00D91B48">
        <w:rPr>
          <w:szCs w:val="24"/>
          <w:lang w:val="lv-LV" w:eastAsia="lv-LV"/>
        </w:rPr>
        <w:t xml:space="preserve">Iniciatīvas </w:t>
      </w:r>
      <w:r w:rsidRPr="00DA1460">
        <w:rPr>
          <w:szCs w:val="24"/>
          <w:lang w:val="lv-LV" w:eastAsia="lv-LV"/>
        </w:rPr>
        <w:t>pārskatā</w:t>
      </w:r>
      <w:r w:rsidR="00D91B48">
        <w:rPr>
          <w:szCs w:val="24"/>
          <w:lang w:val="lv-LV" w:eastAsia="lv-LV"/>
        </w:rPr>
        <w:t xml:space="preserve"> vai</w:t>
      </w:r>
      <w:r w:rsidRPr="00DA1460">
        <w:rPr>
          <w:szCs w:val="24"/>
          <w:lang w:val="lv-LV" w:eastAsia="lv-LV"/>
        </w:rPr>
        <w:t xml:space="preserve"> t</w:t>
      </w:r>
      <w:r>
        <w:rPr>
          <w:szCs w:val="24"/>
          <w:lang w:val="lv-LV" w:eastAsia="lv-LV"/>
        </w:rPr>
        <w:t>am pievienotajos</w:t>
      </w:r>
      <w:r w:rsidRPr="00DA1460">
        <w:rPr>
          <w:szCs w:val="24"/>
          <w:lang w:val="lv-LV" w:eastAsia="lv-LV"/>
        </w:rPr>
        <w:t xml:space="preserve"> izdevumus pamatojošos dokumentos </w:t>
      </w:r>
      <w:r>
        <w:rPr>
          <w:szCs w:val="24"/>
          <w:lang w:val="lv-LV" w:eastAsia="lv-LV"/>
        </w:rPr>
        <w:t xml:space="preserve">Programmas </w:t>
      </w:r>
      <w:r w:rsidR="005448FC">
        <w:rPr>
          <w:szCs w:val="24"/>
          <w:lang w:val="lv-LV" w:eastAsia="lv-LV"/>
        </w:rPr>
        <w:t>apsaimniekotājs</w:t>
      </w:r>
      <w:r w:rsidRPr="00DA1460">
        <w:rPr>
          <w:szCs w:val="24"/>
          <w:lang w:val="lv-LV" w:eastAsia="lv-LV"/>
        </w:rPr>
        <w:t xml:space="preserve"> konstatē nepilnības, </w:t>
      </w: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>inansējuma saņēmējam pēc Programmas</w:t>
      </w:r>
      <w:r>
        <w:rPr>
          <w:szCs w:val="24"/>
          <w:lang w:val="lv-LV" w:eastAsia="lv-LV"/>
        </w:rPr>
        <w:t xml:space="preserve"> </w:t>
      </w:r>
      <w:r w:rsidR="005448FC">
        <w:rPr>
          <w:szCs w:val="24"/>
          <w:lang w:val="lv-LV" w:eastAsia="lv-LV"/>
        </w:rPr>
        <w:t>apsaimniekotāja</w:t>
      </w:r>
      <w:r w:rsidRPr="00DA1460">
        <w:rPr>
          <w:szCs w:val="24"/>
          <w:lang w:val="lv-LV" w:eastAsia="lv-LV"/>
        </w:rPr>
        <w:t xml:space="preserve"> pieprasījuma </w:t>
      </w:r>
      <w:r w:rsidR="005448FC">
        <w:rPr>
          <w:szCs w:val="24"/>
          <w:lang w:val="lv-LV" w:eastAsia="lv-LV"/>
        </w:rPr>
        <w:t>10</w:t>
      </w:r>
      <w:r>
        <w:rPr>
          <w:szCs w:val="24"/>
          <w:lang w:val="lv-LV" w:eastAsia="lv-LV"/>
        </w:rPr>
        <w:t xml:space="preserve"> (</w:t>
      </w:r>
      <w:r w:rsidR="005448FC">
        <w:rPr>
          <w:szCs w:val="24"/>
          <w:lang w:val="lv-LV" w:eastAsia="lv-LV"/>
        </w:rPr>
        <w:t>desmit</w:t>
      </w:r>
      <w:r>
        <w:rPr>
          <w:szCs w:val="24"/>
          <w:lang w:val="lv-LV" w:eastAsia="lv-LV"/>
        </w:rPr>
        <w:t xml:space="preserve">) </w:t>
      </w:r>
      <w:r w:rsidRPr="00DA1460">
        <w:rPr>
          <w:szCs w:val="24"/>
          <w:lang w:val="lv-LV" w:eastAsia="lv-LV"/>
        </w:rPr>
        <w:t>darb</w:t>
      </w:r>
      <w:r>
        <w:rPr>
          <w:szCs w:val="24"/>
          <w:lang w:val="lv-LV" w:eastAsia="lv-LV"/>
        </w:rPr>
        <w:t xml:space="preserve">a </w:t>
      </w:r>
      <w:r w:rsidRPr="00DA1460">
        <w:rPr>
          <w:szCs w:val="24"/>
          <w:lang w:val="lv-LV" w:eastAsia="lv-LV"/>
        </w:rPr>
        <w:t xml:space="preserve">dienu laikā šīs nepilnības ir jānovērš un precizētie vai papildu nepieciešamie dokumenti jāiesniedz Programmas </w:t>
      </w:r>
      <w:r w:rsidR="005448FC">
        <w:rPr>
          <w:szCs w:val="24"/>
          <w:lang w:val="lv-LV" w:eastAsia="lv-LV"/>
        </w:rPr>
        <w:t>apsaimniekotājam</w:t>
      </w:r>
      <w:r w:rsidRPr="00DA1460">
        <w:rPr>
          <w:szCs w:val="24"/>
          <w:lang w:val="lv-LV" w:eastAsia="lv-LV"/>
        </w:rPr>
        <w:t>.</w:t>
      </w:r>
    </w:p>
    <w:p w14:paraId="6559EEB8" w14:textId="77777777" w:rsidR="005464A7" w:rsidRDefault="005464A7" w:rsidP="005464A7">
      <w:pPr>
        <w:ind w:left="555"/>
        <w:jc w:val="both"/>
        <w:rPr>
          <w:szCs w:val="24"/>
          <w:lang w:val="lv-LV" w:eastAsia="lv-LV"/>
        </w:rPr>
      </w:pPr>
    </w:p>
    <w:p w14:paraId="20759FEF" w14:textId="68F04227" w:rsidR="005464A7" w:rsidRPr="00F426FE" w:rsidRDefault="005464A7" w:rsidP="00F426FE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Vienošanās</w:t>
      </w:r>
      <w:r w:rsidRPr="00DA1460">
        <w:rPr>
          <w:szCs w:val="24"/>
          <w:lang w:val="lv-LV" w:eastAsia="lv-LV"/>
        </w:rPr>
        <w:t xml:space="preserve"> </w:t>
      </w:r>
      <w:r>
        <w:rPr>
          <w:szCs w:val="24"/>
          <w:lang w:val="lv-LV" w:eastAsia="lv-LV"/>
        </w:rPr>
        <w:t>5.1.</w:t>
      </w:r>
      <w:r w:rsidR="00EF5AF1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apakšpunktā noteikt</w:t>
      </w:r>
      <w:r>
        <w:rPr>
          <w:szCs w:val="24"/>
          <w:lang w:val="lv-LV" w:eastAsia="lv-LV"/>
        </w:rPr>
        <w:t>o</w:t>
      </w:r>
      <w:r w:rsidRPr="00DA1460">
        <w:rPr>
          <w:szCs w:val="24"/>
          <w:lang w:val="lv-LV" w:eastAsia="lv-LV"/>
        </w:rPr>
        <w:t xml:space="preserve"> termiņ</w:t>
      </w:r>
      <w:r>
        <w:rPr>
          <w:szCs w:val="24"/>
          <w:lang w:val="lv-LV" w:eastAsia="lv-LV"/>
        </w:rPr>
        <w:t>u</w:t>
      </w:r>
      <w:r w:rsidRPr="00DA1460">
        <w:rPr>
          <w:szCs w:val="24"/>
          <w:lang w:val="lv-LV" w:eastAsia="lv-LV"/>
        </w:rPr>
        <w:t xml:space="preserve"> pagarin</w:t>
      </w:r>
      <w:r>
        <w:rPr>
          <w:szCs w:val="24"/>
          <w:lang w:val="lv-LV" w:eastAsia="lv-LV"/>
        </w:rPr>
        <w:t>a</w:t>
      </w:r>
      <w:r w:rsidRPr="00DA1460">
        <w:rPr>
          <w:szCs w:val="24"/>
          <w:lang w:val="lv-LV" w:eastAsia="lv-LV"/>
        </w:rPr>
        <w:t xml:space="preserve"> par precizējumu un pieprasītās papildu informācijas izskatīšanai nepieciešamo laiku, bet ne ilgāk kā par </w:t>
      </w:r>
      <w:r w:rsidR="00EF5AF1">
        <w:rPr>
          <w:szCs w:val="24"/>
          <w:lang w:val="lv-LV" w:eastAsia="lv-LV"/>
        </w:rPr>
        <w:t>20</w:t>
      </w:r>
      <w:r>
        <w:rPr>
          <w:szCs w:val="24"/>
          <w:lang w:val="lv-LV" w:eastAsia="lv-LV"/>
        </w:rPr>
        <w:t> (</w:t>
      </w:r>
      <w:r w:rsidR="00EF5AF1">
        <w:rPr>
          <w:szCs w:val="24"/>
          <w:lang w:val="lv-LV" w:eastAsia="lv-LV"/>
        </w:rPr>
        <w:t>divdesmit</w:t>
      </w:r>
      <w:r>
        <w:rPr>
          <w:szCs w:val="24"/>
          <w:lang w:val="lv-LV" w:eastAsia="lv-LV"/>
        </w:rPr>
        <w:t xml:space="preserve">) </w:t>
      </w:r>
      <w:r w:rsidRPr="00DA1460">
        <w:rPr>
          <w:szCs w:val="24"/>
          <w:lang w:val="lv-LV" w:eastAsia="lv-LV"/>
        </w:rPr>
        <w:t>darb</w:t>
      </w:r>
      <w:r>
        <w:rPr>
          <w:szCs w:val="24"/>
          <w:lang w:val="lv-LV" w:eastAsia="lv-LV"/>
        </w:rPr>
        <w:t xml:space="preserve">a </w:t>
      </w:r>
      <w:r w:rsidRPr="00DA1460">
        <w:rPr>
          <w:szCs w:val="24"/>
          <w:lang w:val="lv-LV" w:eastAsia="lv-LV"/>
        </w:rPr>
        <w:t>dienām, skaitot no pieprasītās papildu vai precizētās informācijas saņemšanas dienas.</w:t>
      </w:r>
    </w:p>
    <w:p w14:paraId="31C6D338" w14:textId="516738AB" w:rsidR="005464A7" w:rsidRDefault="005464A7" w:rsidP="00EF5AF1">
      <w:pPr>
        <w:jc w:val="both"/>
        <w:rPr>
          <w:szCs w:val="24"/>
          <w:lang w:val="lv-LV" w:eastAsia="lv-LV"/>
        </w:rPr>
      </w:pPr>
    </w:p>
    <w:p w14:paraId="33A1D3BA" w14:textId="4EA82B5A" w:rsidR="005464A7" w:rsidRDefault="005464A7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rPr>
          <w:b/>
          <w:szCs w:val="24"/>
          <w:lang w:val="lv-LV" w:eastAsia="lv-LV"/>
        </w:rPr>
      </w:pPr>
      <w:r w:rsidRPr="00DA1460">
        <w:rPr>
          <w:b/>
          <w:szCs w:val="24"/>
          <w:lang w:val="lv-LV" w:eastAsia="lv-LV"/>
        </w:rPr>
        <w:t xml:space="preserve">Programmas </w:t>
      </w:r>
      <w:r w:rsidR="00D91B48">
        <w:rPr>
          <w:b/>
          <w:szCs w:val="24"/>
          <w:lang w:val="lv-LV" w:eastAsia="lv-LV"/>
        </w:rPr>
        <w:t>apsaimniekotāja</w:t>
      </w:r>
      <w:r w:rsidR="00D91B48" w:rsidRPr="00DA1460">
        <w:rPr>
          <w:b/>
          <w:szCs w:val="24"/>
          <w:lang w:val="lv-LV" w:eastAsia="lv-LV"/>
        </w:rPr>
        <w:t xml:space="preserve"> </w:t>
      </w:r>
      <w:r w:rsidRPr="00DA1460">
        <w:rPr>
          <w:b/>
          <w:szCs w:val="24"/>
          <w:lang w:val="lv-LV" w:eastAsia="lv-LV"/>
        </w:rPr>
        <w:t xml:space="preserve">un </w:t>
      </w:r>
      <w:r>
        <w:rPr>
          <w:b/>
          <w:szCs w:val="24"/>
          <w:lang w:val="lv-LV" w:eastAsia="lv-LV"/>
        </w:rPr>
        <w:t>F</w:t>
      </w:r>
      <w:r w:rsidRPr="00DA1460">
        <w:rPr>
          <w:b/>
          <w:szCs w:val="24"/>
          <w:lang w:val="lv-LV" w:eastAsia="lv-LV"/>
        </w:rPr>
        <w:t>inansējuma saņēmēja tiesības un pienākumi</w:t>
      </w:r>
    </w:p>
    <w:p w14:paraId="14CC78CF" w14:textId="77777777" w:rsidR="00EF5AF1" w:rsidRDefault="00EF5AF1" w:rsidP="00EF5AF1">
      <w:pPr>
        <w:ind w:left="555"/>
        <w:rPr>
          <w:b/>
          <w:szCs w:val="24"/>
          <w:lang w:val="lv-LV" w:eastAsia="lv-LV"/>
        </w:rPr>
      </w:pPr>
    </w:p>
    <w:p w14:paraId="62444BE1" w14:textId="6EB34BAF" w:rsidR="005464A7" w:rsidRPr="00DA1460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Programmas </w:t>
      </w:r>
      <w:r w:rsidR="00EF5AF1">
        <w:rPr>
          <w:szCs w:val="24"/>
          <w:lang w:val="lv-LV" w:eastAsia="lv-LV"/>
        </w:rPr>
        <w:t xml:space="preserve">apsaimniekotāja </w:t>
      </w:r>
      <w:r w:rsidRPr="00DA1460">
        <w:rPr>
          <w:szCs w:val="24"/>
          <w:lang w:val="lv-LV" w:eastAsia="lv-LV"/>
        </w:rPr>
        <w:t>pienākumi:</w:t>
      </w:r>
    </w:p>
    <w:p w14:paraId="58791EA6" w14:textId="2493FBAE" w:rsidR="002D28A7" w:rsidRDefault="002D28A7" w:rsidP="002D28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nodrošināt </w:t>
      </w:r>
      <w:r>
        <w:rPr>
          <w:szCs w:val="24"/>
          <w:lang w:val="lv-LV" w:eastAsia="lv-LV"/>
        </w:rPr>
        <w:t xml:space="preserve">informācijas pieejamību par divpusējās sadarbības fondu, tai skaitā </w:t>
      </w:r>
      <w:r w:rsidR="00D91B48">
        <w:rPr>
          <w:szCs w:val="24"/>
          <w:lang w:val="lv-LV" w:eastAsia="lv-LV"/>
        </w:rPr>
        <w:t>I</w:t>
      </w:r>
      <w:r>
        <w:rPr>
          <w:szCs w:val="24"/>
          <w:lang w:val="lv-LV" w:eastAsia="lv-LV"/>
        </w:rPr>
        <w:t xml:space="preserve">niciatīvas īstenošanai nepieciešamo veidlapu </w:t>
      </w:r>
      <w:r w:rsidRPr="00DA1460">
        <w:rPr>
          <w:szCs w:val="24"/>
          <w:lang w:val="lv-LV" w:eastAsia="lv-LV"/>
        </w:rPr>
        <w:t xml:space="preserve">pieejamību tīmekļvietnē </w:t>
      </w:r>
      <w:hyperlink r:id="rId10" w:history="1">
        <w:r w:rsidRPr="005D3E97">
          <w:rPr>
            <w:rStyle w:val="Hyperlink"/>
            <w:szCs w:val="24"/>
            <w:lang w:val="lv-LV"/>
          </w:rPr>
          <w:t>www.iem.gov.lv</w:t>
        </w:r>
      </w:hyperlink>
      <w:r w:rsidRPr="00DA1460">
        <w:rPr>
          <w:szCs w:val="24"/>
          <w:lang w:val="lv-LV" w:eastAsia="lv-LV"/>
        </w:rPr>
        <w:t xml:space="preserve">; </w:t>
      </w:r>
    </w:p>
    <w:p w14:paraId="711FD140" w14:textId="64C72312" w:rsidR="005464A7" w:rsidRPr="00DA1460" w:rsidRDefault="00F956AB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izvērtēt </w:t>
      </w:r>
      <w:r w:rsidR="005464A7">
        <w:rPr>
          <w:szCs w:val="24"/>
          <w:lang w:val="lv-LV" w:eastAsia="lv-LV"/>
        </w:rPr>
        <w:t>F</w:t>
      </w:r>
      <w:r w:rsidR="005464A7" w:rsidRPr="00DA1460">
        <w:rPr>
          <w:szCs w:val="24"/>
          <w:lang w:val="lv-LV" w:eastAsia="lv-LV"/>
        </w:rPr>
        <w:t xml:space="preserve">inansējuma </w:t>
      </w:r>
      <w:r>
        <w:rPr>
          <w:szCs w:val="24"/>
          <w:lang w:val="lv-LV" w:eastAsia="lv-LV"/>
        </w:rPr>
        <w:t xml:space="preserve">saņēmēja iesniegto Iniciatīvas pārskatu un </w:t>
      </w:r>
      <w:r w:rsidRPr="00DA1460">
        <w:rPr>
          <w:szCs w:val="24"/>
          <w:lang w:val="lv-LV" w:eastAsia="lv-LV"/>
        </w:rPr>
        <w:t>i</w:t>
      </w:r>
      <w:r>
        <w:rPr>
          <w:szCs w:val="24"/>
          <w:lang w:val="lv-LV" w:eastAsia="lv-LV"/>
        </w:rPr>
        <w:t xml:space="preserve">zdevumus pamatojošos dokumentos, </w:t>
      </w:r>
      <w:r w:rsidR="005464A7" w:rsidRPr="00DA1460">
        <w:rPr>
          <w:szCs w:val="24"/>
          <w:lang w:val="lv-LV" w:eastAsia="lv-LV"/>
        </w:rPr>
        <w:t>un pieņemt lēmumu par to apstiprināšanu;</w:t>
      </w:r>
    </w:p>
    <w:p w14:paraId="37FFE200" w14:textId="41FE558E" w:rsidR="00155FF6" w:rsidRPr="00155FF6" w:rsidRDefault="005464A7" w:rsidP="00155FF6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veikt </w:t>
      </w:r>
      <w:r w:rsidR="002D28A7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īstenošanai</w:t>
      </w:r>
      <w:r w:rsidRPr="00DA1460">
        <w:rPr>
          <w:szCs w:val="24"/>
          <w:lang w:val="lv-LV" w:eastAsia="lv-LV"/>
        </w:rPr>
        <w:t xml:space="preserve"> apstiprināto attiecināmo izdevumu un neatbilstoši veikto izmaksu uzskaiti, pieņemt lēmumu par neatbilstoši veiktām izmaksām un to atgūšanas procesu;</w:t>
      </w:r>
    </w:p>
    <w:p w14:paraId="4ABFD245" w14:textId="21879F6C" w:rsidR="005464A7" w:rsidRPr="00C855A6" w:rsidRDefault="005464A7" w:rsidP="005464A7">
      <w:pPr>
        <w:numPr>
          <w:ilvl w:val="2"/>
          <w:numId w:val="2"/>
        </w:numPr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lastRenderedPageBreak/>
        <w:t xml:space="preserve">nodrošināt ar </w:t>
      </w:r>
      <w:r w:rsidR="002D28A7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īstenošanu saistīto dokumentu uzglabāšanu </w:t>
      </w:r>
      <w:r w:rsidR="00155FF6" w:rsidRPr="00C855A6">
        <w:rPr>
          <w:szCs w:val="24"/>
          <w:lang w:val="lv-LV" w:eastAsia="lv-LV"/>
        </w:rPr>
        <w:t xml:space="preserve">līdz Vienošanās </w:t>
      </w:r>
      <w:r w:rsidR="00D342D3" w:rsidRPr="00C855A6">
        <w:rPr>
          <w:szCs w:val="24"/>
          <w:lang w:val="lv-LV" w:eastAsia="lv-LV"/>
        </w:rPr>
        <w:t>7</w:t>
      </w:r>
      <w:r w:rsidR="00155FF6" w:rsidRPr="00C855A6">
        <w:rPr>
          <w:szCs w:val="24"/>
          <w:lang w:val="lv-LV" w:eastAsia="lv-LV"/>
        </w:rPr>
        <w:t>.2. punktā noteiktajam termiņam</w:t>
      </w:r>
      <w:r w:rsidRPr="00C855A6">
        <w:rPr>
          <w:szCs w:val="24"/>
          <w:lang w:val="lv-LV" w:eastAsia="lv-LV"/>
        </w:rPr>
        <w:t>.</w:t>
      </w:r>
    </w:p>
    <w:p w14:paraId="3BF28FA9" w14:textId="77777777" w:rsidR="005464A7" w:rsidRPr="00C855A6" w:rsidRDefault="005464A7" w:rsidP="005464A7">
      <w:pPr>
        <w:ind w:left="1290"/>
        <w:jc w:val="both"/>
        <w:rPr>
          <w:szCs w:val="24"/>
          <w:lang w:val="lv-LV" w:eastAsia="lv-LV"/>
        </w:rPr>
      </w:pPr>
    </w:p>
    <w:p w14:paraId="637E2421" w14:textId="29077A2C" w:rsidR="005464A7" w:rsidRPr="00C855A6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 xml:space="preserve">Programmas </w:t>
      </w:r>
      <w:r w:rsidR="004114C3" w:rsidRPr="00C855A6">
        <w:rPr>
          <w:szCs w:val="24"/>
          <w:lang w:val="lv-LV" w:eastAsia="lv-LV"/>
        </w:rPr>
        <w:t xml:space="preserve">apsaimniekotāja </w:t>
      </w:r>
      <w:r w:rsidRPr="00C855A6">
        <w:rPr>
          <w:szCs w:val="24"/>
          <w:lang w:val="lv-LV" w:eastAsia="lv-LV"/>
        </w:rPr>
        <w:t>tiesības:</w:t>
      </w:r>
    </w:p>
    <w:p w14:paraId="793CE8BE" w14:textId="76EDD2B0" w:rsidR="005464A7" w:rsidRPr="00C855A6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>pieprasīt no Finansējuma saņēmēja nepieci</w:t>
      </w:r>
      <w:r w:rsidR="00155FF6" w:rsidRPr="00C855A6">
        <w:rPr>
          <w:szCs w:val="24"/>
          <w:lang w:val="lv-LV" w:eastAsia="lv-LV"/>
        </w:rPr>
        <w:t>ešamo informāciju un dokumentus</w:t>
      </w:r>
      <w:r w:rsidRPr="00C855A6">
        <w:rPr>
          <w:szCs w:val="24"/>
          <w:lang w:val="lv-LV" w:eastAsia="lv-LV"/>
        </w:rPr>
        <w:t xml:space="preserve">; </w:t>
      </w:r>
    </w:p>
    <w:p w14:paraId="377362BE" w14:textId="3B9616B0" w:rsidR="005464A7" w:rsidRPr="00C855A6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 xml:space="preserve">samazināt Finansējuma saņēmēja iesniegtā </w:t>
      </w:r>
      <w:r w:rsidR="00155FF6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pārskatā pieprasīto attiecināmo izdevumu summu, ja veicot </w:t>
      </w:r>
      <w:r w:rsidR="00155FF6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pārskata pārbaudi, Programmas </w:t>
      </w:r>
      <w:r w:rsidR="00155FF6" w:rsidRPr="00C855A6">
        <w:rPr>
          <w:szCs w:val="24"/>
          <w:lang w:val="lv-LV" w:eastAsia="lv-LV"/>
        </w:rPr>
        <w:t>apsaimniekotājs</w:t>
      </w:r>
      <w:r w:rsidRPr="00C855A6">
        <w:rPr>
          <w:szCs w:val="24"/>
          <w:lang w:val="lv-LV" w:eastAsia="lv-LV"/>
        </w:rPr>
        <w:t xml:space="preserve"> konstatē, ka </w:t>
      </w:r>
      <w:r w:rsidR="00155FF6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pārskatā norādīti attiecināmie izdevumi, kas nav saistīti ar </w:t>
      </w:r>
      <w:r w:rsidR="00155FF6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īstenošanu, attiecīgi samazinot finansējuma summu un par to informējot Finansējuma saņēmēju;</w:t>
      </w:r>
    </w:p>
    <w:p w14:paraId="1FB09AA1" w14:textId="3D24EC0A" w:rsidR="005464A7" w:rsidRPr="00C855A6" w:rsidRDefault="005464A7" w:rsidP="00155FF6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C855A6">
        <w:rPr>
          <w:szCs w:val="24"/>
          <w:lang w:val="lv-LV" w:eastAsia="lv-LV"/>
        </w:rPr>
        <w:t xml:space="preserve">izvērtējot Programmas </w:t>
      </w:r>
      <w:r w:rsidR="00155FF6" w:rsidRPr="00C855A6">
        <w:rPr>
          <w:szCs w:val="24"/>
          <w:lang w:val="lv-LV" w:eastAsia="lv-LV"/>
        </w:rPr>
        <w:t>apsaimniekotāja</w:t>
      </w:r>
      <w:r w:rsidRPr="00C855A6">
        <w:rPr>
          <w:szCs w:val="24"/>
          <w:lang w:val="lv-LV" w:eastAsia="lv-LV"/>
        </w:rPr>
        <w:t xml:space="preserve"> rīcībā esošo informāciju un, pamatojoties uz Valsts kases, Revīzijas iestādes vai citu kontrolē</w:t>
      </w:r>
      <w:r w:rsidR="00155FF6" w:rsidRPr="00C855A6">
        <w:rPr>
          <w:szCs w:val="24"/>
          <w:lang w:val="lv-LV" w:eastAsia="lv-LV"/>
        </w:rPr>
        <w:t xml:space="preserve">jošo institūciju konstatējumiem, </w:t>
      </w:r>
      <w:r w:rsidRPr="00C855A6">
        <w:rPr>
          <w:szCs w:val="24"/>
          <w:lang w:val="lv-LV" w:eastAsia="lv-LV"/>
        </w:rPr>
        <w:t xml:space="preserve">pieprasīt Finansējuma saņēmējam atmaksāt neatbilstoši izmantoto </w:t>
      </w:r>
      <w:r w:rsidR="00155FF6" w:rsidRPr="00C855A6">
        <w:rPr>
          <w:szCs w:val="24"/>
          <w:lang w:val="lv-LV" w:eastAsia="lv-LV"/>
        </w:rPr>
        <w:t>Iniciatīvas</w:t>
      </w:r>
      <w:r w:rsidRPr="00C855A6">
        <w:rPr>
          <w:szCs w:val="24"/>
          <w:lang w:val="lv-LV" w:eastAsia="lv-LV"/>
        </w:rPr>
        <w:t xml:space="preserve"> īstenošanas finansējumu Vienošanās norādītajā Programmas </w:t>
      </w:r>
      <w:r w:rsidR="00E551E8" w:rsidRPr="00C855A6">
        <w:rPr>
          <w:szCs w:val="24"/>
          <w:lang w:val="lv-LV" w:eastAsia="lv-LV"/>
        </w:rPr>
        <w:t>apsaimniekotāja</w:t>
      </w:r>
      <w:r w:rsidRPr="00C855A6">
        <w:rPr>
          <w:szCs w:val="24"/>
          <w:lang w:val="lv-LV" w:eastAsia="lv-LV"/>
        </w:rPr>
        <w:t xml:space="preserve"> norēķinu kontā saskaņā ar Vienošanās 2.</w:t>
      </w:r>
      <w:r w:rsidR="00E551E8" w:rsidRPr="00C855A6">
        <w:rPr>
          <w:szCs w:val="24"/>
          <w:lang w:val="lv-LV" w:eastAsia="lv-LV"/>
        </w:rPr>
        <w:t>4</w:t>
      </w:r>
      <w:r w:rsidRPr="00C855A6">
        <w:rPr>
          <w:szCs w:val="24"/>
          <w:lang w:val="lv-LV" w:eastAsia="lv-LV"/>
        </w:rPr>
        <w:t>.</w:t>
      </w:r>
      <w:r w:rsidR="00E551E8" w:rsidRPr="00C855A6">
        <w:rPr>
          <w:szCs w:val="24"/>
          <w:lang w:val="lv-LV" w:eastAsia="lv-LV"/>
        </w:rPr>
        <w:t xml:space="preserve"> </w:t>
      </w:r>
      <w:r w:rsidRPr="00C855A6">
        <w:rPr>
          <w:szCs w:val="24"/>
          <w:lang w:val="lv-LV" w:eastAsia="lv-LV"/>
        </w:rPr>
        <w:t>punktā noteikto termiņu.</w:t>
      </w:r>
    </w:p>
    <w:p w14:paraId="5528DACB" w14:textId="77777777" w:rsidR="005464A7" w:rsidRPr="007A428D" w:rsidRDefault="005464A7" w:rsidP="005464A7">
      <w:pPr>
        <w:ind w:left="720"/>
        <w:jc w:val="both"/>
        <w:rPr>
          <w:szCs w:val="24"/>
          <w:lang w:val="lv-LV" w:eastAsia="lv-LV"/>
        </w:rPr>
      </w:pPr>
    </w:p>
    <w:p w14:paraId="1B5E8274" w14:textId="77777777" w:rsidR="005464A7" w:rsidRPr="00DA1460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>inansējuma saņēmēja pienākumi:</w:t>
      </w:r>
    </w:p>
    <w:p w14:paraId="13BF546A" w14:textId="7B279303" w:rsidR="005464A7" w:rsidRPr="00DA1460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nodrošināt </w:t>
      </w:r>
      <w:r w:rsidR="00E551E8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īstenošanu saskaņā ar </w:t>
      </w:r>
      <w:r>
        <w:rPr>
          <w:szCs w:val="24"/>
          <w:lang w:val="lv-LV" w:eastAsia="lv-LV"/>
        </w:rPr>
        <w:t>Vienošanās</w:t>
      </w:r>
      <w:r w:rsidRPr="00DA1460">
        <w:rPr>
          <w:szCs w:val="24"/>
          <w:lang w:val="lv-LV" w:eastAsia="lv-LV"/>
        </w:rPr>
        <w:t xml:space="preserve">, </w:t>
      </w:r>
      <w:r w:rsidR="00377449">
        <w:rPr>
          <w:szCs w:val="24"/>
          <w:lang w:val="lv-LV" w:eastAsia="lv-LV"/>
        </w:rPr>
        <w:t>I</w:t>
      </w:r>
      <w:r w:rsidR="00E551E8">
        <w:rPr>
          <w:szCs w:val="24"/>
          <w:lang w:val="lv-LV" w:eastAsia="lv-LV"/>
        </w:rPr>
        <w:t>niciatīvas pieteikuma</w:t>
      </w:r>
      <w:r w:rsidR="00E551E8" w:rsidRPr="00DA1460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un Programmas regulējošo normatīvo aktu noteikumiem;</w:t>
      </w:r>
    </w:p>
    <w:p w14:paraId="2E1629CB" w14:textId="0261BAFB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nodrošināt un atbildēt, ka finansējums tiek izlietots tikai un vienīgi ar </w:t>
      </w:r>
      <w:r w:rsidR="00E551E8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īstenošanu saistīto izdevumu apmaksai;</w:t>
      </w:r>
    </w:p>
    <w:p w14:paraId="234E2EEF" w14:textId="067ACBFE" w:rsidR="005464A7" w:rsidRPr="00DA1460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nodrošināt </w:t>
      </w:r>
      <w:r w:rsidR="00D91B48">
        <w:rPr>
          <w:szCs w:val="24"/>
          <w:lang w:val="lv-LV" w:eastAsia="lv-LV"/>
        </w:rPr>
        <w:t>I</w:t>
      </w:r>
      <w:r w:rsidR="00E551E8">
        <w:rPr>
          <w:szCs w:val="24"/>
          <w:lang w:val="lv-LV" w:eastAsia="lv-LV"/>
        </w:rPr>
        <w:t xml:space="preserve">niciatīvas pieteikumā </w:t>
      </w:r>
      <w:r>
        <w:rPr>
          <w:szCs w:val="24"/>
          <w:lang w:val="lv-LV" w:eastAsia="lv-LV"/>
        </w:rPr>
        <w:t>paredzētā mērķa un rezultātu sasniegšanu</w:t>
      </w:r>
      <w:r w:rsidRPr="00DA1460">
        <w:rPr>
          <w:szCs w:val="24"/>
          <w:lang w:val="lv-LV" w:eastAsia="lv-LV"/>
        </w:rPr>
        <w:t>;</w:t>
      </w:r>
    </w:p>
    <w:p w14:paraId="096B46AB" w14:textId="48019931" w:rsidR="005464A7" w:rsidRPr="00DA1460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novērst </w:t>
      </w:r>
      <w:r w:rsidR="00761021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īstenošanā konstatētos trūkumus un pārkāpumus</w:t>
      </w:r>
      <w:r w:rsidR="00761021">
        <w:rPr>
          <w:szCs w:val="24"/>
          <w:lang w:val="lv-LV" w:eastAsia="lv-LV"/>
        </w:rPr>
        <w:t xml:space="preserve"> p</w:t>
      </w:r>
      <w:r w:rsidR="00761021" w:rsidRPr="00DA1460">
        <w:rPr>
          <w:szCs w:val="24"/>
          <w:lang w:val="lv-LV" w:eastAsia="lv-LV"/>
        </w:rPr>
        <w:t xml:space="preserve">rogrammas </w:t>
      </w:r>
      <w:r w:rsidR="00761021">
        <w:rPr>
          <w:szCs w:val="24"/>
          <w:lang w:val="lv-LV" w:eastAsia="lv-LV"/>
        </w:rPr>
        <w:t>apsaimniekotāja</w:t>
      </w:r>
      <w:r w:rsidR="00761021" w:rsidRPr="00DA1460">
        <w:rPr>
          <w:szCs w:val="24"/>
          <w:lang w:val="lv-LV" w:eastAsia="lv-LV"/>
        </w:rPr>
        <w:t xml:space="preserve"> noteiktajā kārtībā un termiņā</w:t>
      </w:r>
      <w:r w:rsidRPr="00DA1460">
        <w:rPr>
          <w:szCs w:val="24"/>
          <w:lang w:val="lv-LV" w:eastAsia="lv-LV"/>
        </w:rPr>
        <w:t>;</w:t>
      </w:r>
    </w:p>
    <w:p w14:paraId="7382B84E" w14:textId="2FF07CAE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nodrošināt atsevišķu </w:t>
      </w:r>
      <w:r>
        <w:rPr>
          <w:szCs w:val="24"/>
          <w:lang w:val="lv-LV" w:eastAsia="lv-LV"/>
        </w:rPr>
        <w:t xml:space="preserve">ar </w:t>
      </w:r>
      <w:r w:rsidR="00761021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īstenošanu saistīto izdevumu </w:t>
      </w:r>
      <w:r w:rsidR="00D91B48">
        <w:rPr>
          <w:szCs w:val="24"/>
          <w:lang w:val="lv-LV" w:eastAsia="lv-LV"/>
        </w:rPr>
        <w:t>analītisku</w:t>
      </w:r>
      <w:r w:rsidR="00D91B48" w:rsidRPr="00DA1460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>uzskaiti;</w:t>
      </w:r>
    </w:p>
    <w:p w14:paraId="147838B7" w14:textId="05FDEB10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iesniegt Programmas </w:t>
      </w:r>
      <w:r w:rsidR="00143DBE">
        <w:rPr>
          <w:szCs w:val="24"/>
          <w:lang w:val="lv-LV" w:eastAsia="lv-LV"/>
        </w:rPr>
        <w:t>apsaimniekotājam</w:t>
      </w:r>
      <w:r w:rsidRPr="00DA1460">
        <w:rPr>
          <w:szCs w:val="24"/>
          <w:lang w:val="lv-LV" w:eastAsia="lv-LV"/>
        </w:rPr>
        <w:t xml:space="preserve"> </w:t>
      </w:r>
      <w:r w:rsidR="00143DBE">
        <w:rPr>
          <w:szCs w:val="24"/>
          <w:lang w:val="lv-LV" w:eastAsia="lv-LV"/>
        </w:rPr>
        <w:t>Iniciatīvas pārskatu</w:t>
      </w:r>
      <w:r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un </w:t>
      </w:r>
      <w:r w:rsidR="00143DBE">
        <w:rPr>
          <w:szCs w:val="24"/>
          <w:lang w:val="lv-LV" w:eastAsia="lv-LV"/>
        </w:rPr>
        <w:t xml:space="preserve">pamatojošos </w:t>
      </w:r>
      <w:r>
        <w:rPr>
          <w:szCs w:val="24"/>
          <w:lang w:val="lv-LV" w:eastAsia="lv-LV"/>
        </w:rPr>
        <w:t>dokumentus</w:t>
      </w:r>
      <w:r w:rsidRPr="00DA1460">
        <w:rPr>
          <w:szCs w:val="24"/>
          <w:lang w:val="lv-LV" w:eastAsia="lv-LV"/>
        </w:rPr>
        <w:t xml:space="preserve"> atbilstoši </w:t>
      </w:r>
      <w:r w:rsidR="00143DBE">
        <w:rPr>
          <w:szCs w:val="24"/>
          <w:lang w:val="lv-LV" w:eastAsia="lv-LV"/>
        </w:rPr>
        <w:t>Vienošanā</w:t>
      </w:r>
      <w:r w:rsidRPr="00DA1460">
        <w:rPr>
          <w:szCs w:val="24"/>
          <w:lang w:val="lv-LV" w:eastAsia="lv-LV"/>
        </w:rPr>
        <w:t xml:space="preserve"> paredzētajam;</w:t>
      </w:r>
    </w:p>
    <w:p w14:paraId="792F7836" w14:textId="2FBB19F7" w:rsidR="00143DBE" w:rsidRPr="00DA1460" w:rsidRDefault="00143DBE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pēc Programmas apsaimniekotāja rakstiska pieprasījuma atmaksāt nepamatoti saņemto finansējumu Programmas apsaimniekotāja noteiktajā termiņā un apjomā vai saskaņā ar atmaksas grafiku;</w:t>
      </w:r>
    </w:p>
    <w:p w14:paraId="36BDE0AD" w14:textId="37EBFBE6" w:rsidR="005464A7" w:rsidRPr="00C855A6" w:rsidRDefault="005464A7" w:rsidP="005464A7">
      <w:pPr>
        <w:numPr>
          <w:ilvl w:val="2"/>
          <w:numId w:val="2"/>
        </w:numPr>
        <w:ind w:left="1311" w:hanging="741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nodrošināt ar </w:t>
      </w:r>
      <w:r w:rsidR="00D342D3">
        <w:rPr>
          <w:szCs w:val="24"/>
          <w:lang w:val="lv-LV" w:eastAsia="lv-LV"/>
        </w:rPr>
        <w:t>Iniciatīvas</w:t>
      </w:r>
      <w:r w:rsidRPr="00DA1460">
        <w:rPr>
          <w:szCs w:val="24"/>
          <w:lang w:val="lv-LV" w:eastAsia="lv-LV"/>
        </w:rPr>
        <w:t xml:space="preserve"> īstenošanu saistīto dokumentu uzglabāšanu līdz </w:t>
      </w:r>
      <w:r w:rsidRPr="00C855A6">
        <w:rPr>
          <w:szCs w:val="24"/>
          <w:lang w:val="lv-LV" w:eastAsia="lv-LV"/>
        </w:rPr>
        <w:t xml:space="preserve">Vienošanās </w:t>
      </w:r>
      <w:r w:rsidR="00D342D3" w:rsidRPr="00C855A6">
        <w:rPr>
          <w:szCs w:val="24"/>
          <w:lang w:val="lv-LV" w:eastAsia="lv-LV"/>
        </w:rPr>
        <w:t>7</w:t>
      </w:r>
      <w:r w:rsidRPr="00C855A6">
        <w:rPr>
          <w:szCs w:val="24"/>
          <w:lang w:val="lv-LV" w:eastAsia="lv-LV"/>
        </w:rPr>
        <w:t>.</w:t>
      </w:r>
      <w:r w:rsidR="00377449">
        <w:rPr>
          <w:szCs w:val="24"/>
          <w:lang w:val="lv-LV" w:eastAsia="lv-LV"/>
        </w:rPr>
        <w:t>1</w:t>
      </w:r>
      <w:r w:rsidRPr="00C855A6">
        <w:rPr>
          <w:szCs w:val="24"/>
          <w:lang w:val="lv-LV" w:eastAsia="lv-LV"/>
        </w:rPr>
        <w:t>.</w:t>
      </w:r>
      <w:r w:rsidR="004861F3" w:rsidRPr="00C855A6">
        <w:rPr>
          <w:szCs w:val="24"/>
          <w:lang w:val="lv-LV" w:eastAsia="lv-LV"/>
        </w:rPr>
        <w:t xml:space="preserve"> </w:t>
      </w:r>
      <w:r w:rsidRPr="00C855A6">
        <w:rPr>
          <w:szCs w:val="24"/>
          <w:lang w:val="lv-LV" w:eastAsia="lv-LV"/>
        </w:rPr>
        <w:t>punktā noteiktajam termiņam;</w:t>
      </w:r>
    </w:p>
    <w:p w14:paraId="7FF9C36E" w14:textId="652068ED" w:rsidR="005464A7" w:rsidRDefault="005464A7" w:rsidP="005464A7">
      <w:pPr>
        <w:numPr>
          <w:ilvl w:val="2"/>
          <w:numId w:val="2"/>
        </w:numPr>
        <w:ind w:left="1311" w:hanging="741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nodrošināt publicitātes </w:t>
      </w:r>
      <w:r w:rsidR="00811FD8">
        <w:rPr>
          <w:szCs w:val="24"/>
          <w:lang w:val="lv-LV" w:eastAsia="lv-LV"/>
        </w:rPr>
        <w:t>prasību ievērošanu</w:t>
      </w:r>
      <w:r w:rsidR="00811FD8" w:rsidRPr="00DA1460">
        <w:rPr>
          <w:szCs w:val="24"/>
          <w:lang w:val="lv-LV" w:eastAsia="lv-LV"/>
        </w:rPr>
        <w:t xml:space="preserve"> </w:t>
      </w:r>
      <w:r w:rsidRPr="00DA1460">
        <w:rPr>
          <w:szCs w:val="24"/>
          <w:lang w:val="lv-LV" w:eastAsia="lv-LV"/>
        </w:rPr>
        <w:t xml:space="preserve">atbilstoši normatīvo aktu prasībām un </w:t>
      </w:r>
      <w:r w:rsidRPr="005441A2">
        <w:rPr>
          <w:szCs w:val="24"/>
          <w:lang w:val="lv-LV" w:eastAsia="lv-LV"/>
        </w:rPr>
        <w:t>Eiropas Ekonomikas zonas</w:t>
      </w:r>
      <w:r>
        <w:rPr>
          <w:szCs w:val="24"/>
          <w:lang w:val="lv-LV" w:eastAsia="lv-LV"/>
        </w:rPr>
        <w:t xml:space="preserve"> finanšu</w:t>
      </w:r>
      <w:r w:rsidRPr="00DA1460">
        <w:rPr>
          <w:szCs w:val="24"/>
          <w:lang w:val="lv-LV" w:eastAsia="lv-LV"/>
        </w:rPr>
        <w:t xml:space="preserve"> instrumentu biroja Komunikācijas un dizaina rokasgrāmatā noteiktajām prasībām (</w:t>
      </w:r>
      <w:hyperlink r:id="rId11" w:history="1">
        <w:r w:rsidRPr="005A3015">
          <w:rPr>
            <w:color w:val="0000FF"/>
            <w:u w:val="single"/>
            <w:lang w:val="lv-LV"/>
          </w:rPr>
          <w:t>https://www.eeagrants.lv/files/lv_3.pielikums_EEZ_NOR_informacijas_un_komunikacijas_prasibas_pabeigts.pdf</w:t>
        </w:r>
      </w:hyperlink>
      <w:r w:rsidRPr="00DA1460">
        <w:rPr>
          <w:szCs w:val="24"/>
          <w:lang w:val="lv-LV" w:eastAsia="lv-LV"/>
        </w:rPr>
        <w:t xml:space="preserve">), ievērojot arī </w:t>
      </w:r>
      <w:r w:rsidRPr="005441A2">
        <w:rPr>
          <w:szCs w:val="24"/>
          <w:lang w:val="lv-LV" w:eastAsia="lv-LV"/>
        </w:rPr>
        <w:t xml:space="preserve">Eiropas Ekonomikas zonas </w:t>
      </w:r>
      <w:r w:rsidRPr="00DA1460">
        <w:rPr>
          <w:szCs w:val="24"/>
          <w:lang w:val="lv-LV" w:eastAsia="lv-LV"/>
        </w:rPr>
        <w:t>finanšu instrumenta logo izmantošanas prasības.</w:t>
      </w:r>
    </w:p>
    <w:p w14:paraId="2BCB4959" w14:textId="77777777" w:rsidR="005464A7" w:rsidRDefault="005464A7" w:rsidP="005464A7">
      <w:pPr>
        <w:ind w:left="1311"/>
        <w:jc w:val="both"/>
        <w:rPr>
          <w:szCs w:val="24"/>
          <w:lang w:val="lv-LV" w:eastAsia="lv-LV"/>
        </w:rPr>
      </w:pPr>
    </w:p>
    <w:p w14:paraId="30C9B4DF" w14:textId="77777777" w:rsidR="005464A7" w:rsidRPr="00DA1460" w:rsidRDefault="005464A7" w:rsidP="005464A7">
      <w:pPr>
        <w:numPr>
          <w:ilvl w:val="1"/>
          <w:numId w:val="2"/>
        </w:numPr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>inansējuma saņēmēja tiesības:</w:t>
      </w:r>
    </w:p>
    <w:p w14:paraId="452CAB2C" w14:textId="7473A4DB" w:rsidR="005464A7" w:rsidRPr="00DA1460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DA1460">
        <w:rPr>
          <w:szCs w:val="24"/>
          <w:lang w:val="lv-LV" w:eastAsia="lv-LV"/>
        </w:rPr>
        <w:t xml:space="preserve">saņemt </w:t>
      </w:r>
      <w:r w:rsidR="00D342D3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īstenošanai</w:t>
      </w:r>
      <w:r w:rsidRPr="00DA1460">
        <w:rPr>
          <w:szCs w:val="24"/>
          <w:lang w:val="lv-LV" w:eastAsia="lv-LV"/>
        </w:rPr>
        <w:t xml:space="preserve"> paredzēto </w:t>
      </w:r>
      <w:r>
        <w:rPr>
          <w:szCs w:val="24"/>
          <w:lang w:val="lv-LV" w:eastAsia="lv-LV"/>
        </w:rPr>
        <w:t>f</w:t>
      </w:r>
      <w:r w:rsidRPr="00DA1460">
        <w:rPr>
          <w:szCs w:val="24"/>
          <w:lang w:val="lv-LV" w:eastAsia="lv-LV"/>
        </w:rPr>
        <w:t xml:space="preserve">inansējumu, ja </w:t>
      </w:r>
      <w:r w:rsidR="00D342D3">
        <w:rPr>
          <w:szCs w:val="24"/>
          <w:lang w:val="lv-LV" w:eastAsia="lv-LV"/>
        </w:rPr>
        <w:t>Iniciatīva tiek īstenota</w:t>
      </w:r>
      <w:r w:rsidRPr="00DA1460">
        <w:rPr>
          <w:szCs w:val="24"/>
          <w:lang w:val="lv-LV" w:eastAsia="lv-LV"/>
        </w:rPr>
        <w:t xml:space="preserve"> atbilstoši normatīvo aktu prasībām un </w:t>
      </w:r>
      <w:r>
        <w:rPr>
          <w:szCs w:val="24"/>
          <w:lang w:val="lv-LV" w:eastAsia="lv-LV"/>
        </w:rPr>
        <w:t>Vienošanās</w:t>
      </w:r>
      <w:r w:rsidRPr="00DA1460">
        <w:rPr>
          <w:szCs w:val="24"/>
          <w:lang w:val="lv-LV" w:eastAsia="lv-LV"/>
        </w:rPr>
        <w:t xml:space="preserve"> noteikumiem;</w:t>
      </w:r>
    </w:p>
    <w:p w14:paraId="35BAE4A6" w14:textId="21F2D4DB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 xml:space="preserve">nepieciešamības gadījumā iesniegt Programmas </w:t>
      </w:r>
      <w:r w:rsidR="00D342D3">
        <w:rPr>
          <w:szCs w:val="24"/>
          <w:lang w:val="lv-LV" w:eastAsia="lv-LV"/>
        </w:rPr>
        <w:t>apsaimniekotājam</w:t>
      </w:r>
      <w:r>
        <w:rPr>
          <w:szCs w:val="24"/>
          <w:lang w:val="lv-LV" w:eastAsia="lv-LV"/>
        </w:rPr>
        <w:t xml:space="preserve"> skaidrojumus un papildinājumus, kas pamato veikto izdevumu attiecināmību;</w:t>
      </w:r>
    </w:p>
    <w:p w14:paraId="5DE28E24" w14:textId="1C686801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lastRenderedPageBreak/>
        <w:t xml:space="preserve">saņemt papildu informāciju un skaidrojumus no Programmas </w:t>
      </w:r>
      <w:r w:rsidR="00D342D3">
        <w:rPr>
          <w:szCs w:val="24"/>
          <w:lang w:val="lv-LV" w:eastAsia="lv-LV"/>
        </w:rPr>
        <w:t xml:space="preserve">apsaimniekotāja </w:t>
      </w:r>
      <w:r>
        <w:rPr>
          <w:szCs w:val="24"/>
          <w:lang w:val="lv-LV" w:eastAsia="lv-LV"/>
        </w:rPr>
        <w:t xml:space="preserve">par </w:t>
      </w:r>
      <w:r w:rsidR="00D342D3">
        <w:rPr>
          <w:szCs w:val="24"/>
          <w:lang w:val="lv-LV" w:eastAsia="lv-LV"/>
        </w:rPr>
        <w:t>Iniciatīvas</w:t>
      </w:r>
      <w:r>
        <w:rPr>
          <w:szCs w:val="24"/>
          <w:lang w:val="lv-LV" w:eastAsia="lv-LV"/>
        </w:rPr>
        <w:t xml:space="preserve"> pārskatā iekļaujamo informāciju un pievienojamiem dokumentiem;</w:t>
      </w:r>
    </w:p>
    <w:p w14:paraId="5773F31D" w14:textId="77777777" w:rsidR="005464A7" w:rsidRDefault="005464A7" w:rsidP="005464A7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 w:rsidRPr="002010A6">
        <w:rPr>
          <w:szCs w:val="24"/>
          <w:lang w:val="lv-LV" w:eastAsia="ar-SA"/>
        </w:rPr>
        <w:t>rīkoties ar jebkādu informāciju saistībā ar Projekta īstenošanu, īpaši tā publicitātes vai informācijas izplatīšanas nolūkā, ievērojot attiecīgās informācijas raksturu, t.sk. nosacījumus ierobežotas informācijas izplatīšanai;</w:t>
      </w:r>
    </w:p>
    <w:p w14:paraId="0F25EA53" w14:textId="4C0B568D" w:rsidR="005464A7" w:rsidRPr="00F426FE" w:rsidRDefault="005464A7" w:rsidP="00F426FE">
      <w:pPr>
        <w:numPr>
          <w:ilvl w:val="2"/>
          <w:numId w:val="2"/>
        </w:numPr>
        <w:ind w:left="1276" w:hanging="706"/>
        <w:jc w:val="both"/>
        <w:rPr>
          <w:szCs w:val="24"/>
          <w:lang w:val="lv-LV" w:eastAsia="lv-LV"/>
        </w:rPr>
      </w:pPr>
      <w:r>
        <w:rPr>
          <w:szCs w:val="24"/>
          <w:lang w:val="lv-LV" w:eastAsia="lv-LV"/>
        </w:rPr>
        <w:t>izmantot citas normatīvajos aktos paredzētās tiesības</w:t>
      </w:r>
      <w:r w:rsidRPr="00A71241">
        <w:rPr>
          <w:szCs w:val="24"/>
          <w:lang w:val="lv-LV" w:eastAsia="lv-LV"/>
        </w:rPr>
        <w:t>.</w:t>
      </w:r>
    </w:p>
    <w:p w14:paraId="5418E7C6" w14:textId="77777777" w:rsidR="00646D2C" w:rsidRPr="00DA1460" w:rsidRDefault="00646D2C" w:rsidP="005464A7">
      <w:pPr>
        <w:outlineLvl w:val="0"/>
        <w:rPr>
          <w:b/>
          <w:szCs w:val="24"/>
          <w:lang w:val="lv-LV"/>
        </w:rPr>
      </w:pPr>
    </w:p>
    <w:p w14:paraId="3C9B3DE8" w14:textId="5A808047" w:rsidR="005464A7" w:rsidRDefault="005464A7" w:rsidP="005464A7">
      <w:pPr>
        <w:numPr>
          <w:ilvl w:val="0"/>
          <w:numId w:val="2"/>
        </w:numPr>
        <w:tabs>
          <w:tab w:val="clear" w:pos="555"/>
          <w:tab w:val="num" w:pos="284"/>
        </w:tabs>
        <w:jc w:val="center"/>
        <w:outlineLvl w:val="0"/>
        <w:rPr>
          <w:b/>
          <w:szCs w:val="24"/>
          <w:lang w:val="lv-LV"/>
        </w:rPr>
      </w:pPr>
      <w:r w:rsidRPr="00DA1460">
        <w:rPr>
          <w:b/>
          <w:szCs w:val="24"/>
          <w:lang w:val="lv-LV"/>
        </w:rPr>
        <w:t>Dokumentu glabāšana</w:t>
      </w:r>
    </w:p>
    <w:p w14:paraId="0EC60C79" w14:textId="77777777" w:rsidR="00646D2C" w:rsidRDefault="00646D2C" w:rsidP="00646D2C">
      <w:pPr>
        <w:ind w:left="555"/>
        <w:outlineLvl w:val="0"/>
        <w:rPr>
          <w:b/>
          <w:szCs w:val="24"/>
          <w:lang w:val="lv-LV"/>
        </w:rPr>
      </w:pPr>
    </w:p>
    <w:p w14:paraId="2AA2B943" w14:textId="2F016A60" w:rsidR="005464A7" w:rsidRDefault="005464A7" w:rsidP="005464A7">
      <w:pPr>
        <w:numPr>
          <w:ilvl w:val="1"/>
          <w:numId w:val="2"/>
        </w:numPr>
        <w:jc w:val="both"/>
        <w:outlineLvl w:val="0"/>
        <w:rPr>
          <w:szCs w:val="24"/>
          <w:lang w:val="lv-LV"/>
        </w:rPr>
      </w:pPr>
      <w:bookmarkStart w:id="1" w:name="_Hlk36046855"/>
      <w:r>
        <w:rPr>
          <w:szCs w:val="24"/>
          <w:lang w:val="lv-LV"/>
        </w:rPr>
        <w:t xml:space="preserve">Visu </w:t>
      </w:r>
      <w:r w:rsidRPr="00DA1460">
        <w:rPr>
          <w:szCs w:val="24"/>
          <w:lang w:val="lv-LV"/>
        </w:rPr>
        <w:t xml:space="preserve">ar </w:t>
      </w:r>
      <w:r w:rsidR="00811FD8">
        <w:rPr>
          <w:szCs w:val="24"/>
          <w:lang w:val="lv-LV"/>
        </w:rPr>
        <w:t>Iniciatīvas un Vienošanās</w:t>
      </w:r>
      <w:r w:rsidR="00811FD8" w:rsidRPr="00DA1460">
        <w:rPr>
          <w:szCs w:val="24"/>
          <w:lang w:val="lv-LV"/>
        </w:rPr>
        <w:t xml:space="preserve"> </w:t>
      </w:r>
      <w:r w:rsidRPr="00DA1460">
        <w:rPr>
          <w:szCs w:val="24"/>
          <w:lang w:val="lv-LV"/>
        </w:rPr>
        <w:t xml:space="preserve">īstenošanu saistīto dokumentu </w:t>
      </w:r>
      <w:r>
        <w:rPr>
          <w:szCs w:val="24"/>
          <w:lang w:val="lv-LV"/>
        </w:rPr>
        <w:t>oriģinālu g</w:t>
      </w:r>
      <w:r w:rsidRPr="00DA1460">
        <w:rPr>
          <w:szCs w:val="24"/>
          <w:lang w:val="lv-LV"/>
        </w:rPr>
        <w:t>labāšanu</w:t>
      </w:r>
      <w:bookmarkEnd w:id="1"/>
      <w:r w:rsidR="00811FD8">
        <w:rPr>
          <w:szCs w:val="24"/>
          <w:lang w:val="lv-LV"/>
        </w:rPr>
        <w:t xml:space="preserve"> Puses</w:t>
      </w:r>
      <w:r w:rsidRPr="00DA146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nodrošina 5 (</w:t>
      </w:r>
      <w:r w:rsidRPr="00DA1460">
        <w:rPr>
          <w:szCs w:val="24"/>
          <w:lang w:val="lv-LV"/>
        </w:rPr>
        <w:t>piecus</w:t>
      </w:r>
      <w:r>
        <w:rPr>
          <w:szCs w:val="24"/>
          <w:lang w:val="lv-LV"/>
        </w:rPr>
        <w:t>)</w:t>
      </w:r>
      <w:r w:rsidRPr="00DA1460">
        <w:rPr>
          <w:szCs w:val="24"/>
          <w:lang w:val="lv-LV"/>
        </w:rPr>
        <w:t xml:space="preserve"> gadus pēc Programmas noslēguma pārskata apstiprināšana</w:t>
      </w:r>
      <w:r>
        <w:rPr>
          <w:szCs w:val="24"/>
          <w:lang w:val="lv-LV"/>
        </w:rPr>
        <w:t>s.</w:t>
      </w:r>
    </w:p>
    <w:p w14:paraId="3FA9F9DC" w14:textId="77777777" w:rsidR="005464A7" w:rsidRDefault="005464A7" w:rsidP="005464A7">
      <w:pPr>
        <w:ind w:left="555"/>
        <w:jc w:val="both"/>
        <w:outlineLvl w:val="0"/>
        <w:rPr>
          <w:szCs w:val="24"/>
          <w:lang w:val="lv-LV"/>
        </w:rPr>
      </w:pPr>
    </w:p>
    <w:p w14:paraId="0481B56A" w14:textId="77777777" w:rsidR="005464A7" w:rsidRPr="00DA1460" w:rsidRDefault="005464A7" w:rsidP="005464A7">
      <w:pPr>
        <w:rPr>
          <w:szCs w:val="24"/>
          <w:lang w:val="lv-LV"/>
        </w:rPr>
      </w:pPr>
    </w:p>
    <w:p w14:paraId="2EAB2105" w14:textId="0A75EB86" w:rsidR="00646D2C" w:rsidRDefault="00646D2C" w:rsidP="00646D2C">
      <w:pPr>
        <w:numPr>
          <w:ilvl w:val="0"/>
          <w:numId w:val="2"/>
        </w:numPr>
        <w:jc w:val="center"/>
        <w:outlineLvl w:val="0"/>
        <w:rPr>
          <w:b/>
          <w:szCs w:val="24"/>
          <w:lang w:val="lv-LV"/>
        </w:rPr>
      </w:pPr>
      <w:r w:rsidRPr="00DA1460">
        <w:rPr>
          <w:b/>
          <w:szCs w:val="24"/>
          <w:lang w:val="lv-LV"/>
        </w:rPr>
        <w:t>Citi noteikumi</w:t>
      </w:r>
    </w:p>
    <w:p w14:paraId="68D9225C" w14:textId="77777777" w:rsidR="00646D2C" w:rsidRPr="00DA1460" w:rsidRDefault="00646D2C" w:rsidP="00646D2C">
      <w:pPr>
        <w:ind w:left="555"/>
        <w:outlineLvl w:val="0"/>
        <w:rPr>
          <w:b/>
          <w:szCs w:val="24"/>
          <w:lang w:val="lv-LV"/>
        </w:rPr>
      </w:pPr>
    </w:p>
    <w:p w14:paraId="09CED75C" w14:textId="761E7B87" w:rsidR="005464A7" w:rsidRDefault="005464A7" w:rsidP="005464A7">
      <w:pPr>
        <w:numPr>
          <w:ilvl w:val="1"/>
          <w:numId w:val="2"/>
        </w:numPr>
        <w:ind w:left="567"/>
        <w:jc w:val="both"/>
        <w:rPr>
          <w:szCs w:val="24"/>
          <w:lang w:val="lv-LV"/>
        </w:rPr>
      </w:pPr>
      <w:r>
        <w:rPr>
          <w:szCs w:val="24"/>
          <w:lang w:val="lv-LV"/>
        </w:rPr>
        <w:t>Vienošanās</w:t>
      </w:r>
      <w:r w:rsidRPr="00DA1460">
        <w:rPr>
          <w:szCs w:val="24"/>
          <w:lang w:val="lv-LV"/>
        </w:rPr>
        <w:t xml:space="preserve"> stājas spēkā tā abpusējas parakstīšanas dienā un ir spēkā līdz abu Pušu saistību pilnīgai izpildei.</w:t>
      </w:r>
    </w:p>
    <w:p w14:paraId="111D8130" w14:textId="0DCBF00C" w:rsidR="005464A7" w:rsidRDefault="005464A7" w:rsidP="004861F3">
      <w:pPr>
        <w:jc w:val="both"/>
        <w:rPr>
          <w:szCs w:val="24"/>
          <w:lang w:val="lv-LV"/>
        </w:rPr>
      </w:pPr>
    </w:p>
    <w:p w14:paraId="33F1C7AF" w14:textId="2B5B26F9" w:rsidR="005464A7" w:rsidRDefault="005464A7" w:rsidP="005464A7">
      <w:pPr>
        <w:numPr>
          <w:ilvl w:val="1"/>
          <w:numId w:val="2"/>
        </w:numPr>
        <w:ind w:left="567"/>
        <w:jc w:val="both"/>
        <w:rPr>
          <w:szCs w:val="24"/>
          <w:lang w:val="lv-LV"/>
        </w:rPr>
      </w:pPr>
      <w:r w:rsidRPr="00DA1460">
        <w:rPr>
          <w:szCs w:val="24"/>
          <w:lang w:val="lv-LV"/>
        </w:rPr>
        <w:t xml:space="preserve">Ja </w:t>
      </w:r>
      <w:r>
        <w:rPr>
          <w:szCs w:val="24"/>
          <w:lang w:val="lv-LV"/>
        </w:rPr>
        <w:t>F</w:t>
      </w:r>
      <w:r w:rsidRPr="00DA1460">
        <w:rPr>
          <w:szCs w:val="24"/>
          <w:lang w:val="lv-LV"/>
        </w:rPr>
        <w:t xml:space="preserve">inansējuma saņēmējam un Programmas </w:t>
      </w:r>
      <w:r w:rsidR="004861F3">
        <w:rPr>
          <w:szCs w:val="24"/>
          <w:lang w:val="lv-LV"/>
        </w:rPr>
        <w:t>apsaimniekotājam</w:t>
      </w:r>
      <w:r w:rsidRPr="00DA1460">
        <w:rPr>
          <w:szCs w:val="24"/>
          <w:lang w:val="lv-LV"/>
        </w:rPr>
        <w:t xml:space="preserve"> rodas strīdi saistībā ar </w:t>
      </w:r>
      <w:r>
        <w:rPr>
          <w:szCs w:val="24"/>
          <w:lang w:val="lv-LV"/>
        </w:rPr>
        <w:t>Vienošanās</w:t>
      </w:r>
      <w:r w:rsidRPr="00DA1460">
        <w:rPr>
          <w:szCs w:val="24"/>
          <w:lang w:val="lv-LV"/>
        </w:rPr>
        <w:t xml:space="preserve"> izpildi, tie risināmi Eiropas Ekonomikas zonas finanšu instrumenta un Norvēģijas finanšu instrumenta 2014.</w:t>
      </w:r>
      <w:r>
        <w:rPr>
          <w:szCs w:val="24"/>
          <w:lang w:val="lv-LV"/>
        </w:rPr>
        <w:t> </w:t>
      </w:r>
      <w:r w:rsidRPr="00DA1460">
        <w:rPr>
          <w:szCs w:val="24"/>
          <w:lang w:val="lv-LV"/>
        </w:rPr>
        <w:t>–</w:t>
      </w:r>
      <w:r>
        <w:rPr>
          <w:szCs w:val="24"/>
          <w:lang w:val="lv-LV"/>
        </w:rPr>
        <w:t> </w:t>
      </w:r>
      <w:r w:rsidRPr="00DA1460">
        <w:rPr>
          <w:szCs w:val="24"/>
          <w:lang w:val="lv-LV"/>
        </w:rPr>
        <w:t>2021.gada perioda vadības likuma V.</w:t>
      </w:r>
      <w:r w:rsidR="004861F3">
        <w:rPr>
          <w:szCs w:val="24"/>
          <w:lang w:val="lv-LV"/>
        </w:rPr>
        <w:t xml:space="preserve"> </w:t>
      </w:r>
      <w:r w:rsidRPr="00DA1460">
        <w:rPr>
          <w:szCs w:val="24"/>
          <w:lang w:val="lv-LV"/>
        </w:rPr>
        <w:t>nodaļā noteiktajā kārtībā.</w:t>
      </w:r>
    </w:p>
    <w:p w14:paraId="0336F4CA" w14:textId="62F2F97E" w:rsidR="005464A7" w:rsidRDefault="005464A7" w:rsidP="004861F3">
      <w:pPr>
        <w:jc w:val="both"/>
        <w:rPr>
          <w:szCs w:val="24"/>
          <w:lang w:val="lv-LV"/>
        </w:rPr>
      </w:pPr>
    </w:p>
    <w:p w14:paraId="6E598C26" w14:textId="7504656B" w:rsidR="005464A7" w:rsidRDefault="005464A7" w:rsidP="005464A7">
      <w:pPr>
        <w:numPr>
          <w:ilvl w:val="1"/>
          <w:numId w:val="2"/>
        </w:numPr>
        <w:ind w:left="567"/>
        <w:jc w:val="both"/>
        <w:rPr>
          <w:szCs w:val="24"/>
          <w:lang w:val="lv-LV"/>
        </w:rPr>
      </w:pPr>
      <w:r>
        <w:rPr>
          <w:szCs w:val="24"/>
          <w:lang w:val="lv-LV"/>
        </w:rPr>
        <w:t>Vienošanās</w:t>
      </w:r>
      <w:r w:rsidRPr="00DA1460">
        <w:rPr>
          <w:szCs w:val="24"/>
          <w:lang w:val="lv-LV"/>
        </w:rPr>
        <w:t xml:space="preserve"> </w:t>
      </w:r>
      <w:r>
        <w:rPr>
          <w:szCs w:val="24"/>
          <w:lang w:val="lv-LV"/>
        </w:rPr>
        <w:t>ar</w:t>
      </w:r>
      <w:r w:rsidR="004861F3">
        <w:rPr>
          <w:szCs w:val="24"/>
          <w:lang w:val="lv-LV"/>
        </w:rPr>
        <w:t xml:space="preserve"> tās</w:t>
      </w:r>
      <w:r>
        <w:rPr>
          <w:szCs w:val="24"/>
          <w:lang w:val="lv-LV"/>
        </w:rPr>
        <w:t xml:space="preserve"> pielikumu </w:t>
      </w:r>
      <w:r w:rsidRPr="00DA1460">
        <w:rPr>
          <w:szCs w:val="24"/>
          <w:lang w:val="lv-LV"/>
        </w:rPr>
        <w:t>sa</w:t>
      </w:r>
      <w:r w:rsidR="004861F3">
        <w:rPr>
          <w:szCs w:val="24"/>
          <w:lang w:val="lv-LV"/>
        </w:rPr>
        <w:t>gatavota</w:t>
      </w:r>
      <w:r w:rsidRPr="00DA1460">
        <w:rPr>
          <w:szCs w:val="24"/>
          <w:lang w:val="lv-LV"/>
        </w:rPr>
        <w:t xml:space="preserve"> </w:t>
      </w:r>
      <w:r>
        <w:rPr>
          <w:szCs w:val="24"/>
          <w:lang w:val="lv-LV"/>
        </w:rPr>
        <w:t xml:space="preserve">latviešu valodā </w:t>
      </w:r>
      <w:r w:rsidRPr="00DA1460">
        <w:rPr>
          <w:szCs w:val="24"/>
          <w:lang w:val="lv-LV"/>
        </w:rPr>
        <w:t xml:space="preserve">uz __ (____) lapām, </w:t>
      </w:r>
      <w:r>
        <w:rPr>
          <w:szCs w:val="24"/>
          <w:lang w:val="lv-LV"/>
        </w:rPr>
        <w:t xml:space="preserve">2 (divos) identiskos eksemplāros ar vienādu juridisko spēku, </w:t>
      </w:r>
      <w:r w:rsidRPr="00DA1460">
        <w:rPr>
          <w:szCs w:val="24"/>
          <w:lang w:val="lv-LV"/>
        </w:rPr>
        <w:t xml:space="preserve">katrai Pusei pa vienam </w:t>
      </w:r>
      <w:r>
        <w:rPr>
          <w:szCs w:val="24"/>
          <w:lang w:val="lv-LV"/>
        </w:rPr>
        <w:t>Vienošanās eksemplāram</w:t>
      </w:r>
      <w:r w:rsidRPr="00DA1460">
        <w:rPr>
          <w:szCs w:val="24"/>
          <w:lang w:val="lv-LV"/>
        </w:rPr>
        <w:t>.</w:t>
      </w:r>
    </w:p>
    <w:p w14:paraId="7C62726F" w14:textId="77777777" w:rsidR="005464A7" w:rsidRDefault="005464A7" w:rsidP="005464A7">
      <w:pPr>
        <w:ind w:left="567"/>
        <w:jc w:val="both"/>
        <w:rPr>
          <w:szCs w:val="24"/>
          <w:lang w:val="lv-LV"/>
        </w:rPr>
      </w:pPr>
    </w:p>
    <w:p w14:paraId="67CCFAFE" w14:textId="2741FB59" w:rsidR="005464A7" w:rsidRDefault="005464A7" w:rsidP="005464A7">
      <w:pPr>
        <w:numPr>
          <w:ilvl w:val="0"/>
          <w:numId w:val="2"/>
        </w:numPr>
        <w:jc w:val="center"/>
        <w:rPr>
          <w:b/>
          <w:szCs w:val="24"/>
          <w:lang w:val="lv-LV" w:eastAsia="lv-LV"/>
        </w:rPr>
      </w:pPr>
      <w:r w:rsidRPr="00DA1460">
        <w:rPr>
          <w:b/>
          <w:szCs w:val="24"/>
          <w:lang w:val="lv-LV" w:eastAsia="lv-LV"/>
        </w:rPr>
        <w:t>Pušu rekvizīti</w:t>
      </w:r>
    </w:p>
    <w:p w14:paraId="2954507D" w14:textId="22A08602" w:rsidR="004861F3" w:rsidRDefault="004861F3" w:rsidP="004861F3">
      <w:pPr>
        <w:jc w:val="center"/>
        <w:rPr>
          <w:b/>
          <w:szCs w:val="24"/>
          <w:lang w:val="lv-LV" w:eastAsia="lv-LV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2"/>
        <w:gridCol w:w="3018"/>
        <w:gridCol w:w="3186"/>
      </w:tblGrid>
      <w:tr w:rsidR="004861F3" w14:paraId="0BCF118F" w14:textId="77777777" w:rsidTr="000135FE">
        <w:trPr>
          <w:jc w:val="center"/>
        </w:trPr>
        <w:tc>
          <w:tcPr>
            <w:tcW w:w="2263" w:type="dxa"/>
            <w:vAlign w:val="center"/>
          </w:tcPr>
          <w:p w14:paraId="0A040FB9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58DBD14C" w14:textId="4371D89D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  <w:r w:rsidRPr="004861F3">
              <w:rPr>
                <w:b/>
                <w:lang w:val="lv-LV"/>
              </w:rPr>
              <w:t>Programmas apsaimniekotājs</w:t>
            </w:r>
          </w:p>
        </w:tc>
        <w:tc>
          <w:tcPr>
            <w:tcW w:w="3537" w:type="dxa"/>
            <w:vAlign w:val="center"/>
          </w:tcPr>
          <w:p w14:paraId="03F93E13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  <w:r w:rsidRPr="004861F3">
              <w:rPr>
                <w:b/>
                <w:lang w:val="lv-LV"/>
              </w:rPr>
              <w:t>Finansējuma saņēmējs</w:t>
            </w:r>
          </w:p>
        </w:tc>
      </w:tr>
      <w:tr w:rsidR="004861F3" w14:paraId="207B6205" w14:textId="77777777" w:rsidTr="000135FE">
        <w:trPr>
          <w:jc w:val="center"/>
        </w:trPr>
        <w:tc>
          <w:tcPr>
            <w:tcW w:w="2263" w:type="dxa"/>
            <w:vAlign w:val="center"/>
          </w:tcPr>
          <w:p w14:paraId="21E14656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  <w:p w14:paraId="5A540B3C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  <w:r w:rsidRPr="004861F3">
              <w:rPr>
                <w:lang w:val="lv-LV"/>
              </w:rPr>
              <w:t>Iestādes nosaukums</w:t>
            </w:r>
          </w:p>
          <w:p w14:paraId="653FED43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607E15D4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  <w:r w:rsidRPr="004861F3">
              <w:rPr>
                <w:lang w:val="lv-LV"/>
              </w:rPr>
              <w:t>Latvijas Republikas Iekšlietu ministrija</w:t>
            </w:r>
          </w:p>
        </w:tc>
        <w:tc>
          <w:tcPr>
            <w:tcW w:w="3537" w:type="dxa"/>
            <w:vAlign w:val="center"/>
          </w:tcPr>
          <w:p w14:paraId="601854D5" w14:textId="7F68ABDE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</w:tr>
      <w:tr w:rsidR="004861F3" w14:paraId="514721D7" w14:textId="77777777" w:rsidTr="000135FE">
        <w:trPr>
          <w:jc w:val="center"/>
        </w:trPr>
        <w:tc>
          <w:tcPr>
            <w:tcW w:w="2263" w:type="dxa"/>
            <w:vAlign w:val="center"/>
          </w:tcPr>
          <w:p w14:paraId="386C3036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  <w:p w14:paraId="29824BA7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  <w:r w:rsidRPr="004861F3">
              <w:rPr>
                <w:lang w:val="lv-LV"/>
              </w:rPr>
              <w:t>Amats</w:t>
            </w:r>
          </w:p>
          <w:p w14:paraId="069D1CD0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5467148E" w14:textId="2D6CD55A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537" w:type="dxa"/>
            <w:vAlign w:val="center"/>
          </w:tcPr>
          <w:p w14:paraId="118C5FE2" w14:textId="6D965610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</w:tr>
      <w:tr w:rsidR="004861F3" w14:paraId="16B9260A" w14:textId="77777777" w:rsidTr="000135FE">
        <w:trPr>
          <w:jc w:val="center"/>
        </w:trPr>
        <w:tc>
          <w:tcPr>
            <w:tcW w:w="2263" w:type="dxa"/>
            <w:vAlign w:val="center"/>
          </w:tcPr>
          <w:p w14:paraId="30EA0C8C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  <w:p w14:paraId="1DF02FBA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  <w:r w:rsidRPr="004861F3">
              <w:rPr>
                <w:lang w:val="lv-LV"/>
              </w:rPr>
              <w:t>Vārds, uzvārds</w:t>
            </w:r>
          </w:p>
          <w:p w14:paraId="2263B662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66588FD6" w14:textId="4341A38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537" w:type="dxa"/>
            <w:vAlign w:val="center"/>
          </w:tcPr>
          <w:p w14:paraId="6E92F475" w14:textId="3B708BBD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</w:tr>
      <w:tr w:rsidR="004861F3" w14:paraId="02B5CF81" w14:textId="77777777" w:rsidTr="000135FE">
        <w:trPr>
          <w:jc w:val="center"/>
        </w:trPr>
        <w:tc>
          <w:tcPr>
            <w:tcW w:w="2263" w:type="dxa"/>
            <w:vAlign w:val="center"/>
          </w:tcPr>
          <w:p w14:paraId="57F51916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  <w:p w14:paraId="70D03775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  <w:r w:rsidRPr="004861F3">
              <w:rPr>
                <w:lang w:val="lv-LV"/>
              </w:rPr>
              <w:t>Paraksts</w:t>
            </w:r>
          </w:p>
          <w:p w14:paraId="7EEC74DE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504C621B" w14:textId="77777777" w:rsidR="004861F3" w:rsidRPr="004861F3" w:rsidRDefault="004861F3" w:rsidP="000135FE">
            <w:pPr>
              <w:pStyle w:val="ListParagraph"/>
              <w:tabs>
                <w:tab w:val="left" w:pos="993"/>
              </w:tabs>
              <w:spacing w:before="120" w:after="120"/>
              <w:ind w:left="0"/>
              <w:jc w:val="center"/>
              <w:rPr>
                <w:lang w:val="lv-LV"/>
              </w:rPr>
            </w:pPr>
          </w:p>
          <w:p w14:paraId="1D5C9095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537" w:type="dxa"/>
            <w:vAlign w:val="center"/>
          </w:tcPr>
          <w:p w14:paraId="032377C1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</w:tr>
      <w:tr w:rsidR="004861F3" w14:paraId="1BC2B84C" w14:textId="77777777" w:rsidTr="000135FE">
        <w:trPr>
          <w:jc w:val="center"/>
        </w:trPr>
        <w:tc>
          <w:tcPr>
            <w:tcW w:w="2263" w:type="dxa"/>
            <w:vAlign w:val="center"/>
          </w:tcPr>
          <w:p w14:paraId="13E637AC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  <w:p w14:paraId="01F2879E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  <w:r w:rsidRPr="004861F3">
              <w:rPr>
                <w:lang w:val="lv-LV"/>
              </w:rPr>
              <w:t>Datums</w:t>
            </w:r>
          </w:p>
          <w:p w14:paraId="504964D9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2AAEC62D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537" w:type="dxa"/>
            <w:vAlign w:val="center"/>
          </w:tcPr>
          <w:p w14:paraId="0DF56F7D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</w:tr>
      <w:tr w:rsidR="004861F3" w14:paraId="33EF53A5" w14:textId="77777777" w:rsidTr="000135FE">
        <w:trPr>
          <w:jc w:val="center"/>
        </w:trPr>
        <w:tc>
          <w:tcPr>
            <w:tcW w:w="2263" w:type="dxa"/>
            <w:vAlign w:val="center"/>
          </w:tcPr>
          <w:p w14:paraId="182503B1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rPr>
                <w:lang w:val="lv-LV"/>
              </w:rPr>
            </w:pPr>
          </w:p>
        </w:tc>
        <w:tc>
          <w:tcPr>
            <w:tcW w:w="3261" w:type="dxa"/>
            <w:vAlign w:val="center"/>
          </w:tcPr>
          <w:p w14:paraId="5F0B6D19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  <w:p w14:paraId="54654314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  <w:r w:rsidRPr="004861F3">
              <w:rPr>
                <w:lang w:val="lv-LV"/>
              </w:rPr>
              <w:t>z.v.</w:t>
            </w:r>
          </w:p>
          <w:p w14:paraId="4BCB3ECA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</w:p>
        </w:tc>
        <w:tc>
          <w:tcPr>
            <w:tcW w:w="3537" w:type="dxa"/>
            <w:vAlign w:val="center"/>
          </w:tcPr>
          <w:p w14:paraId="4F34B422" w14:textId="77777777" w:rsidR="004861F3" w:rsidRPr="004861F3" w:rsidRDefault="004861F3" w:rsidP="000135FE">
            <w:pPr>
              <w:pStyle w:val="ListParagraph"/>
              <w:tabs>
                <w:tab w:val="left" w:pos="851"/>
              </w:tabs>
              <w:ind w:left="0"/>
              <w:jc w:val="center"/>
              <w:rPr>
                <w:lang w:val="lv-LV"/>
              </w:rPr>
            </w:pPr>
            <w:r w:rsidRPr="004861F3">
              <w:rPr>
                <w:lang w:val="lv-LV"/>
              </w:rPr>
              <w:t>z.v.</w:t>
            </w:r>
          </w:p>
        </w:tc>
      </w:tr>
    </w:tbl>
    <w:p w14:paraId="0341AFDB" w14:textId="63059644" w:rsidR="004861F3" w:rsidRDefault="004861F3" w:rsidP="004861F3">
      <w:pPr>
        <w:jc w:val="center"/>
        <w:rPr>
          <w:b/>
          <w:szCs w:val="24"/>
          <w:lang w:val="lv-LV" w:eastAsia="lv-LV"/>
        </w:rPr>
      </w:pPr>
    </w:p>
    <w:p w14:paraId="6862943B" w14:textId="05914AC8" w:rsidR="001704E4" w:rsidRDefault="001704E4" w:rsidP="004861F3">
      <w:pPr>
        <w:jc w:val="center"/>
        <w:rPr>
          <w:b/>
          <w:szCs w:val="24"/>
          <w:lang w:val="lv-LV" w:eastAsia="lv-LV"/>
        </w:rPr>
      </w:pPr>
    </w:p>
    <w:p w14:paraId="31EE9075" w14:textId="5324488D" w:rsidR="001704E4" w:rsidRDefault="001704E4" w:rsidP="004861F3">
      <w:pPr>
        <w:jc w:val="center"/>
        <w:rPr>
          <w:b/>
          <w:szCs w:val="24"/>
          <w:lang w:val="lv-LV" w:eastAsia="lv-LV"/>
        </w:rPr>
      </w:pPr>
    </w:p>
    <w:sectPr w:rsidR="001704E4" w:rsidSect="00C855A6">
      <w:footerReference w:type="defaul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A82B" w14:textId="77777777" w:rsidR="00515A55" w:rsidRDefault="00515A55" w:rsidP="005464A7">
      <w:r>
        <w:separator/>
      </w:r>
    </w:p>
  </w:endnote>
  <w:endnote w:type="continuationSeparator" w:id="0">
    <w:p w14:paraId="53FD3064" w14:textId="77777777" w:rsidR="00515A55" w:rsidRDefault="00515A55" w:rsidP="0054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684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C68FA" w14:textId="13EDD541" w:rsidR="00C855A6" w:rsidRDefault="00C85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54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F0A07C3" w14:textId="77777777" w:rsidR="00C855A6" w:rsidRDefault="00C85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73B1" w14:textId="77777777" w:rsidR="00515A55" w:rsidRDefault="00515A55" w:rsidP="005464A7">
      <w:r>
        <w:separator/>
      </w:r>
    </w:p>
  </w:footnote>
  <w:footnote w:type="continuationSeparator" w:id="0">
    <w:p w14:paraId="6FEE9AB5" w14:textId="77777777" w:rsidR="00515A55" w:rsidRDefault="00515A55" w:rsidP="005464A7">
      <w:r>
        <w:continuationSeparator/>
      </w:r>
    </w:p>
  </w:footnote>
  <w:footnote w:id="1">
    <w:p w14:paraId="1ED79541" w14:textId="77777777" w:rsidR="005464A7" w:rsidRPr="000812B0" w:rsidRDefault="005464A7" w:rsidP="005464A7">
      <w:pPr>
        <w:pStyle w:val="FootnoteText"/>
        <w:tabs>
          <w:tab w:val="left" w:pos="284"/>
        </w:tabs>
        <w:spacing w:before="0"/>
        <w:ind w:left="284" w:hanging="284"/>
        <w:rPr>
          <w:rFonts w:ascii="Times New Roman" w:hAnsi="Times New Roman" w:cs="Times New Roman"/>
        </w:rPr>
      </w:pPr>
      <w:r w:rsidRPr="000812B0">
        <w:rPr>
          <w:rStyle w:val="FootnoteReference"/>
          <w:rFonts w:ascii="Times New Roman" w:hAnsi="Times New Roman" w:cs="Times New Roman"/>
        </w:rPr>
        <w:footnoteRef/>
      </w:r>
      <w:r w:rsidRPr="000812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0812B0">
        <w:rPr>
          <w:rFonts w:ascii="Times New Roman" w:hAnsi="Times New Roman" w:cs="Times New Roman"/>
        </w:rPr>
        <w:t xml:space="preserve">Saprašanās memorands par Eiropas Ekonomikas zonas finanšu instrumenta ieviešanu 2014. – 2021.gadā, kas noslēgts starp Latvijas Republiku un Islandi, Lihtenšteinas Firstisti, Norvēģijas Karalisti un apstiprināts ar Ministru kabineta 2017.gada 5.decembra noteikumiem Nr.712 </w:t>
      </w:r>
      <w:r>
        <w:rPr>
          <w:rFonts w:ascii="Times New Roman" w:hAnsi="Times New Roman" w:cs="Times New Roman"/>
        </w:rPr>
        <w:t>„</w:t>
      </w:r>
      <w:r w:rsidRPr="000812B0">
        <w:rPr>
          <w:rFonts w:ascii="Times New Roman" w:hAnsi="Times New Roman" w:cs="Times New Roman"/>
        </w:rPr>
        <w:t>Par Latvijas Republikas un Islandes, Lihtenšteinas Firstistes un Norvēģijas Karalistes saprašanās memorandu par Eiropas Ekonomikas zonas instrumenta</w:t>
      </w:r>
      <w:r>
        <w:rPr>
          <w:rFonts w:ascii="Times New Roman" w:hAnsi="Times New Roman" w:cs="Times New Roman"/>
        </w:rPr>
        <w:t xml:space="preserve"> ieviešanu 2014. – 2121.gadā”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B23B8"/>
    <w:multiLevelType w:val="multilevel"/>
    <w:tmpl w:val="325C497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52D18AE"/>
    <w:multiLevelType w:val="multilevel"/>
    <w:tmpl w:val="AEAEF2A2"/>
    <w:lvl w:ilvl="0">
      <w:start w:val="3"/>
      <w:numFmt w:val="upperRoman"/>
      <w:pStyle w:val="Heading1"/>
      <w:lvlText w:val="%1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D86FF8"/>
    <w:multiLevelType w:val="multilevel"/>
    <w:tmpl w:val="BCA214B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A7"/>
    <w:rsid w:val="000817B5"/>
    <w:rsid w:val="00143C60"/>
    <w:rsid w:val="00143DBE"/>
    <w:rsid w:val="00155FF6"/>
    <w:rsid w:val="001704E4"/>
    <w:rsid w:val="00174881"/>
    <w:rsid w:val="001C6982"/>
    <w:rsid w:val="00201F6F"/>
    <w:rsid w:val="0023181B"/>
    <w:rsid w:val="002C77A8"/>
    <w:rsid w:val="002D28A7"/>
    <w:rsid w:val="00306EEC"/>
    <w:rsid w:val="003710DA"/>
    <w:rsid w:val="00377449"/>
    <w:rsid w:val="003857BB"/>
    <w:rsid w:val="004114C3"/>
    <w:rsid w:val="004446AD"/>
    <w:rsid w:val="00453DD8"/>
    <w:rsid w:val="004861F3"/>
    <w:rsid w:val="00495384"/>
    <w:rsid w:val="004B4711"/>
    <w:rsid w:val="00515A55"/>
    <w:rsid w:val="005448FC"/>
    <w:rsid w:val="005464A7"/>
    <w:rsid w:val="005A5184"/>
    <w:rsid w:val="005A553F"/>
    <w:rsid w:val="005F1034"/>
    <w:rsid w:val="00646D2C"/>
    <w:rsid w:val="0066093F"/>
    <w:rsid w:val="00734767"/>
    <w:rsid w:val="00761021"/>
    <w:rsid w:val="00794E4A"/>
    <w:rsid w:val="00811FD8"/>
    <w:rsid w:val="008B5849"/>
    <w:rsid w:val="00956E50"/>
    <w:rsid w:val="009F4070"/>
    <w:rsid w:val="00A040A3"/>
    <w:rsid w:val="00AA1133"/>
    <w:rsid w:val="00AD76A9"/>
    <w:rsid w:val="00B05139"/>
    <w:rsid w:val="00B14470"/>
    <w:rsid w:val="00C050BD"/>
    <w:rsid w:val="00C22D30"/>
    <w:rsid w:val="00C47B5F"/>
    <w:rsid w:val="00C512D5"/>
    <w:rsid w:val="00C855A6"/>
    <w:rsid w:val="00CA3526"/>
    <w:rsid w:val="00CA5FC3"/>
    <w:rsid w:val="00D13590"/>
    <w:rsid w:val="00D21A20"/>
    <w:rsid w:val="00D342D3"/>
    <w:rsid w:val="00D52147"/>
    <w:rsid w:val="00D91B48"/>
    <w:rsid w:val="00E23047"/>
    <w:rsid w:val="00E551E8"/>
    <w:rsid w:val="00E85541"/>
    <w:rsid w:val="00EF5AF1"/>
    <w:rsid w:val="00F426FE"/>
    <w:rsid w:val="00F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4475"/>
  <w15:chartTrackingRefBased/>
  <w15:docId w15:val="{0C951BF3-CF96-448D-B988-E1019A61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5A6"/>
    <w:pPr>
      <w:keepNext/>
      <w:keepLines/>
      <w:numPr>
        <w:numId w:val="3"/>
      </w:numPr>
      <w:spacing w:before="240"/>
      <w:jc w:val="center"/>
      <w:outlineLvl w:val="0"/>
    </w:pPr>
    <w:rPr>
      <w:rFonts w:eastAsiaTheme="majorEastAsia" w:cstheme="majorBidi"/>
      <w:b/>
      <w:sz w:val="28"/>
      <w:szCs w:val="32"/>
      <w:lang w:val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5A6"/>
    <w:pPr>
      <w:keepNext/>
      <w:keepLines/>
      <w:numPr>
        <w:ilvl w:val="1"/>
        <w:numId w:val="3"/>
      </w:numPr>
      <w:spacing w:before="40"/>
      <w:jc w:val="both"/>
      <w:outlineLvl w:val="1"/>
    </w:pPr>
    <w:rPr>
      <w:rFonts w:eastAsiaTheme="majorEastAsia" w:cstheme="majorBidi"/>
      <w:szCs w:val="26"/>
      <w:lang w:val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5A6"/>
    <w:pPr>
      <w:keepNext/>
      <w:keepLines/>
      <w:numPr>
        <w:ilvl w:val="2"/>
        <w:numId w:val="3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5A6"/>
    <w:pPr>
      <w:keepNext/>
      <w:keepLines/>
      <w:numPr>
        <w:ilvl w:val="3"/>
        <w:numId w:val="3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5A6"/>
    <w:pPr>
      <w:keepNext/>
      <w:keepLines/>
      <w:numPr>
        <w:ilvl w:val="4"/>
        <w:numId w:val="3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2"/>
      <w:lang w:val="lv-LV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5A6"/>
    <w:pPr>
      <w:keepNext/>
      <w:keepLines/>
      <w:numPr>
        <w:ilvl w:val="5"/>
        <w:numId w:val="3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2"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5A6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lv-LV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5A6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lv-LV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5A6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rsid w:val="005464A7"/>
    <w:pPr>
      <w:spacing w:before="120"/>
      <w:ind w:left="851" w:hanging="567"/>
      <w:jc w:val="both"/>
    </w:pPr>
    <w:rPr>
      <w:rFonts w:ascii="Calibri" w:eastAsia="Calibri" w:hAnsi="Calibri" w:cs="Calibri"/>
      <w:sz w:val="20"/>
      <w:lang w:val="lv-LV" w:eastAsia="lv-LV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rsid w:val="005464A7"/>
    <w:rPr>
      <w:rFonts w:ascii="Calibri" w:eastAsia="Calibri" w:hAnsi="Calibri" w:cs="Calibri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rsid w:val="005464A7"/>
    <w:rPr>
      <w:vertAlign w:val="superscript"/>
    </w:rPr>
  </w:style>
  <w:style w:type="character" w:styleId="Hyperlink">
    <w:name w:val="Hyperlink"/>
    <w:rsid w:val="005464A7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5464A7"/>
    <w:pPr>
      <w:ind w:left="720"/>
      <w:contextualSpacing/>
    </w:pPr>
    <w:rPr>
      <w:lang w:val="en-GB"/>
    </w:rPr>
  </w:style>
  <w:style w:type="paragraph" w:styleId="ListParagraph">
    <w:name w:val="List Paragraph"/>
    <w:basedOn w:val="Normal"/>
    <w:uiPriority w:val="34"/>
    <w:qFormat/>
    <w:rsid w:val="00E2304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05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0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0B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0BD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0BD"/>
    <w:rPr>
      <w:rFonts w:ascii="Segoe UI" w:eastAsia="Times New Roman" w:hAnsi="Segoe UI" w:cs="Segoe UI"/>
      <w:sz w:val="18"/>
      <w:szCs w:val="18"/>
      <w:lang w:val="en-AU"/>
    </w:rPr>
  </w:style>
  <w:style w:type="table" w:styleId="TableGrid">
    <w:name w:val="Table Grid"/>
    <w:basedOn w:val="TableNormal"/>
    <w:rsid w:val="00486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855A6"/>
    <w:pPr>
      <w:widowControl w:val="0"/>
      <w:tabs>
        <w:tab w:val="center" w:pos="4320"/>
        <w:tab w:val="right" w:pos="8640"/>
      </w:tabs>
      <w:ind w:left="720" w:hanging="360"/>
      <w:jc w:val="both"/>
    </w:pPr>
    <w:rPr>
      <w:rFonts w:eastAsia="Calibri"/>
      <w:szCs w:val="22"/>
      <w:lang w:val="lv-LV"/>
    </w:rPr>
  </w:style>
  <w:style w:type="character" w:customStyle="1" w:styleId="HeaderChar">
    <w:name w:val="Header Char"/>
    <w:basedOn w:val="DefaultParagraphFont"/>
    <w:link w:val="Header"/>
    <w:rsid w:val="00C855A6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855A6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855A6"/>
    <w:rPr>
      <w:rFonts w:ascii="Times New Roman" w:eastAsiaTheme="majorEastAsia" w:hAnsi="Times New Roman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5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5A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5A6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5A6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5A6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5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5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855A6"/>
    <w:pPr>
      <w:widowControl w:val="0"/>
      <w:tabs>
        <w:tab w:val="center" w:pos="4320"/>
        <w:tab w:val="right" w:pos="8640"/>
      </w:tabs>
      <w:ind w:left="720" w:hanging="360"/>
      <w:jc w:val="both"/>
    </w:pPr>
    <w:rPr>
      <w:rFonts w:eastAsia="Calibri"/>
      <w:szCs w:val="22"/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855A6"/>
    <w:rPr>
      <w:rFonts w:ascii="Times New Roman" w:eastAsia="Calibri" w:hAnsi="Times New Roman" w:cs="Times New Roman"/>
      <w:sz w:val="24"/>
    </w:rPr>
  </w:style>
  <w:style w:type="paragraph" w:styleId="Revision">
    <w:name w:val="Revision"/>
    <w:hidden/>
    <w:uiPriority w:val="99"/>
    <w:semiHidden/>
    <w:rsid w:val="00B144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tv213">
    <w:name w:val="tv213"/>
    <w:basedOn w:val="Normal"/>
    <w:rsid w:val="001704E4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m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eagrants.lv/files/lv_3.pielikums_EEZ_NOR_informacijas_un_komunikacijas_prasibas_pabeigts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em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eja@iem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9416</Words>
  <Characters>5368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Baranovska</dc:creator>
  <cp:keywords/>
  <dc:description/>
  <cp:lastModifiedBy>Ilze Baranovska</cp:lastModifiedBy>
  <cp:revision>2</cp:revision>
  <dcterms:created xsi:type="dcterms:W3CDTF">2020-08-13T11:16:00Z</dcterms:created>
  <dcterms:modified xsi:type="dcterms:W3CDTF">2020-08-13T11:16:00Z</dcterms:modified>
</cp:coreProperties>
</file>