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BB6" w:rsidRPr="0047433A" w:rsidRDefault="00772BB6" w:rsidP="009B494C">
      <w:pPr>
        <w:spacing w:after="0" w:line="240" w:lineRule="auto"/>
        <w:jc w:val="center"/>
        <w:rPr>
          <w:rFonts w:ascii="Times New Roman" w:hAnsi="Times New Roman"/>
          <w:b/>
          <w:sz w:val="24"/>
          <w:szCs w:val="24"/>
        </w:rPr>
      </w:pPr>
      <w:r w:rsidRPr="000D6364">
        <w:rPr>
          <w:rFonts w:ascii="Times New Roman" w:hAnsi="Times New Roman"/>
          <w:b/>
          <w:sz w:val="24"/>
          <w:szCs w:val="24"/>
        </w:rPr>
        <w:t xml:space="preserve">Ministru kabineta noteikumu projekta </w:t>
      </w:r>
      <w:r w:rsidR="0047433A">
        <w:rPr>
          <w:rFonts w:ascii="Times New Roman" w:hAnsi="Times New Roman"/>
          <w:b/>
          <w:sz w:val="24"/>
          <w:szCs w:val="24"/>
        </w:rPr>
        <w:t>“</w:t>
      </w:r>
      <w:r w:rsidR="009B494C" w:rsidRPr="00B07B1B">
        <w:rPr>
          <w:rFonts w:ascii="Times New Roman" w:hAnsi="Times New Roman"/>
          <w:b/>
          <w:sz w:val="24"/>
          <w:szCs w:val="24"/>
        </w:rPr>
        <w:t xml:space="preserve">Grozījumi Ministru kabineta </w:t>
      </w:r>
      <w:proofErr w:type="gramStart"/>
      <w:r w:rsidR="009B494C" w:rsidRPr="00B07B1B">
        <w:rPr>
          <w:rFonts w:ascii="Times New Roman" w:hAnsi="Times New Roman"/>
          <w:b/>
          <w:sz w:val="24"/>
          <w:szCs w:val="24"/>
        </w:rPr>
        <w:t>2009.gada</w:t>
      </w:r>
      <w:proofErr w:type="gramEnd"/>
      <w:r w:rsidR="009B494C" w:rsidRPr="00B07B1B">
        <w:rPr>
          <w:rFonts w:ascii="Times New Roman" w:hAnsi="Times New Roman"/>
          <w:b/>
          <w:sz w:val="24"/>
          <w:szCs w:val="24"/>
        </w:rPr>
        <w:t xml:space="preserve"> 20.oktobra noteikumos Nr.1194</w:t>
      </w:r>
      <w:r w:rsidR="009B494C">
        <w:rPr>
          <w:rFonts w:ascii="Times New Roman" w:hAnsi="Times New Roman"/>
          <w:b/>
          <w:sz w:val="24"/>
          <w:szCs w:val="24"/>
        </w:rPr>
        <w:t xml:space="preserve"> </w:t>
      </w:r>
      <w:r w:rsidR="009B494C" w:rsidRPr="00B07B1B">
        <w:rPr>
          <w:rFonts w:ascii="Times New Roman" w:hAnsi="Times New Roman"/>
          <w:b/>
          <w:sz w:val="24"/>
          <w:szCs w:val="24"/>
        </w:rPr>
        <w:t>“Noteikumi par dzīvesvietas deklarācijas veidlapu, deklarācijā sniegto ziņu pārbaudes kārtību un dzīvesvietas elektroniskās deklarēšanas kārtību”</w:t>
      </w:r>
      <w:r w:rsidR="0047433A">
        <w:rPr>
          <w:rFonts w:ascii="Times New Roman" w:hAnsi="Times New Roman"/>
          <w:b/>
          <w:sz w:val="24"/>
          <w:szCs w:val="24"/>
        </w:rPr>
        <w:t>”</w:t>
      </w:r>
      <w:r w:rsidRPr="0047433A">
        <w:rPr>
          <w:rFonts w:ascii="Times New Roman" w:hAnsi="Times New Roman"/>
          <w:b/>
          <w:sz w:val="24"/>
          <w:szCs w:val="24"/>
        </w:rPr>
        <w:t xml:space="preserve"> sākotnējās ietekmes novērtējuma ziņojums (anotācija)</w:t>
      </w:r>
    </w:p>
    <w:p w:rsidR="00772BB6" w:rsidRPr="00851611" w:rsidRDefault="00772BB6" w:rsidP="000C1005">
      <w:pPr>
        <w:spacing w:after="0" w:line="240" w:lineRule="auto"/>
        <w:jc w:val="center"/>
        <w:rPr>
          <w:rFonts w:ascii="Times New Roman" w:hAnsi="Times New Roman"/>
          <w:bCs/>
          <w:sz w:val="28"/>
          <w:szCs w:val="28"/>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77"/>
        <w:gridCol w:w="5995"/>
      </w:tblGrid>
      <w:tr w:rsidR="00851611" w:rsidRPr="00851611" w:rsidTr="00BF484A">
        <w:tc>
          <w:tcPr>
            <w:tcW w:w="0" w:type="auto"/>
            <w:gridSpan w:val="2"/>
            <w:tcBorders>
              <w:top w:val="outset" w:sz="6" w:space="0" w:color="414142"/>
              <w:bottom w:val="outset" w:sz="6" w:space="0" w:color="414142"/>
            </w:tcBorders>
            <w:vAlign w:val="center"/>
            <w:hideMark/>
          </w:tcPr>
          <w:p w:rsidR="00772BB6" w:rsidRPr="00851611" w:rsidRDefault="00772BB6" w:rsidP="000C1005">
            <w:pPr>
              <w:pStyle w:val="tvhtml"/>
              <w:spacing w:before="0" w:beforeAutospacing="0" w:after="0" w:afterAutospacing="0"/>
              <w:jc w:val="center"/>
              <w:rPr>
                <w:b/>
                <w:bCs/>
              </w:rPr>
            </w:pPr>
            <w:r w:rsidRPr="00851611">
              <w:rPr>
                <w:b/>
                <w:bCs/>
              </w:rPr>
              <w:t>Tiesību akta projekta anotācijas kopsavilkums</w:t>
            </w:r>
          </w:p>
        </w:tc>
      </w:tr>
      <w:tr w:rsidR="00851611" w:rsidRPr="00851611" w:rsidTr="009F135F">
        <w:tc>
          <w:tcPr>
            <w:tcW w:w="1901" w:type="pct"/>
            <w:tcBorders>
              <w:top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Mērķis, risinājums un projekta spēkā stāšanās laiks (500 zīmes bez atstarpēm)</w:t>
            </w:r>
          </w:p>
        </w:tc>
        <w:tc>
          <w:tcPr>
            <w:tcW w:w="3099" w:type="pct"/>
            <w:tcBorders>
              <w:top w:val="outset" w:sz="6" w:space="0" w:color="414142"/>
              <w:left w:val="outset" w:sz="6" w:space="0" w:color="414142"/>
              <w:bottom w:val="outset" w:sz="6" w:space="0" w:color="414142"/>
            </w:tcBorders>
            <w:hideMark/>
          </w:tcPr>
          <w:p w:rsidR="001E3993" w:rsidRPr="00851611" w:rsidRDefault="0047433A" w:rsidP="00525B29">
            <w:pPr>
              <w:spacing w:after="0" w:line="240" w:lineRule="auto"/>
              <w:jc w:val="both"/>
              <w:rPr>
                <w:rFonts w:ascii="Times New Roman" w:hAnsi="Times New Roman"/>
                <w:sz w:val="24"/>
                <w:szCs w:val="24"/>
              </w:rPr>
            </w:pPr>
            <w:r>
              <w:rPr>
                <w:rFonts w:ascii="Times New Roman" w:eastAsia="Times New Roman" w:hAnsi="Times New Roman"/>
                <w:bCs/>
                <w:iCs/>
                <w:sz w:val="24"/>
                <w:szCs w:val="24"/>
              </w:rPr>
              <w:t>Nav attiecināms</w:t>
            </w:r>
            <w:r w:rsidR="00525B29">
              <w:rPr>
                <w:rFonts w:ascii="Times New Roman" w:eastAsia="Times New Roman" w:hAnsi="Times New Roman"/>
                <w:bCs/>
                <w:iCs/>
                <w:sz w:val="24"/>
                <w:szCs w:val="24"/>
              </w:rPr>
              <w:t>.</w:t>
            </w:r>
          </w:p>
        </w:tc>
      </w:tr>
    </w:tbl>
    <w:p w:rsidR="00772BB6" w:rsidRPr="00851611" w:rsidRDefault="00772BB6" w:rsidP="000C1005">
      <w:pPr>
        <w:shd w:val="clear" w:color="auto" w:fill="FFFFFF"/>
        <w:spacing w:after="0" w:line="240" w:lineRule="auto"/>
        <w:jc w:val="both"/>
        <w:rPr>
          <w:rFonts w:ascii="Times New Roman" w:hAnsi="Times New Roman"/>
          <w:sz w:val="24"/>
          <w:szCs w:val="24"/>
        </w:rPr>
      </w:pPr>
      <w:r w:rsidRPr="00851611">
        <w:rPr>
          <w:rFonts w:ascii="Times New Roman" w:hAnsi="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3097"/>
        <w:gridCol w:w="5995"/>
      </w:tblGrid>
      <w:tr w:rsidR="00851611" w:rsidRPr="00851611" w:rsidTr="00BF484A">
        <w:tc>
          <w:tcPr>
            <w:tcW w:w="0" w:type="auto"/>
            <w:gridSpan w:val="3"/>
            <w:tcBorders>
              <w:top w:val="outset" w:sz="6" w:space="0" w:color="414142"/>
              <w:bottom w:val="outset" w:sz="6" w:space="0" w:color="414142"/>
            </w:tcBorders>
            <w:vAlign w:val="center"/>
            <w:hideMark/>
          </w:tcPr>
          <w:p w:rsidR="00772BB6" w:rsidRPr="00851611" w:rsidRDefault="00772BB6" w:rsidP="00851611">
            <w:pPr>
              <w:pStyle w:val="tvhtml"/>
              <w:spacing w:before="0" w:beforeAutospacing="0" w:after="0" w:afterAutospacing="0"/>
              <w:jc w:val="center"/>
              <w:rPr>
                <w:b/>
                <w:bCs/>
              </w:rPr>
            </w:pPr>
            <w:r w:rsidRPr="00851611">
              <w:rPr>
                <w:b/>
                <w:bCs/>
              </w:rPr>
              <w:t>I. Tiesību akta projekta izstrādes nepieciešamība</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C1005">
            <w:pPr>
              <w:pStyle w:val="tvhtml"/>
              <w:spacing w:before="0" w:beforeAutospacing="0" w:after="0" w:afterAutospacing="0"/>
              <w:jc w:val="both"/>
            </w:pPr>
            <w:r w:rsidRPr="00851611">
              <w:t>1.</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jc w:val="both"/>
              <w:rPr>
                <w:rFonts w:ascii="Times New Roman" w:hAnsi="Times New Roman"/>
                <w:sz w:val="24"/>
                <w:szCs w:val="24"/>
              </w:rPr>
            </w:pPr>
            <w:r w:rsidRPr="00851611">
              <w:rPr>
                <w:rFonts w:ascii="Times New Roman" w:hAnsi="Times New Roman"/>
                <w:sz w:val="24"/>
                <w:szCs w:val="24"/>
              </w:rPr>
              <w:t>Pamatojums</w:t>
            </w:r>
          </w:p>
        </w:tc>
        <w:tc>
          <w:tcPr>
            <w:tcW w:w="3099" w:type="pct"/>
            <w:tcBorders>
              <w:top w:val="outset" w:sz="6" w:space="0" w:color="414142"/>
              <w:left w:val="outset" w:sz="6" w:space="0" w:color="414142"/>
              <w:bottom w:val="outset" w:sz="6" w:space="0" w:color="414142"/>
            </w:tcBorders>
            <w:hideMark/>
          </w:tcPr>
          <w:p w:rsidR="003E47F5" w:rsidRPr="00851611" w:rsidRDefault="00525B29" w:rsidP="00D33F4A">
            <w:pPr>
              <w:spacing w:after="0" w:line="240" w:lineRule="auto"/>
              <w:jc w:val="both"/>
              <w:rPr>
                <w:rFonts w:ascii="Times New Roman" w:hAnsi="Times New Roman"/>
                <w:sz w:val="24"/>
                <w:szCs w:val="24"/>
              </w:rPr>
            </w:pPr>
            <w:r w:rsidRPr="00732373">
              <w:rPr>
                <w:rFonts w:ascii="Times New Roman" w:hAnsi="Times New Roman"/>
                <w:bCs/>
                <w:iCs/>
                <w:sz w:val="24"/>
                <w:szCs w:val="24"/>
              </w:rPr>
              <w:t>Administratīvo teritoriju un apdzīvoto vietu likums</w:t>
            </w:r>
            <w:r w:rsidR="00D33F4A">
              <w:rPr>
                <w:rFonts w:ascii="Times New Roman" w:hAnsi="Times New Roman"/>
                <w:bCs/>
                <w:iCs/>
                <w:sz w:val="24"/>
                <w:szCs w:val="24"/>
              </w:rPr>
              <w:t>.</w:t>
            </w:r>
          </w:p>
        </w:tc>
      </w:tr>
      <w:tr w:rsidR="00851611" w:rsidRPr="00A133DD"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C1005">
            <w:pPr>
              <w:pStyle w:val="tvhtml"/>
              <w:spacing w:before="0" w:beforeAutospacing="0" w:after="0" w:afterAutospacing="0"/>
              <w:jc w:val="both"/>
            </w:pPr>
            <w:r w:rsidRPr="00851611">
              <w:t>2.</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Pašreizējā situācija un problēmas, kuru risināšanai tiesību akta projekts izstrādāts, tiesiskā regulējuma mērķis un būtība</w:t>
            </w:r>
          </w:p>
        </w:tc>
        <w:tc>
          <w:tcPr>
            <w:tcW w:w="3099" w:type="pct"/>
            <w:tcBorders>
              <w:top w:val="outset" w:sz="6" w:space="0" w:color="414142"/>
              <w:left w:val="outset" w:sz="6" w:space="0" w:color="414142"/>
              <w:bottom w:val="outset" w:sz="6" w:space="0" w:color="414142"/>
            </w:tcBorders>
            <w:hideMark/>
          </w:tcPr>
          <w:p w:rsidR="005B18CF" w:rsidRDefault="005B18CF" w:rsidP="005B18CF">
            <w:pPr>
              <w:pStyle w:val="NoSpacing"/>
              <w:tabs>
                <w:tab w:val="left" w:pos="5069"/>
              </w:tabs>
              <w:ind w:firstLine="254"/>
              <w:jc w:val="both"/>
              <w:rPr>
                <w:rFonts w:ascii="Times New Roman" w:hAnsi="Times New Roman" w:cs="Times New Roman"/>
                <w:bCs/>
                <w:iCs/>
                <w:sz w:val="24"/>
                <w:szCs w:val="24"/>
              </w:rPr>
            </w:pPr>
            <w:proofErr w:type="gramStart"/>
            <w:r>
              <w:rPr>
                <w:rFonts w:ascii="Times New Roman" w:hAnsi="Times New Roman" w:cs="Times New Roman"/>
                <w:iCs/>
                <w:sz w:val="24"/>
                <w:szCs w:val="24"/>
              </w:rPr>
              <w:t>2020.gada</w:t>
            </w:r>
            <w:proofErr w:type="gramEnd"/>
            <w:r>
              <w:rPr>
                <w:rFonts w:ascii="Times New Roman" w:hAnsi="Times New Roman" w:cs="Times New Roman"/>
                <w:iCs/>
                <w:sz w:val="24"/>
                <w:szCs w:val="24"/>
              </w:rPr>
              <w:t xml:space="preserve"> 23.jūnijā stājās spēkā jauns </w:t>
            </w:r>
            <w:r w:rsidRPr="00732373">
              <w:rPr>
                <w:rFonts w:ascii="Times New Roman" w:hAnsi="Times New Roman" w:cs="Times New Roman"/>
                <w:bCs/>
                <w:iCs/>
                <w:sz w:val="24"/>
                <w:szCs w:val="24"/>
              </w:rPr>
              <w:t>Administratīvo teritoriju un apdzīvoto vietu likums</w:t>
            </w:r>
            <w:r>
              <w:rPr>
                <w:rFonts w:ascii="Times New Roman" w:hAnsi="Times New Roman" w:cs="Times New Roman"/>
                <w:bCs/>
                <w:iCs/>
                <w:sz w:val="24"/>
                <w:szCs w:val="24"/>
              </w:rPr>
              <w:t xml:space="preserve"> (turpmāk – likums), kas Latvijas Republiku iedala </w:t>
            </w:r>
            <w:proofErr w:type="spellStart"/>
            <w:r>
              <w:rPr>
                <w:rFonts w:ascii="Times New Roman" w:hAnsi="Times New Roman" w:cs="Times New Roman"/>
                <w:bCs/>
                <w:iCs/>
                <w:sz w:val="24"/>
                <w:szCs w:val="24"/>
              </w:rPr>
              <w:t>valstspilsētu</w:t>
            </w:r>
            <w:proofErr w:type="spellEnd"/>
            <w:r>
              <w:rPr>
                <w:rFonts w:ascii="Times New Roman" w:hAnsi="Times New Roman" w:cs="Times New Roman"/>
                <w:bCs/>
                <w:iCs/>
                <w:sz w:val="24"/>
                <w:szCs w:val="24"/>
              </w:rPr>
              <w:t xml:space="preserve"> un novadu pašvaldību teritorijās. Likums nosaka, ka Latvijas Republikā apdzīvotas vietas ir pilsētas, ciemi, </w:t>
            </w:r>
            <w:proofErr w:type="spellStart"/>
            <w:r>
              <w:rPr>
                <w:rFonts w:ascii="Times New Roman" w:hAnsi="Times New Roman" w:cs="Times New Roman"/>
                <w:bCs/>
                <w:iCs/>
                <w:sz w:val="24"/>
                <w:szCs w:val="24"/>
              </w:rPr>
              <w:t>mazciemi</w:t>
            </w:r>
            <w:proofErr w:type="spellEnd"/>
            <w:r>
              <w:rPr>
                <w:rFonts w:ascii="Times New Roman" w:hAnsi="Times New Roman" w:cs="Times New Roman"/>
                <w:bCs/>
                <w:iCs/>
                <w:sz w:val="24"/>
                <w:szCs w:val="24"/>
              </w:rPr>
              <w:t xml:space="preserve"> un viensētas. Attiecīgi pilsētas iedala </w:t>
            </w:r>
            <w:proofErr w:type="spellStart"/>
            <w:r>
              <w:rPr>
                <w:rFonts w:ascii="Times New Roman" w:hAnsi="Times New Roman" w:cs="Times New Roman"/>
                <w:bCs/>
                <w:iCs/>
                <w:sz w:val="24"/>
                <w:szCs w:val="24"/>
              </w:rPr>
              <w:t>valstspilsētās</w:t>
            </w:r>
            <w:proofErr w:type="spellEnd"/>
            <w:r>
              <w:rPr>
                <w:rFonts w:ascii="Times New Roman" w:hAnsi="Times New Roman" w:cs="Times New Roman"/>
                <w:bCs/>
                <w:iCs/>
                <w:sz w:val="24"/>
                <w:szCs w:val="24"/>
              </w:rPr>
              <w:t xml:space="preserve"> un novadu pilsētās. Ar likuma spēkā stāšanos spēku zaudēja Administratīvo teritoriju un apdzīvoto vietu likums (pieņemts </w:t>
            </w:r>
            <w:proofErr w:type="gramStart"/>
            <w:r>
              <w:rPr>
                <w:rFonts w:ascii="Times New Roman" w:hAnsi="Times New Roman" w:cs="Times New Roman"/>
                <w:bCs/>
                <w:iCs/>
                <w:sz w:val="24"/>
                <w:szCs w:val="24"/>
              </w:rPr>
              <w:t>2008.gada</w:t>
            </w:r>
            <w:proofErr w:type="gramEnd"/>
            <w:r>
              <w:rPr>
                <w:rFonts w:ascii="Times New Roman" w:hAnsi="Times New Roman" w:cs="Times New Roman"/>
                <w:bCs/>
                <w:iCs/>
                <w:sz w:val="24"/>
                <w:szCs w:val="24"/>
              </w:rPr>
              <w:t xml:space="preserve"> 18.decembrī), kas kā vienu no </w:t>
            </w:r>
            <w:r w:rsidRPr="00732373">
              <w:rPr>
                <w:rFonts w:ascii="Times New Roman" w:hAnsi="Times New Roman" w:cs="Times New Roman"/>
                <w:bCs/>
                <w:iCs/>
                <w:sz w:val="24"/>
                <w:szCs w:val="24"/>
              </w:rPr>
              <w:t>Latvijas Republik</w:t>
            </w:r>
            <w:r>
              <w:rPr>
                <w:rFonts w:ascii="Times New Roman" w:hAnsi="Times New Roman" w:cs="Times New Roman"/>
                <w:bCs/>
                <w:iCs/>
                <w:sz w:val="24"/>
                <w:szCs w:val="24"/>
              </w:rPr>
              <w:t>as</w:t>
            </w:r>
            <w:r w:rsidRPr="00732373">
              <w:rPr>
                <w:rFonts w:ascii="Times New Roman" w:hAnsi="Times New Roman" w:cs="Times New Roman"/>
                <w:bCs/>
                <w:iCs/>
                <w:sz w:val="24"/>
                <w:szCs w:val="24"/>
              </w:rPr>
              <w:t xml:space="preserve"> administratīv</w:t>
            </w:r>
            <w:r>
              <w:rPr>
                <w:rFonts w:ascii="Times New Roman" w:hAnsi="Times New Roman" w:cs="Times New Roman"/>
                <w:bCs/>
                <w:iCs/>
                <w:sz w:val="24"/>
                <w:szCs w:val="24"/>
              </w:rPr>
              <w:t>i</w:t>
            </w:r>
            <w:r w:rsidRPr="00732373">
              <w:rPr>
                <w:rFonts w:ascii="Times New Roman" w:hAnsi="Times New Roman" w:cs="Times New Roman"/>
                <w:bCs/>
                <w:iCs/>
                <w:sz w:val="24"/>
                <w:szCs w:val="24"/>
              </w:rPr>
              <w:t xml:space="preserve"> teritori</w:t>
            </w:r>
            <w:r>
              <w:rPr>
                <w:rFonts w:ascii="Times New Roman" w:hAnsi="Times New Roman" w:cs="Times New Roman"/>
                <w:bCs/>
                <w:iCs/>
                <w:sz w:val="24"/>
                <w:szCs w:val="24"/>
              </w:rPr>
              <w:t xml:space="preserve">ālajām vienībām noteica republikas pilsētu un neparedzēja </w:t>
            </w:r>
            <w:proofErr w:type="spellStart"/>
            <w:r>
              <w:rPr>
                <w:rFonts w:ascii="Times New Roman" w:hAnsi="Times New Roman" w:cs="Times New Roman"/>
                <w:bCs/>
                <w:iCs/>
                <w:sz w:val="24"/>
                <w:szCs w:val="24"/>
              </w:rPr>
              <w:t>mazciemu</w:t>
            </w:r>
            <w:proofErr w:type="spellEnd"/>
            <w:r>
              <w:rPr>
                <w:rFonts w:ascii="Times New Roman" w:hAnsi="Times New Roman" w:cs="Times New Roman"/>
                <w:bCs/>
                <w:iCs/>
                <w:sz w:val="24"/>
                <w:szCs w:val="24"/>
              </w:rPr>
              <w:t xml:space="preserve"> kā apdzīvotu vietu.</w:t>
            </w:r>
          </w:p>
          <w:p w:rsidR="00332915" w:rsidRPr="009B494C" w:rsidRDefault="00332915" w:rsidP="00332915">
            <w:pPr>
              <w:pStyle w:val="NoSpacing"/>
              <w:tabs>
                <w:tab w:val="left" w:pos="5069"/>
              </w:tabs>
              <w:ind w:firstLine="254"/>
              <w:jc w:val="both"/>
              <w:rPr>
                <w:rFonts w:ascii="Times New Roman" w:eastAsia="Calibri" w:hAnsi="Times New Roman" w:cs="Times New Roman"/>
                <w:bCs/>
                <w:iCs/>
                <w:sz w:val="24"/>
                <w:szCs w:val="24"/>
              </w:rPr>
            </w:pPr>
            <w:r>
              <w:rPr>
                <w:rFonts w:ascii="Times New Roman" w:hAnsi="Times New Roman" w:cs="Times New Roman"/>
                <w:iCs/>
                <w:sz w:val="24"/>
                <w:szCs w:val="24"/>
              </w:rPr>
              <w:t xml:space="preserve">Noteikumu projekts </w:t>
            </w:r>
            <w:r w:rsidRPr="00C82D82">
              <w:rPr>
                <w:rFonts w:ascii="Times New Roman" w:hAnsi="Times New Roman" w:cs="Times New Roman"/>
                <w:iCs/>
                <w:sz w:val="24"/>
                <w:szCs w:val="24"/>
              </w:rPr>
              <w:t xml:space="preserve">paredz </w:t>
            </w:r>
            <w:r>
              <w:rPr>
                <w:rFonts w:ascii="Times New Roman" w:hAnsi="Times New Roman" w:cs="Times New Roman"/>
                <w:bCs/>
                <w:iCs/>
                <w:sz w:val="24"/>
                <w:szCs w:val="24"/>
              </w:rPr>
              <w:t>noteikt</w:t>
            </w:r>
            <w:r>
              <w:t xml:space="preserve"> </w:t>
            </w:r>
            <w:r w:rsidR="009B494C" w:rsidRPr="00B07B1B">
              <w:rPr>
                <w:rFonts w:ascii="Times New Roman" w:hAnsi="Times New Roman" w:cs="Times New Roman"/>
                <w:sz w:val="24"/>
                <w:szCs w:val="24"/>
              </w:rPr>
              <w:t xml:space="preserve">Ministru kabineta </w:t>
            </w:r>
            <w:proofErr w:type="gramStart"/>
            <w:r w:rsidR="009B494C" w:rsidRPr="00B07B1B">
              <w:rPr>
                <w:rFonts w:ascii="Times New Roman" w:hAnsi="Times New Roman" w:cs="Times New Roman"/>
                <w:sz w:val="24"/>
                <w:szCs w:val="24"/>
              </w:rPr>
              <w:t>2009.gada</w:t>
            </w:r>
            <w:proofErr w:type="gramEnd"/>
            <w:r w:rsidR="009B494C" w:rsidRPr="00B07B1B">
              <w:rPr>
                <w:rFonts w:ascii="Times New Roman" w:hAnsi="Times New Roman" w:cs="Times New Roman"/>
                <w:sz w:val="24"/>
                <w:szCs w:val="24"/>
              </w:rPr>
              <w:t xml:space="preserve"> 20.oktobra noteikumos Nr.1194 “Noteikumi par dzīvesvietas deklarācijas veidlapu, deklarācijā sniegto ziņu pārbaudes kārtību un dzīvesvietas elektroniskās deklarēšanas kārtību”</w:t>
            </w:r>
            <w:r w:rsidR="009B494C">
              <w:rPr>
                <w:rFonts w:ascii="Times New Roman" w:hAnsi="Times New Roman" w:cs="Times New Roman"/>
                <w:sz w:val="24"/>
                <w:szCs w:val="24"/>
              </w:rPr>
              <w:t xml:space="preserve"> (turpmāk – noteikumi)</w:t>
            </w:r>
            <w:r w:rsidR="00AE2D62">
              <w:rPr>
                <w:rFonts w:ascii="Times New Roman" w:hAnsi="Times New Roman" w:cs="Times New Roman"/>
                <w:sz w:val="24"/>
                <w:szCs w:val="24"/>
              </w:rPr>
              <w:t xml:space="preserve"> pielikumā</w:t>
            </w:r>
            <w:r w:rsidRPr="00532BEA">
              <w:rPr>
                <w:rFonts w:ascii="Times New Roman" w:hAnsi="Times New Roman" w:cs="Times New Roman"/>
                <w:iCs/>
                <w:sz w:val="24"/>
                <w:szCs w:val="24"/>
              </w:rPr>
              <w:t xml:space="preserve"> </w:t>
            </w:r>
            <w:r w:rsidR="00A13F52" w:rsidRPr="00532BEA">
              <w:rPr>
                <w:rFonts w:ascii="Times New Roman" w:hAnsi="Times New Roman" w:cs="Times New Roman"/>
                <w:iCs/>
                <w:sz w:val="24"/>
                <w:szCs w:val="24"/>
              </w:rPr>
              <w:t xml:space="preserve">dzīvesvietas </w:t>
            </w:r>
            <w:r w:rsidR="00532BEA">
              <w:rPr>
                <w:rFonts w:ascii="Times New Roman" w:hAnsi="Times New Roman" w:cs="Times New Roman"/>
                <w:iCs/>
                <w:sz w:val="24"/>
                <w:szCs w:val="24"/>
              </w:rPr>
              <w:t>adreses elementu</w:t>
            </w:r>
            <w:r w:rsidR="00532BEA" w:rsidRPr="00532BEA">
              <w:rPr>
                <w:rFonts w:ascii="Times New Roman" w:hAnsi="Times New Roman" w:cs="Times New Roman"/>
                <w:iCs/>
                <w:sz w:val="24"/>
                <w:szCs w:val="24"/>
              </w:rPr>
              <w:t xml:space="preserve"> kop</w:t>
            </w:r>
            <w:r w:rsidR="00532BEA">
              <w:rPr>
                <w:rFonts w:ascii="Times New Roman" w:hAnsi="Times New Roman" w:cs="Times New Roman"/>
                <w:iCs/>
                <w:sz w:val="24"/>
                <w:szCs w:val="24"/>
              </w:rPr>
              <w:t>u</w:t>
            </w:r>
            <w:r w:rsidRPr="00532BEA">
              <w:rPr>
                <w:rFonts w:ascii="Times New Roman" w:hAnsi="Times New Roman" w:cs="Times New Roman"/>
                <w:iCs/>
                <w:sz w:val="24"/>
                <w:szCs w:val="24"/>
              </w:rPr>
              <w:t xml:space="preserve">, </w:t>
            </w:r>
            <w:r>
              <w:rPr>
                <w:rFonts w:ascii="Times New Roman" w:hAnsi="Times New Roman" w:cs="Times New Roman"/>
                <w:iCs/>
                <w:sz w:val="24"/>
                <w:szCs w:val="24"/>
              </w:rPr>
              <w:t>atbilst</w:t>
            </w:r>
            <w:r w:rsidR="00532BEA">
              <w:rPr>
                <w:rFonts w:ascii="Times New Roman" w:hAnsi="Times New Roman" w:cs="Times New Roman"/>
                <w:iCs/>
                <w:sz w:val="24"/>
                <w:szCs w:val="24"/>
              </w:rPr>
              <w:t>oši</w:t>
            </w:r>
            <w:r>
              <w:rPr>
                <w:rFonts w:ascii="Times New Roman" w:hAnsi="Times New Roman" w:cs="Times New Roman"/>
                <w:iCs/>
                <w:sz w:val="24"/>
                <w:szCs w:val="24"/>
              </w:rPr>
              <w:t xml:space="preserve"> likumā noteiktajam administratīvi teritoriālajam iedalījumam</w:t>
            </w:r>
            <w:r w:rsidRPr="00D818E9">
              <w:rPr>
                <w:rFonts w:ascii="Times New Roman" w:eastAsia="Calibri" w:hAnsi="Times New Roman" w:cs="Times New Roman"/>
                <w:bCs/>
                <w:iCs/>
                <w:sz w:val="24"/>
                <w:szCs w:val="24"/>
              </w:rPr>
              <w:t>.</w:t>
            </w:r>
            <w:r w:rsidR="009B494C">
              <w:rPr>
                <w:rFonts w:ascii="Times New Roman" w:eastAsia="Calibri" w:hAnsi="Times New Roman" w:cs="Times New Roman"/>
                <w:bCs/>
                <w:iCs/>
                <w:sz w:val="24"/>
                <w:szCs w:val="24"/>
              </w:rPr>
              <w:t xml:space="preserve"> </w:t>
            </w:r>
            <w:bookmarkStart w:id="0" w:name="_GoBack"/>
            <w:r w:rsidR="009B494C">
              <w:rPr>
                <w:rFonts w:ascii="Times New Roman" w:eastAsia="Calibri" w:hAnsi="Times New Roman" w:cs="Times New Roman"/>
                <w:bCs/>
                <w:iCs/>
                <w:sz w:val="24"/>
                <w:szCs w:val="24"/>
              </w:rPr>
              <w:t>Notei</w:t>
            </w:r>
            <w:bookmarkEnd w:id="0"/>
            <w:r w:rsidR="009B494C">
              <w:rPr>
                <w:rFonts w:ascii="Times New Roman" w:eastAsia="Calibri" w:hAnsi="Times New Roman" w:cs="Times New Roman"/>
                <w:bCs/>
                <w:iCs/>
                <w:sz w:val="24"/>
                <w:szCs w:val="24"/>
              </w:rPr>
              <w:t xml:space="preserve">kumu pielikumā tiek precizēta arī papildu adreses sadaļa, paredzot, ka, saskaņā ar </w:t>
            </w:r>
            <w:r w:rsidR="00D33F4A">
              <w:rPr>
                <w:rFonts w:ascii="Times New Roman" w:eastAsia="Calibri" w:hAnsi="Times New Roman" w:cs="Times New Roman"/>
                <w:bCs/>
                <w:iCs/>
                <w:sz w:val="24"/>
                <w:szCs w:val="24"/>
              </w:rPr>
              <w:t>grozījumiem</w:t>
            </w:r>
            <w:r w:rsidR="00D33F4A">
              <w:rPr>
                <w:rFonts w:ascii="Times New Roman" w:eastAsia="Calibri" w:hAnsi="Times New Roman" w:cs="Times New Roman"/>
                <w:bCs/>
                <w:iCs/>
                <w:sz w:val="24"/>
                <w:szCs w:val="24"/>
              </w:rPr>
              <w:t xml:space="preserve"> Dzīvesvietas deklarēšanas likumā</w:t>
            </w:r>
            <w:r w:rsidR="009B494C">
              <w:rPr>
                <w:rFonts w:ascii="Times New Roman" w:eastAsia="Calibri" w:hAnsi="Times New Roman" w:cs="Times New Roman"/>
                <w:bCs/>
                <w:iCs/>
                <w:sz w:val="24"/>
                <w:szCs w:val="24"/>
              </w:rPr>
              <w:t xml:space="preserve">, kas stāsies spēkā </w:t>
            </w:r>
            <w:proofErr w:type="gramStart"/>
            <w:r w:rsidR="009B494C">
              <w:rPr>
                <w:rFonts w:ascii="Times New Roman" w:eastAsia="Calibri" w:hAnsi="Times New Roman" w:cs="Times New Roman"/>
                <w:bCs/>
                <w:iCs/>
                <w:sz w:val="24"/>
                <w:szCs w:val="24"/>
              </w:rPr>
              <w:t>2021.gada</w:t>
            </w:r>
            <w:proofErr w:type="gramEnd"/>
            <w:r w:rsidR="009B494C">
              <w:rPr>
                <w:rFonts w:ascii="Times New Roman" w:eastAsia="Calibri" w:hAnsi="Times New Roman" w:cs="Times New Roman"/>
                <w:bCs/>
                <w:iCs/>
                <w:sz w:val="24"/>
                <w:szCs w:val="24"/>
              </w:rPr>
              <w:t xml:space="preserve"> 1.jūlijā, </w:t>
            </w:r>
            <w:r w:rsidR="009B494C" w:rsidRPr="009B494C">
              <w:rPr>
                <w:rFonts w:ascii="Times New Roman" w:eastAsia="Calibri" w:hAnsi="Times New Roman" w:cs="Times New Roman"/>
                <w:bCs/>
                <w:iCs/>
                <w:sz w:val="24"/>
                <w:szCs w:val="24"/>
              </w:rPr>
              <w:t>dzīvesvietas deklarētājam vai viņa likumiskajam pārstāvim, vai personai, kuru dzīvesvietas deklarētājs vai viņa likumiskais pārstāvis rakstveidā pilnvarojis, ir tiesības deklarācijā norādīt vienu papildu adresi Latvijā vai ārvalstī, kā arī laikposmu, kurā viņš tajā ir sasniedzams</w:t>
            </w:r>
            <w:r w:rsidR="009B494C">
              <w:rPr>
                <w:rFonts w:ascii="Times New Roman" w:eastAsia="Calibri" w:hAnsi="Times New Roman" w:cs="Times New Roman"/>
                <w:bCs/>
                <w:iCs/>
                <w:sz w:val="24"/>
                <w:szCs w:val="24"/>
              </w:rPr>
              <w:t>.</w:t>
            </w:r>
          </w:p>
          <w:p w:rsidR="00213607" w:rsidRPr="000D6364" w:rsidRDefault="00D33F4A" w:rsidP="00332915">
            <w:pPr>
              <w:spacing w:after="0" w:line="240" w:lineRule="auto"/>
              <w:ind w:firstLine="459"/>
              <w:jc w:val="both"/>
              <w:rPr>
                <w:rFonts w:ascii="Times New Roman" w:hAnsi="Times New Roman"/>
                <w:bCs/>
                <w:sz w:val="24"/>
                <w:szCs w:val="24"/>
                <w:u w:val="single"/>
                <w:shd w:val="clear" w:color="auto" w:fill="FFFFFF"/>
              </w:rPr>
            </w:pPr>
            <w:r>
              <w:rPr>
                <w:rFonts w:ascii="Times New Roman" w:hAnsi="Times New Roman"/>
                <w:sz w:val="24"/>
                <w:szCs w:val="24"/>
              </w:rPr>
              <w:t xml:space="preserve">Paredzēts, ka noteikumi </w:t>
            </w:r>
            <w:r w:rsidRPr="00076660">
              <w:rPr>
                <w:rFonts w:ascii="Times New Roman" w:hAnsi="Times New Roman"/>
                <w:sz w:val="24"/>
                <w:szCs w:val="24"/>
              </w:rPr>
              <w:t>stā</w:t>
            </w:r>
            <w:r>
              <w:rPr>
                <w:rFonts w:ascii="Times New Roman" w:hAnsi="Times New Roman"/>
                <w:sz w:val="24"/>
                <w:szCs w:val="24"/>
              </w:rPr>
              <w:t>sies</w:t>
            </w:r>
            <w:r w:rsidRPr="00076660">
              <w:rPr>
                <w:rFonts w:ascii="Times New Roman" w:hAnsi="Times New Roman"/>
                <w:sz w:val="24"/>
                <w:szCs w:val="24"/>
              </w:rPr>
              <w:t xml:space="preserve"> spēkā </w:t>
            </w:r>
            <w:proofErr w:type="gramStart"/>
            <w:r w:rsidRPr="00B7574F">
              <w:rPr>
                <w:rFonts w:ascii="Times New Roman" w:hAnsi="Times New Roman"/>
                <w:sz w:val="24"/>
                <w:szCs w:val="24"/>
              </w:rPr>
              <w:t>2021.gada</w:t>
            </w:r>
            <w:proofErr w:type="gramEnd"/>
            <w:r w:rsidRPr="00B7574F">
              <w:rPr>
                <w:rFonts w:ascii="Times New Roman" w:hAnsi="Times New Roman"/>
                <w:sz w:val="24"/>
                <w:szCs w:val="24"/>
              </w:rPr>
              <w:t xml:space="preserve"> 1.</w:t>
            </w:r>
            <w:r>
              <w:rPr>
                <w:rFonts w:ascii="Times New Roman" w:hAnsi="Times New Roman"/>
                <w:sz w:val="24"/>
                <w:szCs w:val="24"/>
              </w:rPr>
              <w:t xml:space="preserve">jūlijā, ņemot vērā, ka </w:t>
            </w:r>
            <w:r w:rsidRPr="00732373">
              <w:rPr>
                <w:rFonts w:ascii="Times New Roman" w:hAnsi="Times New Roman"/>
                <w:bCs/>
                <w:iCs/>
                <w:sz w:val="24"/>
                <w:szCs w:val="24"/>
              </w:rPr>
              <w:t>Administratīvo teritoriju un apdzīvoto vietu likum</w:t>
            </w:r>
            <w:r>
              <w:rPr>
                <w:rFonts w:ascii="Times New Roman" w:hAnsi="Times New Roman"/>
                <w:bCs/>
                <w:iCs/>
                <w:sz w:val="24"/>
                <w:szCs w:val="24"/>
              </w:rPr>
              <w:t xml:space="preserve">a pārejas noteikumu 2.punktā </w:t>
            </w:r>
            <w:r w:rsidRPr="002B1813">
              <w:rPr>
                <w:rFonts w:ascii="Times New Roman" w:eastAsiaTheme="minorHAnsi" w:hAnsi="Times New Roman"/>
                <w:iCs/>
                <w:sz w:val="24"/>
                <w:szCs w:val="24"/>
                <w:lang w:eastAsia="en-US"/>
              </w:rPr>
              <w:t>no</w:t>
            </w:r>
            <w:r>
              <w:rPr>
                <w:rFonts w:ascii="Times New Roman" w:eastAsiaTheme="minorHAnsi" w:hAnsi="Times New Roman"/>
                <w:iCs/>
                <w:sz w:val="24"/>
                <w:szCs w:val="24"/>
                <w:lang w:eastAsia="en-US"/>
              </w:rPr>
              <w:t>teikts</w:t>
            </w:r>
            <w:r w:rsidRPr="002B1813">
              <w:rPr>
                <w:rFonts w:ascii="Times New Roman" w:eastAsiaTheme="minorHAnsi" w:hAnsi="Times New Roman"/>
                <w:iCs/>
                <w:sz w:val="24"/>
                <w:szCs w:val="24"/>
                <w:lang w:eastAsia="en-US"/>
              </w:rPr>
              <w:t xml:space="preserve">, ka ar šā likuma spēkā stāšanos republikas pilsētu un novadu pašvaldības turpina pildīt savas funkcijas un uzdevumus normatīvajos aktos noteiktajā kārtībā līdz 2021. gada pašvaldību vēlēšanās ievēlētās pašvaldības domes pirmajai sēdei, kura tiek sasaukta šajā likumā noteiktajā kārtībā 2021. gada 1. jūlijā. Līdz 2021. gada 30. jūnijam pašvaldību darbībā ir piemērojami Ministru kabineta 2013. gada 19. marta noteikumi Nr. 154 </w:t>
            </w:r>
            <w:r>
              <w:rPr>
                <w:rFonts w:ascii="Times New Roman" w:eastAsiaTheme="minorHAnsi" w:hAnsi="Times New Roman"/>
                <w:iCs/>
                <w:sz w:val="24"/>
                <w:szCs w:val="24"/>
                <w:lang w:eastAsia="en-US"/>
              </w:rPr>
              <w:t>“</w:t>
            </w:r>
            <w:hyperlink r:id="rId8" w:tgtFrame="_blank" w:history="1">
              <w:r w:rsidRPr="002B1813">
                <w:rPr>
                  <w:rFonts w:ascii="Times New Roman" w:eastAsiaTheme="minorHAnsi" w:hAnsi="Times New Roman"/>
                  <w:iCs/>
                  <w:sz w:val="24"/>
                  <w:szCs w:val="24"/>
                  <w:lang w:eastAsia="en-US"/>
                </w:rPr>
                <w:t>Noteikumi par republikas pilsētu un novadu administratīvo teritoriju robežu aprakstu apstiprināšanu</w:t>
              </w:r>
            </w:hyperlink>
            <w:r>
              <w:rPr>
                <w:rFonts w:ascii="Times New Roman" w:hAnsi="Times New Roman"/>
                <w:sz w:val="24"/>
                <w:szCs w:val="24"/>
              </w:rPr>
              <w:t>”.</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D33F4A">
            <w:pPr>
              <w:pStyle w:val="tvhtml"/>
              <w:spacing w:before="0" w:beforeAutospacing="0" w:after="0" w:afterAutospacing="0"/>
            </w:pPr>
            <w:r w:rsidRPr="00851611">
              <w:lastRenderedPageBreak/>
              <w:t>3.</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Projekta izstrādē iesaistītās institūcijas un publiskas personas kapitālsabiedrības</w:t>
            </w:r>
          </w:p>
        </w:tc>
        <w:tc>
          <w:tcPr>
            <w:tcW w:w="3099" w:type="pct"/>
            <w:tcBorders>
              <w:top w:val="outset" w:sz="6" w:space="0" w:color="414142"/>
              <w:left w:val="outset" w:sz="6" w:space="0" w:color="414142"/>
              <w:bottom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Pilsonības un migrācijas lietu pārvalde</w:t>
            </w:r>
            <w:r w:rsidR="005D6110" w:rsidRPr="00851611">
              <w:rPr>
                <w:rFonts w:ascii="Times New Roman" w:hAnsi="Times New Roman"/>
                <w:sz w:val="24"/>
                <w:szCs w:val="24"/>
              </w:rPr>
              <w:t>.</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D33F4A">
            <w:pPr>
              <w:pStyle w:val="tvhtml"/>
              <w:spacing w:before="0" w:beforeAutospacing="0" w:after="0" w:afterAutospacing="0"/>
            </w:pPr>
            <w:r w:rsidRPr="00851611">
              <w:t>4.</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Cita informācija</w:t>
            </w:r>
          </w:p>
        </w:tc>
        <w:tc>
          <w:tcPr>
            <w:tcW w:w="3099" w:type="pct"/>
            <w:tcBorders>
              <w:top w:val="outset" w:sz="6" w:space="0" w:color="414142"/>
              <w:left w:val="outset" w:sz="6" w:space="0" w:color="414142"/>
              <w:bottom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Nav</w:t>
            </w:r>
          </w:p>
        </w:tc>
      </w:tr>
    </w:tbl>
    <w:p w:rsidR="00772BB6" w:rsidRPr="00851611" w:rsidRDefault="00772BB6" w:rsidP="000C1005">
      <w:pPr>
        <w:shd w:val="clear" w:color="auto" w:fill="FFFFFF"/>
        <w:spacing w:after="0" w:line="240" w:lineRule="auto"/>
        <w:rPr>
          <w:rFonts w:ascii="Times New Roman" w:hAnsi="Times New Roman"/>
          <w:sz w:val="24"/>
          <w:szCs w:val="24"/>
        </w:rPr>
      </w:pPr>
      <w:r w:rsidRPr="00851611">
        <w:rPr>
          <w:rFonts w:ascii="Times New Roman" w:hAnsi="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72"/>
      </w:tblGrid>
      <w:tr w:rsidR="00851611" w:rsidRPr="00851611" w:rsidTr="00BF484A">
        <w:tc>
          <w:tcPr>
            <w:tcW w:w="0" w:type="auto"/>
            <w:tcBorders>
              <w:top w:val="outset" w:sz="6" w:space="0" w:color="414142"/>
              <w:bottom w:val="outset" w:sz="6" w:space="0" w:color="414142"/>
            </w:tcBorders>
            <w:vAlign w:val="center"/>
            <w:hideMark/>
          </w:tcPr>
          <w:p w:rsidR="00772BB6" w:rsidRPr="00851611" w:rsidRDefault="00772BB6" w:rsidP="000C1005">
            <w:pPr>
              <w:pStyle w:val="tvhtml"/>
              <w:spacing w:before="0" w:beforeAutospacing="0" w:after="0" w:afterAutospacing="0"/>
              <w:jc w:val="center"/>
              <w:rPr>
                <w:b/>
                <w:bCs/>
              </w:rPr>
            </w:pPr>
            <w:r w:rsidRPr="00851611">
              <w:rPr>
                <w:b/>
                <w:bCs/>
              </w:rPr>
              <w:t>II. Tiesību akta projekta ietekme uz sabiedrību, tautsaimniecības attīstību un administratīvo slogu</w:t>
            </w:r>
          </w:p>
        </w:tc>
      </w:tr>
      <w:tr w:rsidR="00633E42" w:rsidRPr="00851611" w:rsidTr="00BF484A">
        <w:tc>
          <w:tcPr>
            <w:tcW w:w="0" w:type="auto"/>
            <w:tcBorders>
              <w:top w:val="outset" w:sz="6" w:space="0" w:color="414142"/>
              <w:bottom w:val="outset" w:sz="6" w:space="0" w:color="414142"/>
            </w:tcBorders>
            <w:vAlign w:val="center"/>
          </w:tcPr>
          <w:p w:rsidR="00633E42" w:rsidRPr="00851611" w:rsidRDefault="00633E42" w:rsidP="000C1005">
            <w:pPr>
              <w:pStyle w:val="tvhtml"/>
              <w:spacing w:before="0" w:beforeAutospacing="0" w:after="0" w:afterAutospacing="0"/>
              <w:jc w:val="center"/>
              <w:rPr>
                <w:b/>
                <w:bCs/>
              </w:rPr>
            </w:pPr>
            <w:r w:rsidRPr="003B28D8">
              <w:rPr>
                <w:rFonts w:eastAsia="Times New Roman"/>
                <w:iCs/>
              </w:rPr>
              <w:t>Projekts šo jomu neskar.</w:t>
            </w:r>
          </w:p>
        </w:tc>
      </w:tr>
    </w:tbl>
    <w:p w:rsidR="00772BB6" w:rsidRPr="00851611" w:rsidRDefault="00772BB6" w:rsidP="000C1005">
      <w:pPr>
        <w:shd w:val="clear" w:color="auto" w:fill="FFFFFF"/>
        <w:spacing w:after="0" w:line="240" w:lineRule="auto"/>
        <w:rPr>
          <w:rFonts w:ascii="Times New Roman" w:hAnsi="Times New Roman"/>
          <w:sz w:val="24"/>
          <w:szCs w:val="24"/>
        </w:rPr>
      </w:pPr>
      <w:r w:rsidRPr="00851611">
        <w:rPr>
          <w:rFonts w:ascii="Times New Roman" w:hAnsi="Times New Roman"/>
          <w:sz w:val="24"/>
          <w:szCs w:val="24"/>
        </w:rPr>
        <w:t> </w:t>
      </w: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680"/>
      </w:tblGrid>
      <w:tr w:rsidR="00851611" w:rsidRPr="00851611" w:rsidTr="0020153F">
        <w:trPr>
          <w:trHeight w:val="360"/>
        </w:trPr>
        <w:tc>
          <w:tcPr>
            <w:tcW w:w="5000" w:type="pct"/>
            <w:tcBorders>
              <w:top w:val="single" w:sz="4" w:space="0" w:color="auto"/>
              <w:left w:val="outset" w:sz="6" w:space="0" w:color="414142"/>
              <w:bottom w:val="outset" w:sz="6" w:space="0" w:color="414142"/>
              <w:right w:val="outset" w:sz="6" w:space="0" w:color="414142"/>
            </w:tcBorders>
            <w:vAlign w:val="center"/>
            <w:hideMark/>
          </w:tcPr>
          <w:p w:rsidR="00872369" w:rsidRPr="00851611" w:rsidRDefault="00872369" w:rsidP="000C1005">
            <w:pPr>
              <w:spacing w:after="0" w:line="240" w:lineRule="auto"/>
              <w:ind w:firstLine="300"/>
              <w:jc w:val="center"/>
              <w:rPr>
                <w:rFonts w:ascii="Times New Roman" w:eastAsia="Times New Roman" w:hAnsi="Times New Roman"/>
                <w:b/>
                <w:bCs/>
                <w:sz w:val="24"/>
                <w:szCs w:val="24"/>
              </w:rPr>
            </w:pPr>
            <w:r w:rsidRPr="00851611">
              <w:rPr>
                <w:rFonts w:ascii="Times New Roman" w:eastAsia="Times New Roman" w:hAnsi="Times New Roman"/>
                <w:b/>
                <w:bCs/>
                <w:sz w:val="24"/>
                <w:szCs w:val="24"/>
              </w:rPr>
              <w:t>III. Tiesību akta projekta ietekme uz valsts budžetu un pašvaldību budžetiem</w:t>
            </w:r>
          </w:p>
        </w:tc>
      </w:tr>
      <w:tr w:rsidR="00851611" w:rsidRPr="00851611" w:rsidTr="0020153F">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rsidR="00872369" w:rsidRPr="00851611" w:rsidRDefault="00872369" w:rsidP="000C1005">
            <w:pPr>
              <w:spacing w:after="0" w:line="240" w:lineRule="auto"/>
              <w:ind w:firstLine="300"/>
              <w:jc w:val="center"/>
              <w:rPr>
                <w:rFonts w:ascii="Times New Roman" w:eastAsia="Times New Roman" w:hAnsi="Times New Roman"/>
                <w:b/>
                <w:bCs/>
                <w:sz w:val="24"/>
                <w:szCs w:val="24"/>
              </w:rPr>
            </w:pPr>
            <w:r w:rsidRPr="00851611">
              <w:rPr>
                <w:rFonts w:ascii="Times New Roman" w:hAnsi="Times New Roman"/>
                <w:bCs/>
                <w:sz w:val="24"/>
                <w:szCs w:val="24"/>
              </w:rPr>
              <w:t>Projekts šo jomu neskar.</w:t>
            </w:r>
          </w:p>
        </w:tc>
      </w:tr>
    </w:tbl>
    <w:p w:rsidR="00872369" w:rsidRDefault="00872369" w:rsidP="000C1005">
      <w:pPr>
        <w:spacing w:after="0" w:line="240" w:lineRule="auto"/>
        <w:rPr>
          <w:rFonts w:ascii="Times New Roman" w:eastAsia="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3097"/>
        <w:gridCol w:w="5995"/>
      </w:tblGrid>
      <w:tr w:rsidR="007B6ED7" w:rsidRPr="00851611" w:rsidTr="007B6ED7">
        <w:tc>
          <w:tcPr>
            <w:tcW w:w="0" w:type="auto"/>
            <w:gridSpan w:val="3"/>
            <w:tcBorders>
              <w:top w:val="outset" w:sz="6" w:space="0" w:color="414142"/>
              <w:bottom w:val="outset" w:sz="6" w:space="0" w:color="414142"/>
            </w:tcBorders>
            <w:vAlign w:val="center"/>
          </w:tcPr>
          <w:p w:rsidR="007B6ED7" w:rsidRPr="00851611" w:rsidRDefault="007B6ED7" w:rsidP="00011CFF">
            <w:pPr>
              <w:pStyle w:val="tvhtml"/>
              <w:spacing w:before="0" w:beforeAutospacing="0" w:after="0" w:afterAutospacing="0"/>
              <w:jc w:val="center"/>
              <w:rPr>
                <w:b/>
                <w:bCs/>
              </w:rPr>
            </w:pPr>
            <w:r w:rsidRPr="003B28D8">
              <w:rPr>
                <w:rFonts w:eastAsia="Times New Roman"/>
                <w:iCs/>
              </w:rPr>
              <w:t xml:space="preserve">  </w:t>
            </w:r>
            <w:r w:rsidRPr="003B28D8">
              <w:rPr>
                <w:rFonts w:eastAsia="Times New Roman"/>
                <w:b/>
                <w:bCs/>
                <w:iCs/>
              </w:rPr>
              <w:t>IV. Tiesību akta projekta ietekme uz spēkā esošo tiesību normu sistēmu</w:t>
            </w:r>
          </w:p>
        </w:tc>
      </w:tr>
      <w:tr w:rsidR="007B6ED7" w:rsidRPr="00851611" w:rsidTr="007B6ED7">
        <w:tc>
          <w:tcPr>
            <w:tcW w:w="300" w:type="pct"/>
            <w:tcBorders>
              <w:top w:val="outset" w:sz="6" w:space="0" w:color="414142"/>
              <w:bottom w:val="outset" w:sz="6" w:space="0" w:color="414142"/>
              <w:right w:val="outset" w:sz="6" w:space="0" w:color="414142"/>
            </w:tcBorders>
          </w:tcPr>
          <w:p w:rsidR="007B6ED7" w:rsidRPr="00E674B4" w:rsidRDefault="007B6ED7" w:rsidP="00D33F4A">
            <w:pPr>
              <w:spacing w:after="0" w:line="240" w:lineRule="auto"/>
              <w:rPr>
                <w:rFonts w:ascii="Times New Roman" w:hAnsi="Times New Roman"/>
                <w:bCs/>
                <w:sz w:val="24"/>
                <w:szCs w:val="24"/>
              </w:rPr>
            </w:pPr>
            <w:r w:rsidRPr="00E674B4">
              <w:rPr>
                <w:rFonts w:ascii="Times New Roman" w:hAnsi="Times New Roman"/>
                <w:bCs/>
                <w:sz w:val="24"/>
                <w:szCs w:val="24"/>
              </w:rPr>
              <w:t>1.</w:t>
            </w:r>
          </w:p>
        </w:tc>
        <w:tc>
          <w:tcPr>
            <w:tcW w:w="1601" w:type="pct"/>
            <w:tcBorders>
              <w:top w:val="outset" w:sz="6" w:space="0" w:color="414142"/>
              <w:left w:val="outset" w:sz="6" w:space="0" w:color="414142"/>
              <w:bottom w:val="outset" w:sz="6" w:space="0" w:color="414142"/>
              <w:right w:val="outset" w:sz="6" w:space="0" w:color="414142"/>
            </w:tcBorders>
          </w:tcPr>
          <w:p w:rsidR="007B6ED7" w:rsidRPr="00E674B4" w:rsidRDefault="007B6ED7" w:rsidP="007B6ED7">
            <w:pPr>
              <w:spacing w:after="0" w:line="240" w:lineRule="auto"/>
              <w:ind w:firstLine="300"/>
              <w:jc w:val="center"/>
              <w:rPr>
                <w:rFonts w:ascii="Times New Roman" w:hAnsi="Times New Roman"/>
                <w:bCs/>
                <w:sz w:val="24"/>
                <w:szCs w:val="24"/>
              </w:rPr>
            </w:pPr>
            <w:r w:rsidRPr="00E674B4">
              <w:rPr>
                <w:rFonts w:ascii="Times New Roman" w:hAnsi="Times New Roman"/>
                <w:bCs/>
                <w:sz w:val="24"/>
                <w:szCs w:val="24"/>
              </w:rPr>
              <w:t>Saistītie tiesību aktu projekti</w:t>
            </w:r>
          </w:p>
        </w:tc>
        <w:tc>
          <w:tcPr>
            <w:tcW w:w="3099" w:type="pct"/>
            <w:tcBorders>
              <w:top w:val="outset" w:sz="6" w:space="0" w:color="414142"/>
              <w:left w:val="outset" w:sz="6" w:space="0" w:color="414142"/>
              <w:bottom w:val="outset" w:sz="6" w:space="0" w:color="414142"/>
            </w:tcBorders>
          </w:tcPr>
          <w:p w:rsidR="007B6ED7" w:rsidRPr="00E674B4" w:rsidRDefault="007B6ED7" w:rsidP="007B6ED7">
            <w:pPr>
              <w:spacing w:after="0" w:line="240" w:lineRule="auto"/>
              <w:ind w:firstLine="300"/>
              <w:jc w:val="both"/>
              <w:rPr>
                <w:rFonts w:ascii="Times New Roman" w:hAnsi="Times New Roman"/>
                <w:bCs/>
                <w:sz w:val="24"/>
                <w:szCs w:val="24"/>
              </w:rPr>
            </w:pPr>
            <w:r w:rsidRPr="00E674B4">
              <w:rPr>
                <w:rFonts w:ascii="Times New Roman" w:hAnsi="Times New Roman"/>
                <w:bCs/>
                <w:sz w:val="24"/>
                <w:szCs w:val="24"/>
              </w:rPr>
              <w:t>Vienlaikus ar noteikumu projektu ir nepieciešams izstrādāt grozījumus šādos Ministru kabineta noteikumos:</w:t>
            </w:r>
          </w:p>
          <w:p w:rsidR="00DB6489" w:rsidRDefault="00DB6489" w:rsidP="00DB6489">
            <w:pPr>
              <w:pStyle w:val="ListParagraph"/>
              <w:numPr>
                <w:ilvl w:val="0"/>
                <w:numId w:val="2"/>
              </w:numPr>
              <w:spacing w:after="0" w:line="240" w:lineRule="auto"/>
              <w:jc w:val="both"/>
              <w:rPr>
                <w:rFonts w:ascii="Times New Roman" w:eastAsia="Times New Roman" w:hAnsi="Times New Roman"/>
                <w:bCs/>
                <w:sz w:val="24"/>
                <w:szCs w:val="24"/>
              </w:rPr>
            </w:pPr>
            <w:r w:rsidRPr="00E02D44">
              <w:rPr>
                <w:rFonts w:ascii="Times New Roman" w:eastAsia="Times New Roman" w:hAnsi="Times New Roman"/>
                <w:bCs/>
                <w:sz w:val="24"/>
                <w:szCs w:val="24"/>
              </w:rPr>
              <w:t xml:space="preserve">Ministru kabineta </w:t>
            </w:r>
            <w:proofErr w:type="gramStart"/>
            <w:r w:rsidRPr="00E02D44">
              <w:rPr>
                <w:rFonts w:ascii="Times New Roman" w:eastAsia="Times New Roman" w:hAnsi="Times New Roman"/>
                <w:bCs/>
                <w:sz w:val="24"/>
                <w:szCs w:val="24"/>
              </w:rPr>
              <w:t>2003.gada</w:t>
            </w:r>
            <w:proofErr w:type="gramEnd"/>
            <w:r w:rsidRPr="00E02D44">
              <w:rPr>
                <w:rFonts w:ascii="Times New Roman" w:eastAsia="Times New Roman" w:hAnsi="Times New Roman"/>
                <w:bCs/>
                <w:sz w:val="24"/>
                <w:szCs w:val="24"/>
              </w:rPr>
              <w:t xml:space="preserve"> 18.februāra noteikumi Nr.82 “Kārtība, kādā nekustamā īpašuma īpašnieks vai turētājs sniedz ziņas par nekustamajā īpašumā dzīvojošajām personām”</w:t>
            </w:r>
            <w:r>
              <w:rPr>
                <w:rFonts w:ascii="Times New Roman" w:eastAsia="Times New Roman" w:hAnsi="Times New Roman"/>
                <w:bCs/>
                <w:sz w:val="24"/>
                <w:szCs w:val="24"/>
              </w:rPr>
              <w:t>;</w:t>
            </w:r>
          </w:p>
          <w:p w:rsidR="007B6ED7" w:rsidRPr="00DB6489" w:rsidRDefault="00DB6489" w:rsidP="00DB6489">
            <w:pPr>
              <w:pStyle w:val="ListParagraph"/>
              <w:numPr>
                <w:ilvl w:val="0"/>
                <w:numId w:val="2"/>
              </w:numPr>
              <w:spacing w:after="0" w:line="240" w:lineRule="auto"/>
              <w:jc w:val="both"/>
              <w:rPr>
                <w:rFonts w:ascii="Times New Roman" w:eastAsia="Times New Roman" w:hAnsi="Times New Roman"/>
                <w:bCs/>
                <w:sz w:val="24"/>
                <w:szCs w:val="24"/>
              </w:rPr>
            </w:pPr>
            <w:r w:rsidRPr="00E02D44">
              <w:rPr>
                <w:rFonts w:ascii="Times New Roman" w:eastAsia="Times New Roman" w:hAnsi="Times New Roman"/>
                <w:bCs/>
                <w:sz w:val="24"/>
                <w:szCs w:val="24"/>
              </w:rPr>
              <w:t xml:space="preserve">Ministru kabineta </w:t>
            </w:r>
            <w:proofErr w:type="gramStart"/>
            <w:r w:rsidRPr="00E02D44">
              <w:rPr>
                <w:rFonts w:ascii="Times New Roman" w:eastAsia="Times New Roman" w:hAnsi="Times New Roman"/>
                <w:bCs/>
                <w:sz w:val="24"/>
                <w:szCs w:val="24"/>
              </w:rPr>
              <w:t>2003.gada</w:t>
            </w:r>
            <w:proofErr w:type="gramEnd"/>
            <w:r w:rsidRPr="00E02D44">
              <w:rPr>
                <w:rFonts w:ascii="Times New Roman" w:eastAsia="Times New Roman" w:hAnsi="Times New Roman"/>
                <w:bCs/>
                <w:sz w:val="24"/>
                <w:szCs w:val="24"/>
              </w:rPr>
              <w:t xml:space="preserve"> 18.marta noteikumi Nr.121 “Personas faktiskās dzīvesvietas reģistrācijai nepieciešamo ziņu apjoms un to pārbaudes kārtība”</w:t>
            </w:r>
            <w:r>
              <w:rPr>
                <w:rFonts w:ascii="Times New Roman" w:eastAsia="Times New Roman" w:hAnsi="Times New Roman"/>
                <w:bCs/>
                <w:sz w:val="24"/>
                <w:szCs w:val="24"/>
              </w:rPr>
              <w:t>.</w:t>
            </w:r>
          </w:p>
        </w:tc>
      </w:tr>
      <w:tr w:rsidR="007B6ED7" w:rsidRPr="000D6364" w:rsidTr="007B6ED7">
        <w:tc>
          <w:tcPr>
            <w:tcW w:w="300" w:type="pct"/>
            <w:tcBorders>
              <w:top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2.</w:t>
            </w:r>
          </w:p>
        </w:tc>
        <w:tc>
          <w:tcPr>
            <w:tcW w:w="1601" w:type="pct"/>
            <w:tcBorders>
              <w:top w:val="outset" w:sz="6" w:space="0" w:color="414142"/>
              <w:left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Atbildīgā institūcija</w:t>
            </w:r>
          </w:p>
        </w:tc>
        <w:tc>
          <w:tcPr>
            <w:tcW w:w="3099" w:type="pct"/>
            <w:tcBorders>
              <w:top w:val="outset" w:sz="6" w:space="0" w:color="414142"/>
              <w:left w:val="outset" w:sz="6" w:space="0" w:color="414142"/>
              <w:bottom w:val="outset" w:sz="6" w:space="0" w:color="414142"/>
            </w:tcBorders>
          </w:tcPr>
          <w:p w:rsidR="007B6ED7" w:rsidRPr="008A5415" w:rsidRDefault="009A385B" w:rsidP="007B6ED7">
            <w:pPr>
              <w:spacing w:after="0" w:line="240" w:lineRule="auto"/>
              <w:jc w:val="both"/>
              <w:rPr>
                <w:rFonts w:ascii="Times New Roman" w:eastAsia="Times New Roman" w:hAnsi="Times New Roman"/>
                <w:iCs/>
                <w:sz w:val="24"/>
                <w:szCs w:val="24"/>
              </w:rPr>
            </w:pPr>
            <w:r w:rsidRPr="00FC4A18">
              <w:rPr>
                <w:rFonts w:ascii="Times New Roman" w:hAnsi="Times New Roman"/>
                <w:sz w:val="24"/>
                <w:szCs w:val="24"/>
              </w:rPr>
              <w:t>Pilsonī</w:t>
            </w:r>
            <w:r>
              <w:rPr>
                <w:rFonts w:ascii="Times New Roman" w:hAnsi="Times New Roman"/>
                <w:sz w:val="24"/>
                <w:szCs w:val="24"/>
              </w:rPr>
              <w:t>bas un migrācijas lietu pārvalde</w:t>
            </w:r>
            <w:r w:rsidR="007B6ED7" w:rsidRPr="003B28D8">
              <w:rPr>
                <w:rFonts w:ascii="Times New Roman" w:eastAsia="Times New Roman" w:hAnsi="Times New Roman"/>
                <w:sz w:val="24"/>
                <w:szCs w:val="24"/>
              </w:rPr>
              <w:t>.</w:t>
            </w:r>
          </w:p>
        </w:tc>
      </w:tr>
      <w:tr w:rsidR="007B6ED7" w:rsidRPr="000D6364" w:rsidTr="007B6ED7">
        <w:tc>
          <w:tcPr>
            <w:tcW w:w="300" w:type="pct"/>
            <w:tcBorders>
              <w:top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3.</w:t>
            </w:r>
          </w:p>
        </w:tc>
        <w:tc>
          <w:tcPr>
            <w:tcW w:w="1601" w:type="pct"/>
            <w:tcBorders>
              <w:top w:val="outset" w:sz="6" w:space="0" w:color="414142"/>
              <w:left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Cita informācija</w:t>
            </w:r>
          </w:p>
        </w:tc>
        <w:tc>
          <w:tcPr>
            <w:tcW w:w="3099" w:type="pct"/>
            <w:tcBorders>
              <w:top w:val="outset" w:sz="6" w:space="0" w:color="414142"/>
              <w:left w:val="outset" w:sz="6" w:space="0" w:color="414142"/>
              <w:bottom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Nav.</w:t>
            </w:r>
          </w:p>
        </w:tc>
      </w:tr>
    </w:tbl>
    <w:p w:rsidR="00872369" w:rsidRDefault="00872369" w:rsidP="000C1005">
      <w:pPr>
        <w:spacing w:after="0" w:line="240" w:lineRule="auto"/>
        <w:rPr>
          <w:rFonts w:ascii="Times New Roman" w:eastAsia="Times New Roman" w:hAnsi="Times New Roman"/>
          <w:sz w:val="24"/>
          <w:szCs w:val="24"/>
        </w:rPr>
      </w:pPr>
    </w:p>
    <w:p w:rsidR="00633E42" w:rsidRPr="00851611" w:rsidRDefault="00633E42" w:rsidP="000C1005">
      <w:pPr>
        <w:spacing w:after="0" w:line="240" w:lineRule="auto"/>
        <w:rPr>
          <w:rFonts w:ascii="Times New Roman" w:eastAsia="Times New Roman" w:hAnsi="Times New Roman"/>
          <w:sz w:val="24"/>
          <w:szCs w:val="24"/>
        </w:rPr>
      </w:pPr>
    </w:p>
    <w:tbl>
      <w:tblPr>
        <w:tblW w:w="5001"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74"/>
      </w:tblGrid>
      <w:tr w:rsidR="00B036A7" w:rsidRPr="00B036A7" w:rsidTr="00C464EA">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B036A7" w:rsidRPr="002F138A" w:rsidRDefault="00B036A7" w:rsidP="00B036A7">
            <w:pPr>
              <w:spacing w:after="100" w:afterAutospacing="1" w:line="254" w:lineRule="atLeast"/>
              <w:jc w:val="center"/>
              <w:rPr>
                <w:rFonts w:ascii="Times New Roman" w:eastAsia="Times New Roman" w:hAnsi="Times New Roman"/>
                <w:b/>
                <w:bCs/>
                <w:sz w:val="24"/>
                <w:szCs w:val="24"/>
              </w:rPr>
            </w:pPr>
            <w:r w:rsidRPr="002F138A">
              <w:rPr>
                <w:rFonts w:ascii="Times New Roman" w:eastAsia="Times New Roman" w:hAnsi="Times New Roman"/>
                <w:b/>
                <w:bCs/>
                <w:sz w:val="24"/>
                <w:szCs w:val="24"/>
              </w:rPr>
              <w:t>V. Tiesību akta projekta atbilstība Latvijas Republikas starptautiskajām saistībām</w:t>
            </w:r>
          </w:p>
        </w:tc>
      </w:tr>
      <w:tr w:rsidR="00633E42" w:rsidRPr="00B036A7" w:rsidTr="00C464EA">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rsidR="00633E42" w:rsidRPr="002F138A" w:rsidRDefault="00633E42" w:rsidP="00B036A7">
            <w:pPr>
              <w:spacing w:after="100" w:afterAutospacing="1" w:line="254" w:lineRule="atLeast"/>
              <w:jc w:val="center"/>
              <w:rPr>
                <w:rFonts w:ascii="Times New Roman" w:eastAsia="Times New Roman" w:hAnsi="Times New Roman"/>
                <w:b/>
                <w:bCs/>
                <w:sz w:val="24"/>
                <w:szCs w:val="24"/>
              </w:rPr>
            </w:pPr>
            <w:r w:rsidRPr="003B28D8">
              <w:rPr>
                <w:rFonts w:ascii="Times New Roman" w:eastAsia="Times New Roman" w:hAnsi="Times New Roman"/>
                <w:iCs/>
                <w:sz w:val="24"/>
                <w:szCs w:val="24"/>
              </w:rPr>
              <w:t>  Projekts šo jomu neskar.</w:t>
            </w:r>
          </w:p>
        </w:tc>
      </w:tr>
    </w:tbl>
    <w:p w:rsidR="00E13346" w:rsidRPr="00C94F52" w:rsidRDefault="00E13346" w:rsidP="000C1005">
      <w:pPr>
        <w:spacing w:after="0" w:line="240" w:lineRule="auto"/>
        <w:rPr>
          <w:rFonts w:ascii="Times New Roman" w:eastAsia="Times New Roman" w:hAnsi="Times New Roman"/>
          <w:sz w:val="24"/>
          <w:szCs w:val="24"/>
        </w:rPr>
      </w:pPr>
    </w:p>
    <w:tbl>
      <w:tblPr>
        <w:tblW w:w="5005"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84"/>
        <w:gridCol w:w="2235"/>
        <w:gridCol w:w="6963"/>
      </w:tblGrid>
      <w:tr w:rsidR="00D33F4A" w:rsidRPr="00F81219" w:rsidTr="00486C98">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D33F4A" w:rsidRPr="00F81219" w:rsidRDefault="00D33F4A" w:rsidP="00486C98">
            <w:pPr>
              <w:spacing w:after="0" w:line="240" w:lineRule="auto"/>
              <w:jc w:val="center"/>
              <w:rPr>
                <w:rFonts w:ascii="Times New Roman" w:eastAsia="Times New Roman" w:hAnsi="Times New Roman"/>
                <w:b/>
                <w:bCs/>
                <w:sz w:val="24"/>
                <w:szCs w:val="24"/>
              </w:rPr>
            </w:pPr>
            <w:r w:rsidRPr="00F81219">
              <w:rPr>
                <w:rFonts w:ascii="Times New Roman" w:eastAsia="Times New Roman" w:hAnsi="Times New Roman"/>
                <w:b/>
                <w:bCs/>
                <w:sz w:val="24"/>
                <w:szCs w:val="24"/>
              </w:rPr>
              <w:t>VI. Sabiedrības līdzdalība un komunikācijas aktivitātes</w:t>
            </w:r>
          </w:p>
        </w:tc>
      </w:tr>
      <w:tr w:rsidR="00D33F4A" w:rsidRPr="00F81219" w:rsidTr="00486C98">
        <w:trPr>
          <w:trHeight w:val="540"/>
        </w:trPr>
        <w:tc>
          <w:tcPr>
            <w:tcW w:w="250" w:type="pct"/>
            <w:tcBorders>
              <w:top w:val="outset" w:sz="6" w:space="0" w:color="414142"/>
              <w:left w:val="outset" w:sz="6" w:space="0" w:color="414142"/>
              <w:bottom w:val="outset" w:sz="6" w:space="0" w:color="414142"/>
              <w:right w:val="outset" w:sz="6" w:space="0" w:color="414142"/>
            </w:tcBorders>
            <w:hideMark/>
          </w:tcPr>
          <w:p w:rsidR="00D33F4A" w:rsidRPr="00F81219" w:rsidRDefault="00D33F4A" w:rsidP="00486C98">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1.</w:t>
            </w:r>
          </w:p>
        </w:tc>
        <w:tc>
          <w:tcPr>
            <w:tcW w:w="1154" w:type="pct"/>
            <w:tcBorders>
              <w:top w:val="outset" w:sz="6" w:space="0" w:color="414142"/>
              <w:left w:val="outset" w:sz="6" w:space="0" w:color="414142"/>
              <w:bottom w:val="outset" w:sz="6" w:space="0" w:color="414142"/>
              <w:right w:val="outset" w:sz="6" w:space="0" w:color="414142"/>
            </w:tcBorders>
            <w:hideMark/>
          </w:tcPr>
          <w:p w:rsidR="00D33F4A" w:rsidRPr="00F81219" w:rsidRDefault="00D33F4A" w:rsidP="00486C98">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Plānotās sabiedrības līdzdalības un komunikācijas aktivitātes saistībā ar projektu</w:t>
            </w:r>
          </w:p>
        </w:tc>
        <w:tc>
          <w:tcPr>
            <w:tcW w:w="3596" w:type="pct"/>
            <w:tcBorders>
              <w:top w:val="outset" w:sz="6" w:space="0" w:color="414142"/>
              <w:left w:val="outset" w:sz="6" w:space="0" w:color="414142"/>
              <w:bottom w:val="outset" w:sz="6" w:space="0" w:color="414142"/>
              <w:right w:val="outset" w:sz="6" w:space="0" w:color="414142"/>
            </w:tcBorders>
            <w:hideMark/>
          </w:tcPr>
          <w:p w:rsidR="00D33F4A" w:rsidRPr="00F81219" w:rsidRDefault="00D33F4A" w:rsidP="00486C98">
            <w:pPr>
              <w:widowControl w:val="0"/>
              <w:spacing w:after="0" w:line="240" w:lineRule="auto"/>
              <w:ind w:firstLine="362"/>
              <w:jc w:val="both"/>
              <w:rPr>
                <w:rFonts w:ascii="Times New Roman" w:eastAsia="Times New Roman" w:hAnsi="Times New Roman"/>
                <w:sz w:val="24"/>
                <w:szCs w:val="24"/>
              </w:rPr>
            </w:pPr>
            <w:r w:rsidRPr="00F81219">
              <w:rPr>
                <w:rFonts w:ascii="Times New Roman" w:eastAsia="Times New Roman" w:hAnsi="Times New Roman"/>
                <w:sz w:val="24"/>
                <w:szCs w:val="24"/>
              </w:rPr>
              <w:t xml:space="preserve">Atbilstoši Ministru kabineta 2009. gada 25. augusta noteikumiem Nr. 970 "Sabiedrības līdzdalības kārtība attīstības plānošanas procesā", lai informētu sabiedrību par </w:t>
            </w:r>
            <w:r>
              <w:rPr>
                <w:rFonts w:ascii="Times New Roman" w:hAnsi="Times New Roman"/>
                <w:iCs/>
                <w:sz w:val="24"/>
                <w:szCs w:val="24"/>
              </w:rPr>
              <w:t>noteikumu projektu</w:t>
            </w:r>
            <w:r w:rsidRPr="00F81219">
              <w:rPr>
                <w:rFonts w:ascii="Times New Roman" w:eastAsia="Times New Roman" w:hAnsi="Times New Roman"/>
                <w:sz w:val="24"/>
                <w:szCs w:val="24"/>
              </w:rPr>
              <w:t xml:space="preserve"> un dotu iespēju izteikt viedokli, informācija par </w:t>
            </w:r>
            <w:r>
              <w:rPr>
                <w:rFonts w:ascii="Times New Roman" w:hAnsi="Times New Roman"/>
                <w:iCs/>
                <w:sz w:val="24"/>
                <w:szCs w:val="24"/>
              </w:rPr>
              <w:t>noteikumu projektu</w:t>
            </w:r>
            <w:r w:rsidRPr="00F81219">
              <w:rPr>
                <w:rFonts w:ascii="Times New Roman" w:eastAsia="Times New Roman" w:hAnsi="Times New Roman"/>
                <w:sz w:val="24"/>
                <w:szCs w:val="24"/>
              </w:rPr>
              <w:t xml:space="preserve"> ievietota </w:t>
            </w:r>
            <w:r>
              <w:rPr>
                <w:rFonts w:ascii="Times New Roman" w:eastAsia="Times New Roman" w:hAnsi="Times New Roman"/>
                <w:sz w:val="24"/>
                <w:szCs w:val="24"/>
              </w:rPr>
              <w:t>Iekšlietu</w:t>
            </w:r>
            <w:r w:rsidRPr="00F81219">
              <w:rPr>
                <w:rFonts w:ascii="Times New Roman" w:eastAsia="Times New Roman" w:hAnsi="Times New Roman"/>
                <w:sz w:val="24"/>
                <w:szCs w:val="24"/>
              </w:rPr>
              <w:t xml:space="preserve"> ministrija</w:t>
            </w:r>
            <w:r>
              <w:rPr>
                <w:rFonts w:ascii="Times New Roman" w:eastAsia="Times New Roman" w:hAnsi="Times New Roman"/>
                <w:sz w:val="24"/>
                <w:szCs w:val="24"/>
              </w:rPr>
              <w:t>s un Valsts kancelejas tīmekļa vietnē</w:t>
            </w:r>
            <w:r w:rsidRPr="00F81219">
              <w:rPr>
                <w:rFonts w:ascii="Times New Roman" w:eastAsia="Times New Roman" w:hAnsi="Times New Roman"/>
                <w:sz w:val="24"/>
                <w:szCs w:val="24"/>
              </w:rPr>
              <w:t>.</w:t>
            </w:r>
          </w:p>
        </w:tc>
      </w:tr>
      <w:tr w:rsidR="00D33F4A" w:rsidRPr="00F81219" w:rsidTr="00486C98">
        <w:trPr>
          <w:trHeight w:val="330"/>
        </w:trPr>
        <w:tc>
          <w:tcPr>
            <w:tcW w:w="250" w:type="pct"/>
            <w:tcBorders>
              <w:top w:val="outset" w:sz="6" w:space="0" w:color="414142"/>
              <w:left w:val="outset" w:sz="6" w:space="0" w:color="414142"/>
              <w:bottom w:val="outset" w:sz="6" w:space="0" w:color="414142"/>
              <w:right w:val="outset" w:sz="6" w:space="0" w:color="414142"/>
            </w:tcBorders>
            <w:hideMark/>
          </w:tcPr>
          <w:p w:rsidR="00D33F4A" w:rsidRPr="00DC42C9" w:rsidRDefault="00D33F4A" w:rsidP="00486C98">
            <w:pPr>
              <w:spacing w:after="0" w:line="240" w:lineRule="auto"/>
              <w:rPr>
                <w:rFonts w:ascii="Times New Roman" w:eastAsia="Times New Roman" w:hAnsi="Times New Roman"/>
                <w:sz w:val="24"/>
                <w:szCs w:val="24"/>
              </w:rPr>
            </w:pPr>
            <w:r w:rsidRPr="00DC42C9">
              <w:rPr>
                <w:rFonts w:ascii="Times New Roman" w:eastAsia="Times New Roman" w:hAnsi="Times New Roman"/>
                <w:sz w:val="24"/>
                <w:szCs w:val="24"/>
              </w:rPr>
              <w:t>2.</w:t>
            </w:r>
          </w:p>
        </w:tc>
        <w:tc>
          <w:tcPr>
            <w:tcW w:w="1154" w:type="pct"/>
            <w:tcBorders>
              <w:top w:val="outset" w:sz="6" w:space="0" w:color="414142"/>
              <w:left w:val="outset" w:sz="6" w:space="0" w:color="414142"/>
              <w:bottom w:val="outset" w:sz="6" w:space="0" w:color="414142"/>
              <w:right w:val="outset" w:sz="6" w:space="0" w:color="414142"/>
            </w:tcBorders>
            <w:hideMark/>
          </w:tcPr>
          <w:p w:rsidR="00D33F4A" w:rsidRPr="00DC42C9" w:rsidRDefault="00D33F4A" w:rsidP="00486C98">
            <w:pPr>
              <w:spacing w:after="0" w:line="240" w:lineRule="auto"/>
              <w:rPr>
                <w:rFonts w:ascii="Times New Roman" w:eastAsia="Times New Roman" w:hAnsi="Times New Roman"/>
                <w:sz w:val="24"/>
                <w:szCs w:val="24"/>
              </w:rPr>
            </w:pPr>
            <w:r w:rsidRPr="00DC42C9">
              <w:rPr>
                <w:rFonts w:ascii="Times New Roman" w:eastAsia="Times New Roman" w:hAnsi="Times New Roman"/>
                <w:sz w:val="24"/>
                <w:szCs w:val="24"/>
              </w:rPr>
              <w:t>Sabiedrības līdzdalība projekta izstrādē</w:t>
            </w:r>
          </w:p>
        </w:tc>
        <w:tc>
          <w:tcPr>
            <w:tcW w:w="3596" w:type="pct"/>
            <w:tcBorders>
              <w:top w:val="outset" w:sz="6" w:space="0" w:color="414142"/>
              <w:left w:val="outset" w:sz="6" w:space="0" w:color="414142"/>
              <w:bottom w:val="outset" w:sz="6" w:space="0" w:color="414142"/>
              <w:right w:val="outset" w:sz="6" w:space="0" w:color="414142"/>
            </w:tcBorders>
            <w:hideMark/>
          </w:tcPr>
          <w:p w:rsidR="00D33F4A" w:rsidRPr="002C6315" w:rsidRDefault="00D33F4A" w:rsidP="00486C98">
            <w:pPr>
              <w:pStyle w:val="NoSpacing"/>
              <w:ind w:firstLine="362"/>
              <w:jc w:val="both"/>
              <w:rPr>
                <w:rFonts w:ascii="Times New Roman" w:eastAsia="Times New Roman" w:hAnsi="Times New Roman"/>
                <w:sz w:val="24"/>
                <w:szCs w:val="24"/>
                <w:lang w:eastAsia="lv-LV"/>
              </w:rPr>
            </w:pPr>
            <w:r w:rsidRPr="00DC42C9">
              <w:rPr>
                <w:rFonts w:ascii="Times New Roman" w:eastAsia="Times New Roman" w:hAnsi="Times New Roman" w:cs="Times New Roman"/>
                <w:iCs/>
                <w:sz w:val="24"/>
                <w:szCs w:val="24"/>
                <w:lang w:eastAsia="lv-LV"/>
              </w:rPr>
              <w:t xml:space="preserve">Lai nodrošinātu efektīvu, atklātu, ietverošu, savlaicīgu un atbildīgu sabiedrības līdzdalību, un sabiedrības pārstāvjiem nodrošinātu iespēju iesaistīties </w:t>
            </w:r>
            <w:r w:rsidRPr="00354211">
              <w:rPr>
                <w:rFonts w:ascii="Times New Roman" w:eastAsia="Times New Roman" w:hAnsi="Times New Roman" w:cs="Times New Roman"/>
                <w:iCs/>
                <w:sz w:val="24"/>
                <w:szCs w:val="24"/>
                <w:lang w:eastAsia="lv-LV"/>
              </w:rPr>
              <w:t>rakstiski sniegt viedokli</w:t>
            </w:r>
            <w:r w:rsidRPr="00DC42C9">
              <w:rPr>
                <w:rFonts w:ascii="Times New Roman" w:eastAsia="Times New Roman" w:hAnsi="Times New Roman" w:cs="Times New Roman"/>
                <w:iCs/>
                <w:sz w:val="24"/>
                <w:szCs w:val="24"/>
                <w:lang w:eastAsia="lv-LV"/>
              </w:rPr>
              <w:t xml:space="preserve"> par </w:t>
            </w:r>
            <w:r>
              <w:rPr>
                <w:rFonts w:ascii="Times New Roman" w:eastAsia="Times New Roman" w:hAnsi="Times New Roman" w:cs="Times New Roman"/>
                <w:iCs/>
                <w:sz w:val="24"/>
                <w:szCs w:val="24"/>
                <w:lang w:eastAsia="lv-LV"/>
              </w:rPr>
              <w:t>noteikumu</w:t>
            </w:r>
            <w:r w:rsidRPr="00354211">
              <w:rPr>
                <w:rFonts w:ascii="Times New Roman" w:eastAsia="Times New Roman" w:hAnsi="Times New Roman" w:cs="Times New Roman"/>
                <w:iCs/>
                <w:sz w:val="24"/>
                <w:szCs w:val="24"/>
                <w:lang w:eastAsia="lv-LV"/>
              </w:rPr>
              <w:t xml:space="preserve"> projektu</w:t>
            </w:r>
            <w:r w:rsidRPr="00DC42C9">
              <w:rPr>
                <w:rFonts w:ascii="Times New Roman" w:eastAsia="Times New Roman" w:hAnsi="Times New Roman" w:cs="Times New Roman"/>
                <w:iCs/>
                <w:sz w:val="24"/>
                <w:szCs w:val="24"/>
                <w:lang w:eastAsia="lv-LV"/>
              </w:rPr>
              <w:t xml:space="preserve"> tā izstrādes stadijā, </w:t>
            </w:r>
            <w:r w:rsidRPr="00DC42C9">
              <w:rPr>
                <w:rFonts w:ascii="Times New Roman" w:eastAsia="Times New Roman" w:hAnsi="Times New Roman"/>
                <w:sz w:val="24"/>
                <w:szCs w:val="24"/>
                <w:lang w:eastAsia="lv-LV"/>
              </w:rPr>
              <w:t xml:space="preserve">informācija par </w:t>
            </w:r>
            <w:r w:rsidRPr="00354211">
              <w:rPr>
                <w:rFonts w:ascii="Times New Roman" w:eastAsia="Times New Roman" w:hAnsi="Times New Roman"/>
                <w:sz w:val="24"/>
                <w:szCs w:val="24"/>
                <w:lang w:eastAsia="lv-LV"/>
              </w:rPr>
              <w:t>noteikumu projektu</w:t>
            </w:r>
            <w:r w:rsidRPr="00DC42C9">
              <w:rPr>
                <w:rFonts w:ascii="Times New Roman" w:eastAsia="Times New Roman" w:hAnsi="Times New Roman"/>
                <w:sz w:val="24"/>
                <w:szCs w:val="24"/>
                <w:lang w:eastAsia="lv-LV"/>
              </w:rPr>
              <w:t xml:space="preserve"> ievietota Iekšlietu ministrijas tīmekļa vietnē sadaļas “Sabiedrības līdzdalība” apakšsadaļā </w:t>
            </w:r>
            <w:r>
              <w:rPr>
                <w:rFonts w:ascii="Times New Roman" w:eastAsia="Times New Roman" w:hAnsi="Times New Roman"/>
                <w:sz w:val="24"/>
                <w:szCs w:val="24"/>
                <w:lang w:eastAsia="lv-LV"/>
              </w:rPr>
              <w:t>“</w:t>
            </w:r>
            <w:r w:rsidRPr="00354211">
              <w:rPr>
                <w:rFonts w:ascii="Times New Roman" w:eastAsia="Times New Roman" w:hAnsi="Times New Roman"/>
                <w:sz w:val="24"/>
                <w:szCs w:val="24"/>
                <w:lang w:eastAsia="lv-LV"/>
              </w:rPr>
              <w:t>Diskusiju dokumenti</w:t>
            </w:r>
            <w:r>
              <w:rPr>
                <w:rFonts w:ascii="Times New Roman" w:eastAsia="Times New Roman" w:hAnsi="Times New Roman"/>
                <w:sz w:val="24"/>
                <w:szCs w:val="24"/>
                <w:lang w:eastAsia="lv-LV"/>
              </w:rPr>
              <w:t>”</w:t>
            </w:r>
            <w:r w:rsidRPr="00354211">
              <w:rPr>
                <w:rFonts w:ascii="Times New Roman" w:eastAsia="Times New Roman" w:hAnsi="Times New Roman"/>
                <w:sz w:val="24"/>
                <w:szCs w:val="24"/>
                <w:lang w:eastAsia="lv-LV"/>
              </w:rPr>
              <w:t>.</w:t>
            </w:r>
          </w:p>
        </w:tc>
      </w:tr>
      <w:tr w:rsidR="00D33F4A" w:rsidRPr="00F81219" w:rsidTr="00486C98">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D33F4A" w:rsidRPr="00F81219" w:rsidRDefault="00D33F4A" w:rsidP="00486C98">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3.</w:t>
            </w:r>
          </w:p>
        </w:tc>
        <w:tc>
          <w:tcPr>
            <w:tcW w:w="1154" w:type="pct"/>
            <w:tcBorders>
              <w:top w:val="outset" w:sz="6" w:space="0" w:color="414142"/>
              <w:left w:val="outset" w:sz="6" w:space="0" w:color="414142"/>
              <w:bottom w:val="outset" w:sz="6" w:space="0" w:color="414142"/>
              <w:right w:val="outset" w:sz="6" w:space="0" w:color="414142"/>
            </w:tcBorders>
            <w:hideMark/>
          </w:tcPr>
          <w:p w:rsidR="00D33F4A" w:rsidRPr="00F81219" w:rsidRDefault="00D33F4A" w:rsidP="00486C98">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Sabiedrības līdzdalības rezultāti</w:t>
            </w:r>
          </w:p>
        </w:tc>
        <w:tc>
          <w:tcPr>
            <w:tcW w:w="3596" w:type="pct"/>
            <w:tcBorders>
              <w:top w:val="outset" w:sz="6" w:space="0" w:color="414142"/>
              <w:left w:val="outset" w:sz="6" w:space="0" w:color="414142"/>
              <w:bottom w:val="outset" w:sz="6" w:space="0" w:color="414142"/>
              <w:right w:val="outset" w:sz="6" w:space="0" w:color="414142"/>
            </w:tcBorders>
            <w:hideMark/>
          </w:tcPr>
          <w:p w:rsidR="00D33F4A" w:rsidRPr="00506D56" w:rsidRDefault="00D33F4A" w:rsidP="00486C98">
            <w:pPr>
              <w:spacing w:after="0" w:line="240" w:lineRule="auto"/>
              <w:ind w:firstLine="362"/>
              <w:rPr>
                <w:rFonts w:ascii="Times New Roman" w:eastAsia="Times New Roman" w:hAnsi="Times New Roman"/>
                <w:sz w:val="24"/>
                <w:szCs w:val="24"/>
              </w:rPr>
            </w:pPr>
            <w:r>
              <w:rPr>
                <w:rFonts w:ascii="Times New Roman" w:eastAsia="Times New Roman" w:hAnsi="Times New Roman"/>
                <w:sz w:val="24"/>
                <w:szCs w:val="24"/>
              </w:rPr>
              <w:t>Sadaļa tiks aizpildīta pēc viedokļu saņemšanas.</w:t>
            </w:r>
          </w:p>
        </w:tc>
      </w:tr>
      <w:tr w:rsidR="00D33F4A" w:rsidRPr="00F81219" w:rsidTr="00486C98">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D33F4A" w:rsidRPr="00F81219" w:rsidRDefault="00D33F4A" w:rsidP="00486C98">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lastRenderedPageBreak/>
              <w:t>4.</w:t>
            </w:r>
          </w:p>
        </w:tc>
        <w:tc>
          <w:tcPr>
            <w:tcW w:w="1154" w:type="pct"/>
            <w:tcBorders>
              <w:top w:val="outset" w:sz="6" w:space="0" w:color="414142"/>
              <w:left w:val="outset" w:sz="6" w:space="0" w:color="414142"/>
              <w:bottom w:val="outset" w:sz="6" w:space="0" w:color="414142"/>
              <w:right w:val="outset" w:sz="6" w:space="0" w:color="414142"/>
            </w:tcBorders>
            <w:hideMark/>
          </w:tcPr>
          <w:p w:rsidR="00D33F4A" w:rsidRPr="00F81219" w:rsidRDefault="00D33F4A" w:rsidP="00486C98">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Cita informācija</w:t>
            </w:r>
          </w:p>
        </w:tc>
        <w:tc>
          <w:tcPr>
            <w:tcW w:w="3596" w:type="pct"/>
            <w:tcBorders>
              <w:top w:val="outset" w:sz="6" w:space="0" w:color="414142"/>
              <w:left w:val="outset" w:sz="6" w:space="0" w:color="414142"/>
              <w:bottom w:val="outset" w:sz="6" w:space="0" w:color="414142"/>
              <w:right w:val="outset" w:sz="6" w:space="0" w:color="414142"/>
            </w:tcBorders>
            <w:hideMark/>
          </w:tcPr>
          <w:p w:rsidR="00D33F4A" w:rsidRPr="00F81219" w:rsidRDefault="00D33F4A" w:rsidP="00486C98">
            <w:pPr>
              <w:spacing w:after="0" w:line="240" w:lineRule="auto"/>
              <w:jc w:val="both"/>
              <w:rPr>
                <w:rFonts w:ascii="Times New Roman" w:eastAsia="Times New Roman" w:hAnsi="Times New Roman"/>
                <w:sz w:val="24"/>
                <w:szCs w:val="24"/>
              </w:rPr>
            </w:pPr>
            <w:r w:rsidRPr="00F81219">
              <w:rPr>
                <w:rFonts w:ascii="Times New Roman" w:eastAsia="Times New Roman" w:hAnsi="Times New Roman"/>
                <w:sz w:val="24"/>
                <w:szCs w:val="24"/>
              </w:rPr>
              <w:t>Nav.</w:t>
            </w:r>
          </w:p>
        </w:tc>
      </w:tr>
    </w:tbl>
    <w:p w:rsidR="00B036A7" w:rsidRPr="00C94F52" w:rsidRDefault="00B036A7" w:rsidP="000C1005">
      <w:pPr>
        <w:spacing w:after="0" w:line="240" w:lineRule="auto"/>
        <w:rPr>
          <w:rFonts w:ascii="Times New Roman" w:eastAsia="Times New Roman" w:hAnsi="Times New Roman"/>
          <w:sz w:val="24"/>
          <w:szCs w:val="24"/>
        </w:rPr>
      </w:pPr>
    </w:p>
    <w:p w:rsidR="00772BB6" w:rsidRPr="00851611" w:rsidRDefault="00772BB6" w:rsidP="000C1005">
      <w:pPr>
        <w:shd w:val="clear" w:color="auto" w:fill="FFFFFF"/>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3097"/>
        <w:gridCol w:w="5995"/>
      </w:tblGrid>
      <w:tr w:rsidR="00851611" w:rsidRPr="00851611" w:rsidTr="00BF484A">
        <w:tc>
          <w:tcPr>
            <w:tcW w:w="0" w:type="auto"/>
            <w:gridSpan w:val="3"/>
            <w:tcBorders>
              <w:top w:val="outset" w:sz="6" w:space="0" w:color="414142"/>
              <w:bottom w:val="outset" w:sz="6" w:space="0" w:color="414142"/>
            </w:tcBorders>
            <w:vAlign w:val="center"/>
            <w:hideMark/>
          </w:tcPr>
          <w:p w:rsidR="00772BB6" w:rsidRPr="00851611" w:rsidRDefault="00772BB6" w:rsidP="000C1005">
            <w:pPr>
              <w:pStyle w:val="tvhtml"/>
              <w:spacing w:before="0" w:beforeAutospacing="0" w:after="0" w:afterAutospacing="0"/>
              <w:jc w:val="center"/>
              <w:rPr>
                <w:b/>
                <w:bCs/>
              </w:rPr>
            </w:pPr>
            <w:r w:rsidRPr="00851611">
              <w:rPr>
                <w:b/>
                <w:bCs/>
              </w:rPr>
              <w:t>VII. Tiesību akta projekta izpildes nodrošināšana un tās ietekme uz institūcijām</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C1005">
            <w:pPr>
              <w:pStyle w:val="tvhtml"/>
              <w:spacing w:before="0" w:beforeAutospacing="0" w:after="0" w:afterAutospacing="0"/>
              <w:jc w:val="center"/>
            </w:pPr>
            <w:r w:rsidRPr="00851611">
              <w:t>1.</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Projekta izpildē iesaistītās institūcijas</w:t>
            </w:r>
          </w:p>
        </w:tc>
        <w:tc>
          <w:tcPr>
            <w:tcW w:w="3099" w:type="pct"/>
            <w:tcBorders>
              <w:top w:val="outset" w:sz="6" w:space="0" w:color="414142"/>
              <w:left w:val="outset" w:sz="6" w:space="0" w:color="414142"/>
              <w:bottom w:val="outset" w:sz="6" w:space="0" w:color="414142"/>
            </w:tcBorders>
            <w:hideMark/>
          </w:tcPr>
          <w:p w:rsidR="00772BB6" w:rsidRPr="00851611" w:rsidRDefault="00772BB6" w:rsidP="00851611">
            <w:pPr>
              <w:spacing w:after="0" w:line="240" w:lineRule="auto"/>
              <w:rPr>
                <w:rFonts w:ascii="Times New Roman" w:hAnsi="Times New Roman"/>
                <w:sz w:val="24"/>
                <w:szCs w:val="24"/>
              </w:rPr>
            </w:pPr>
            <w:r w:rsidRPr="00851611">
              <w:rPr>
                <w:rFonts w:ascii="Times New Roman" w:hAnsi="Times New Roman"/>
                <w:sz w:val="24"/>
                <w:szCs w:val="24"/>
              </w:rPr>
              <w:t>Pilsonības un migrācijas lietu</w:t>
            </w:r>
            <w:r w:rsidR="00851611" w:rsidRPr="00851611">
              <w:rPr>
                <w:rFonts w:ascii="Times New Roman" w:hAnsi="Times New Roman"/>
                <w:sz w:val="24"/>
                <w:szCs w:val="24"/>
              </w:rPr>
              <w:t xml:space="preserve"> pārvalde.</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C1005">
            <w:pPr>
              <w:pStyle w:val="tvhtml"/>
              <w:spacing w:before="0" w:beforeAutospacing="0" w:after="0" w:afterAutospacing="0"/>
              <w:jc w:val="center"/>
            </w:pPr>
            <w:r w:rsidRPr="00851611">
              <w:t>2.</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Projekta izpildes ietekme uz pārvaldes funkcijām un institucionālo struktūru.</w:t>
            </w:r>
            <w:r w:rsidRPr="00851611">
              <w:rPr>
                <w:rFonts w:ascii="Times New Roman" w:hAnsi="Times New Roman"/>
                <w:sz w:val="24"/>
                <w:szCs w:val="24"/>
              </w:rPr>
              <w:br/>
              <w:t>Jaunu institūciju izveide, esošu institūciju likvidācija vai reorganizācija, to ietekme uz institūcijas cilvēkresursiem</w:t>
            </w:r>
          </w:p>
        </w:tc>
        <w:tc>
          <w:tcPr>
            <w:tcW w:w="3099" w:type="pct"/>
            <w:tcBorders>
              <w:top w:val="outset" w:sz="6" w:space="0" w:color="414142"/>
              <w:left w:val="outset" w:sz="6" w:space="0" w:color="414142"/>
              <w:bottom w:val="outset" w:sz="6" w:space="0" w:color="414142"/>
            </w:tcBorders>
            <w:hideMark/>
          </w:tcPr>
          <w:p w:rsidR="00772BB6" w:rsidRPr="00851611" w:rsidRDefault="00474413" w:rsidP="000C1005">
            <w:pPr>
              <w:spacing w:after="0" w:line="240" w:lineRule="auto"/>
              <w:jc w:val="both"/>
              <w:rPr>
                <w:rFonts w:ascii="Times New Roman" w:hAnsi="Times New Roman"/>
                <w:sz w:val="24"/>
                <w:szCs w:val="24"/>
              </w:rPr>
            </w:pPr>
            <w:r w:rsidRPr="00851611">
              <w:rPr>
                <w:rFonts w:ascii="Times New Roman" w:hAnsi="Times New Roman"/>
                <w:sz w:val="24"/>
                <w:szCs w:val="24"/>
              </w:rPr>
              <w:t>Projekta izpildes rezultātā nav paredzēta esošu institūciju likvidācija vai reorganizācija. Iestāžu institucionālā struktūra netiek ietekmēta, papildus cilvēkresursi nav nepieciešami.</w:t>
            </w:r>
          </w:p>
        </w:tc>
      </w:tr>
      <w:tr w:rsidR="00772BB6"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C1005">
            <w:pPr>
              <w:pStyle w:val="tvhtml"/>
              <w:spacing w:before="0" w:beforeAutospacing="0" w:after="0" w:afterAutospacing="0"/>
              <w:jc w:val="center"/>
            </w:pPr>
            <w:r w:rsidRPr="00851611">
              <w:t>3.</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Cita informācija</w:t>
            </w:r>
          </w:p>
        </w:tc>
        <w:tc>
          <w:tcPr>
            <w:tcW w:w="3099" w:type="pct"/>
            <w:tcBorders>
              <w:top w:val="outset" w:sz="6" w:space="0" w:color="414142"/>
              <w:left w:val="outset" w:sz="6" w:space="0" w:color="414142"/>
              <w:bottom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Nav</w:t>
            </w:r>
          </w:p>
        </w:tc>
      </w:tr>
    </w:tbl>
    <w:p w:rsidR="000B58AD" w:rsidRDefault="000B58AD" w:rsidP="000C1005">
      <w:pPr>
        <w:spacing w:after="0" w:line="240" w:lineRule="auto"/>
        <w:ind w:left="1080"/>
        <w:rPr>
          <w:rFonts w:ascii="Times New Roman" w:hAnsi="Times New Roman"/>
          <w:sz w:val="24"/>
          <w:szCs w:val="24"/>
        </w:rPr>
      </w:pPr>
    </w:p>
    <w:p w:rsidR="004C1675" w:rsidRDefault="004C1675" w:rsidP="000C1005">
      <w:pPr>
        <w:spacing w:after="0" w:line="240" w:lineRule="auto"/>
        <w:ind w:left="1080"/>
        <w:rPr>
          <w:rFonts w:ascii="Times New Roman" w:hAnsi="Times New Roman"/>
          <w:sz w:val="24"/>
          <w:szCs w:val="24"/>
        </w:rPr>
      </w:pPr>
    </w:p>
    <w:p w:rsidR="004C1675" w:rsidRDefault="004C1675" w:rsidP="000C1005">
      <w:pPr>
        <w:spacing w:after="0" w:line="240" w:lineRule="auto"/>
        <w:ind w:left="1080"/>
        <w:rPr>
          <w:rFonts w:ascii="Times New Roman" w:hAnsi="Times New Roman"/>
          <w:sz w:val="24"/>
          <w:szCs w:val="24"/>
        </w:rPr>
      </w:pPr>
    </w:p>
    <w:p w:rsidR="004C1675" w:rsidRDefault="004C1675" w:rsidP="000C1005">
      <w:pPr>
        <w:spacing w:after="0" w:line="240" w:lineRule="auto"/>
        <w:ind w:left="1080"/>
        <w:rPr>
          <w:rFonts w:ascii="Times New Roman" w:hAnsi="Times New Roman"/>
          <w:sz w:val="24"/>
          <w:szCs w:val="24"/>
        </w:rPr>
      </w:pPr>
    </w:p>
    <w:p w:rsidR="009B63F1" w:rsidRPr="00851611" w:rsidRDefault="009B63F1" w:rsidP="000C1005">
      <w:pPr>
        <w:spacing w:after="0" w:line="240" w:lineRule="auto"/>
        <w:ind w:left="1080"/>
        <w:rPr>
          <w:rFonts w:ascii="Times New Roman" w:hAnsi="Times New Roman"/>
          <w:sz w:val="24"/>
          <w:szCs w:val="24"/>
        </w:rPr>
      </w:pPr>
    </w:p>
    <w:p w:rsidR="00872369" w:rsidRDefault="00872369" w:rsidP="000C1005">
      <w:pPr>
        <w:tabs>
          <w:tab w:val="left" w:pos="6237"/>
        </w:tabs>
        <w:spacing w:after="0" w:line="240" w:lineRule="auto"/>
        <w:rPr>
          <w:rFonts w:ascii="Times New Roman" w:hAnsi="Times New Roman"/>
          <w:sz w:val="24"/>
          <w:szCs w:val="24"/>
        </w:rPr>
      </w:pPr>
      <w:r w:rsidRPr="00851611">
        <w:rPr>
          <w:rFonts w:ascii="Times New Roman" w:hAnsi="Times New Roman"/>
          <w:sz w:val="24"/>
          <w:szCs w:val="24"/>
        </w:rPr>
        <w:t>Iekšlietu ministrs</w:t>
      </w:r>
      <w:r w:rsidRPr="00851611">
        <w:rPr>
          <w:rFonts w:ascii="Times New Roman" w:hAnsi="Times New Roman"/>
          <w:sz w:val="24"/>
          <w:szCs w:val="24"/>
        </w:rPr>
        <w:tab/>
      </w:r>
      <w:r w:rsidR="008F69ED">
        <w:rPr>
          <w:rFonts w:ascii="Times New Roman" w:hAnsi="Times New Roman"/>
          <w:sz w:val="24"/>
          <w:szCs w:val="24"/>
        </w:rPr>
        <w:t xml:space="preserve">Sandis </w:t>
      </w:r>
      <w:proofErr w:type="spellStart"/>
      <w:r w:rsidR="008F69ED">
        <w:rPr>
          <w:rFonts w:ascii="Times New Roman" w:hAnsi="Times New Roman"/>
          <w:sz w:val="24"/>
          <w:szCs w:val="24"/>
        </w:rPr>
        <w:t>Ģirģens</w:t>
      </w:r>
      <w:proofErr w:type="spellEnd"/>
    </w:p>
    <w:p w:rsidR="009F135F" w:rsidRDefault="009F135F" w:rsidP="000C1005">
      <w:pPr>
        <w:tabs>
          <w:tab w:val="left" w:pos="6237"/>
        </w:tabs>
        <w:spacing w:after="0" w:line="240" w:lineRule="auto"/>
        <w:rPr>
          <w:rFonts w:ascii="Times New Roman" w:hAnsi="Times New Roman"/>
          <w:sz w:val="24"/>
          <w:szCs w:val="24"/>
        </w:rPr>
      </w:pPr>
    </w:p>
    <w:p w:rsidR="004C1675" w:rsidRDefault="004C1675" w:rsidP="000C1005">
      <w:pPr>
        <w:tabs>
          <w:tab w:val="left" w:pos="6237"/>
        </w:tabs>
        <w:spacing w:after="0" w:line="240" w:lineRule="auto"/>
        <w:rPr>
          <w:rFonts w:ascii="Times New Roman" w:hAnsi="Times New Roman"/>
          <w:sz w:val="24"/>
          <w:szCs w:val="24"/>
        </w:rPr>
      </w:pPr>
    </w:p>
    <w:p w:rsidR="009B63F1" w:rsidRDefault="009B63F1" w:rsidP="000C1005">
      <w:pPr>
        <w:tabs>
          <w:tab w:val="left" w:pos="6237"/>
        </w:tabs>
        <w:spacing w:after="0" w:line="240" w:lineRule="auto"/>
        <w:rPr>
          <w:rFonts w:ascii="Times New Roman" w:hAnsi="Times New Roman"/>
          <w:sz w:val="24"/>
          <w:szCs w:val="24"/>
        </w:rPr>
      </w:pPr>
    </w:p>
    <w:p w:rsidR="004F6E6C" w:rsidRDefault="003E7B96" w:rsidP="000C1005">
      <w:pPr>
        <w:tabs>
          <w:tab w:val="left" w:pos="6237"/>
        </w:tabs>
        <w:spacing w:after="0" w:line="240" w:lineRule="auto"/>
        <w:rPr>
          <w:rFonts w:ascii="Times New Roman" w:hAnsi="Times New Roman"/>
          <w:sz w:val="24"/>
          <w:szCs w:val="24"/>
        </w:rPr>
      </w:pPr>
      <w:r w:rsidRPr="00851611">
        <w:rPr>
          <w:rFonts w:ascii="Times New Roman" w:hAnsi="Times New Roman"/>
          <w:sz w:val="24"/>
          <w:szCs w:val="24"/>
        </w:rPr>
        <w:t>Vīza: valsts sekretārs</w:t>
      </w:r>
      <w:r w:rsidRPr="00851611">
        <w:rPr>
          <w:rFonts w:ascii="Times New Roman" w:hAnsi="Times New Roman"/>
          <w:sz w:val="24"/>
          <w:szCs w:val="24"/>
        </w:rPr>
        <w:tab/>
      </w:r>
      <w:proofErr w:type="spellStart"/>
      <w:r w:rsidRPr="00851611">
        <w:rPr>
          <w:rFonts w:ascii="Times New Roman" w:hAnsi="Times New Roman"/>
          <w:sz w:val="24"/>
          <w:szCs w:val="24"/>
        </w:rPr>
        <w:t>D</w:t>
      </w:r>
      <w:r w:rsidR="000C0CE8">
        <w:rPr>
          <w:rFonts w:ascii="Times New Roman" w:hAnsi="Times New Roman"/>
          <w:sz w:val="24"/>
          <w:szCs w:val="24"/>
        </w:rPr>
        <w:t>imitrijs</w:t>
      </w:r>
      <w:proofErr w:type="spellEnd"/>
      <w:r w:rsidR="000C0CE8">
        <w:rPr>
          <w:rFonts w:ascii="Times New Roman" w:hAnsi="Times New Roman"/>
          <w:sz w:val="24"/>
          <w:szCs w:val="24"/>
        </w:rPr>
        <w:t xml:space="preserve"> </w:t>
      </w:r>
      <w:proofErr w:type="spellStart"/>
      <w:r w:rsidRPr="00851611">
        <w:rPr>
          <w:rFonts w:ascii="Times New Roman" w:hAnsi="Times New Roman"/>
          <w:sz w:val="24"/>
          <w:szCs w:val="24"/>
        </w:rPr>
        <w:t>Trofimovs</w:t>
      </w:r>
      <w:proofErr w:type="spellEnd"/>
    </w:p>
    <w:p w:rsidR="00FE4BEE" w:rsidRPr="004C1675" w:rsidRDefault="00FE4BEE" w:rsidP="000C1005">
      <w:pPr>
        <w:tabs>
          <w:tab w:val="left" w:pos="6237"/>
        </w:tabs>
        <w:spacing w:after="0" w:line="240" w:lineRule="auto"/>
        <w:rPr>
          <w:rFonts w:ascii="Times New Roman" w:hAnsi="Times New Roman"/>
          <w:sz w:val="24"/>
          <w:szCs w:val="24"/>
        </w:rPr>
      </w:pPr>
    </w:p>
    <w:p w:rsidR="00A66308" w:rsidRPr="004C1675" w:rsidRDefault="00A66308" w:rsidP="000C1005">
      <w:pPr>
        <w:spacing w:after="0" w:line="240" w:lineRule="auto"/>
        <w:rPr>
          <w:rFonts w:ascii="Times New Roman" w:hAnsi="Times New Roman"/>
          <w:sz w:val="24"/>
          <w:szCs w:val="24"/>
        </w:rPr>
      </w:pPr>
    </w:p>
    <w:p w:rsidR="00694DD0" w:rsidRPr="004C1675" w:rsidRDefault="00694DD0" w:rsidP="000C1005">
      <w:pPr>
        <w:spacing w:after="0" w:line="240" w:lineRule="auto"/>
        <w:rPr>
          <w:rFonts w:ascii="Times New Roman" w:hAnsi="Times New Roman"/>
          <w:sz w:val="24"/>
          <w:szCs w:val="24"/>
        </w:rPr>
      </w:pPr>
    </w:p>
    <w:p w:rsidR="004C1675" w:rsidRPr="004C1675" w:rsidRDefault="004C1675" w:rsidP="000C1005">
      <w:pPr>
        <w:spacing w:after="0" w:line="240" w:lineRule="auto"/>
        <w:rPr>
          <w:rFonts w:ascii="Times New Roman" w:hAnsi="Times New Roman"/>
          <w:sz w:val="24"/>
          <w:szCs w:val="24"/>
        </w:rPr>
      </w:pPr>
    </w:p>
    <w:p w:rsidR="004C1675" w:rsidRDefault="004C1675" w:rsidP="000C1005">
      <w:pPr>
        <w:spacing w:after="0" w:line="240" w:lineRule="auto"/>
        <w:rPr>
          <w:rFonts w:ascii="Times New Roman" w:hAnsi="Times New Roman"/>
          <w:sz w:val="24"/>
          <w:szCs w:val="24"/>
        </w:rPr>
      </w:pPr>
    </w:p>
    <w:p w:rsidR="004C1675" w:rsidRDefault="004C1675" w:rsidP="000C1005">
      <w:pPr>
        <w:spacing w:after="0" w:line="240" w:lineRule="auto"/>
        <w:rPr>
          <w:rFonts w:ascii="Times New Roman" w:hAnsi="Times New Roman"/>
          <w:sz w:val="24"/>
          <w:szCs w:val="24"/>
        </w:rPr>
      </w:pPr>
    </w:p>
    <w:p w:rsidR="004C1675" w:rsidRPr="004C1675" w:rsidRDefault="004C1675" w:rsidP="000C1005">
      <w:pPr>
        <w:spacing w:after="0" w:line="240" w:lineRule="auto"/>
        <w:rPr>
          <w:rFonts w:ascii="Times New Roman" w:hAnsi="Times New Roman"/>
          <w:sz w:val="24"/>
          <w:szCs w:val="24"/>
        </w:rPr>
      </w:pPr>
    </w:p>
    <w:p w:rsidR="00694DD0" w:rsidRPr="004C1675" w:rsidRDefault="00694DD0" w:rsidP="000C1005">
      <w:pPr>
        <w:spacing w:after="0" w:line="240" w:lineRule="auto"/>
        <w:rPr>
          <w:rFonts w:ascii="Times New Roman" w:hAnsi="Times New Roman"/>
          <w:sz w:val="24"/>
          <w:szCs w:val="24"/>
        </w:rPr>
      </w:pPr>
    </w:p>
    <w:p w:rsidR="00A66308" w:rsidRDefault="00A66308" w:rsidP="000C1005">
      <w:pPr>
        <w:spacing w:after="0" w:line="240" w:lineRule="auto"/>
        <w:rPr>
          <w:rFonts w:ascii="Times New Roman" w:hAnsi="Times New Roman"/>
          <w:sz w:val="16"/>
          <w:szCs w:val="24"/>
        </w:rPr>
      </w:pPr>
      <w:r w:rsidRPr="00851611">
        <w:rPr>
          <w:rFonts w:ascii="Times New Roman" w:hAnsi="Times New Roman"/>
          <w:sz w:val="16"/>
          <w:szCs w:val="24"/>
        </w:rPr>
        <w:t>Vildava, 67219466</w:t>
      </w:r>
    </w:p>
    <w:p w:rsidR="00694DD0" w:rsidRPr="00694DD0" w:rsidRDefault="005B18CF" w:rsidP="000C1005">
      <w:pPr>
        <w:spacing w:after="0" w:line="240" w:lineRule="auto"/>
        <w:rPr>
          <w:rFonts w:ascii="Times New Roman" w:hAnsi="Times New Roman"/>
          <w:sz w:val="16"/>
          <w:szCs w:val="24"/>
        </w:rPr>
      </w:pPr>
      <w:hyperlink r:id="rId9" w:history="1">
        <w:r w:rsidR="004C1675" w:rsidRPr="00416617">
          <w:rPr>
            <w:rStyle w:val="Hyperlink"/>
            <w:rFonts w:ascii="Times New Roman" w:hAnsi="Times New Roman"/>
            <w:sz w:val="16"/>
            <w:szCs w:val="24"/>
          </w:rPr>
          <w:t>jana.vildava@pmlp.gov.lv</w:t>
        </w:r>
      </w:hyperlink>
      <w:r w:rsidR="00694DD0">
        <w:rPr>
          <w:rFonts w:ascii="Times New Roman" w:hAnsi="Times New Roman"/>
          <w:sz w:val="16"/>
          <w:szCs w:val="24"/>
        </w:rPr>
        <w:t xml:space="preserve"> </w:t>
      </w:r>
    </w:p>
    <w:sectPr w:rsidR="00694DD0" w:rsidRPr="00694DD0" w:rsidSect="00A165FD">
      <w:headerReference w:type="default" r:id="rId10"/>
      <w:footerReference w:type="default" r:id="rId11"/>
      <w:footerReference w:type="first" r:id="rId12"/>
      <w:pgSz w:w="12240" w:h="15840" w:code="1"/>
      <w:pgMar w:top="113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260" w:rsidRDefault="002E1260" w:rsidP="00865AC2">
      <w:pPr>
        <w:spacing w:after="0" w:line="240" w:lineRule="auto"/>
      </w:pPr>
      <w:r>
        <w:separator/>
      </w:r>
    </w:p>
  </w:endnote>
  <w:endnote w:type="continuationSeparator" w:id="0">
    <w:p w:rsidR="002E1260" w:rsidRDefault="002E1260" w:rsidP="0086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82" w:rsidRPr="009A4A61" w:rsidRDefault="009A4A61" w:rsidP="009A4A61">
    <w:pPr>
      <w:pStyle w:val="Footer"/>
    </w:pPr>
    <w:r w:rsidRPr="007C2428">
      <w:rPr>
        <w:rFonts w:ascii="Times New Roman" w:hAnsi="Times New Roman"/>
        <w:sz w:val="20"/>
      </w:rPr>
      <w:t>IEMAnot_</w:t>
    </w:r>
    <w:r>
      <w:rPr>
        <w:rFonts w:ascii="Times New Roman" w:hAnsi="Times New Roman"/>
        <w:sz w:val="20"/>
      </w:rPr>
      <w:t>301020_grozNot1194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82" w:rsidRPr="00DD5E82" w:rsidRDefault="007C2428" w:rsidP="00DD5E82">
    <w:pPr>
      <w:pStyle w:val="Footer"/>
    </w:pPr>
    <w:r w:rsidRPr="007C2428">
      <w:rPr>
        <w:rFonts w:ascii="Times New Roman" w:hAnsi="Times New Roman"/>
        <w:sz w:val="20"/>
      </w:rPr>
      <w:t>IEMAnot_</w:t>
    </w:r>
    <w:r w:rsidR="009A4A61">
      <w:rPr>
        <w:rFonts w:ascii="Times New Roman" w:hAnsi="Times New Roman"/>
        <w:sz w:val="20"/>
      </w:rPr>
      <w:t>301020_grozNot1194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260" w:rsidRDefault="002E1260" w:rsidP="00865AC2">
      <w:pPr>
        <w:spacing w:after="0" w:line="240" w:lineRule="auto"/>
      </w:pPr>
      <w:r>
        <w:separator/>
      </w:r>
    </w:p>
  </w:footnote>
  <w:footnote w:type="continuationSeparator" w:id="0">
    <w:p w:rsidR="002E1260" w:rsidRDefault="002E1260" w:rsidP="00865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537534"/>
      <w:docPartObj>
        <w:docPartGallery w:val="Page Numbers (Top of Page)"/>
        <w:docPartUnique/>
      </w:docPartObj>
    </w:sdtPr>
    <w:sdtEndPr>
      <w:rPr>
        <w:rFonts w:ascii="Times New Roman" w:hAnsi="Times New Roman"/>
        <w:noProof/>
      </w:rPr>
    </w:sdtEndPr>
    <w:sdtContent>
      <w:p w:rsidR="00865AC2" w:rsidRPr="00865AC2" w:rsidRDefault="00865AC2">
        <w:pPr>
          <w:pStyle w:val="Header"/>
          <w:jc w:val="center"/>
          <w:rPr>
            <w:rFonts w:ascii="Times New Roman" w:hAnsi="Times New Roman"/>
          </w:rPr>
        </w:pPr>
        <w:r w:rsidRPr="00865AC2">
          <w:rPr>
            <w:rFonts w:ascii="Times New Roman" w:hAnsi="Times New Roman"/>
          </w:rPr>
          <w:fldChar w:fldCharType="begin"/>
        </w:r>
        <w:r w:rsidRPr="00865AC2">
          <w:rPr>
            <w:rFonts w:ascii="Times New Roman" w:hAnsi="Times New Roman"/>
          </w:rPr>
          <w:instrText xml:space="preserve"> PAGE   \* MERGEFORMAT </w:instrText>
        </w:r>
        <w:r w:rsidRPr="00865AC2">
          <w:rPr>
            <w:rFonts w:ascii="Times New Roman" w:hAnsi="Times New Roman"/>
          </w:rPr>
          <w:fldChar w:fldCharType="separate"/>
        </w:r>
        <w:r w:rsidR="005B18CF">
          <w:rPr>
            <w:rFonts w:ascii="Times New Roman" w:hAnsi="Times New Roman"/>
            <w:noProof/>
          </w:rPr>
          <w:t>3</w:t>
        </w:r>
        <w:r w:rsidRPr="00865AC2">
          <w:rPr>
            <w:rFonts w:ascii="Times New Roman" w:hAnsi="Times New Roman"/>
            <w:noProof/>
          </w:rPr>
          <w:fldChar w:fldCharType="end"/>
        </w:r>
      </w:p>
    </w:sdtContent>
  </w:sdt>
  <w:p w:rsidR="00865AC2" w:rsidRDefault="00865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140DD"/>
    <w:multiLevelType w:val="multilevel"/>
    <w:tmpl w:val="E6DE95EE"/>
    <w:lvl w:ilvl="0">
      <w:start w:val="1"/>
      <w:numFmt w:val="decimal"/>
      <w:lvlText w:val="%1."/>
      <w:lvlJc w:val="left"/>
      <w:pPr>
        <w:tabs>
          <w:tab w:val="num" w:pos="562"/>
        </w:tabs>
        <w:ind w:left="562" w:hanging="420"/>
      </w:pPr>
      <w:rPr>
        <w:rFonts w:hint="default"/>
        <w:b w:val="0"/>
      </w:rPr>
    </w:lvl>
    <w:lvl w:ilvl="1">
      <w:start w:val="1"/>
      <w:numFmt w:val="decimal"/>
      <w:lvlText w:val="%1.%2."/>
      <w:lvlJc w:val="left"/>
      <w:pPr>
        <w:tabs>
          <w:tab w:val="num" w:pos="562"/>
        </w:tabs>
        <w:ind w:left="562" w:hanging="420"/>
      </w:pPr>
      <w:rPr>
        <w:rFonts w:hint="default"/>
        <w:b w:val="0"/>
      </w:rPr>
    </w:lvl>
    <w:lvl w:ilvl="2">
      <w:start w:val="1"/>
      <w:numFmt w:val="decimal"/>
      <w:lvlText w:val="%1.%2.%3."/>
      <w:lvlJc w:val="left"/>
      <w:pPr>
        <w:tabs>
          <w:tab w:val="num" w:pos="2302"/>
        </w:tabs>
        <w:ind w:left="2302" w:hanging="720"/>
      </w:pPr>
      <w:rPr>
        <w:rFonts w:hint="default"/>
      </w:rPr>
    </w:lvl>
    <w:lvl w:ilvl="3">
      <w:start w:val="1"/>
      <w:numFmt w:val="decimal"/>
      <w:lvlText w:val="%1.%2.%3.%4."/>
      <w:lvlJc w:val="left"/>
      <w:pPr>
        <w:tabs>
          <w:tab w:val="num" w:pos="3022"/>
        </w:tabs>
        <w:ind w:left="3022" w:hanging="720"/>
      </w:pPr>
      <w:rPr>
        <w:rFonts w:hint="default"/>
      </w:rPr>
    </w:lvl>
    <w:lvl w:ilvl="4">
      <w:start w:val="1"/>
      <w:numFmt w:val="decimal"/>
      <w:lvlText w:val="%1.%2.%3.%4.%5."/>
      <w:lvlJc w:val="left"/>
      <w:pPr>
        <w:tabs>
          <w:tab w:val="num" w:pos="4102"/>
        </w:tabs>
        <w:ind w:left="4102" w:hanging="1080"/>
      </w:pPr>
      <w:rPr>
        <w:rFonts w:hint="default"/>
      </w:rPr>
    </w:lvl>
    <w:lvl w:ilvl="5">
      <w:start w:val="1"/>
      <w:numFmt w:val="decimal"/>
      <w:lvlText w:val="%1.%2.%3.%4.%5.%6."/>
      <w:lvlJc w:val="left"/>
      <w:pPr>
        <w:tabs>
          <w:tab w:val="num" w:pos="4822"/>
        </w:tabs>
        <w:ind w:left="4822" w:hanging="1080"/>
      </w:pPr>
      <w:rPr>
        <w:rFonts w:hint="default"/>
      </w:rPr>
    </w:lvl>
    <w:lvl w:ilvl="6">
      <w:start w:val="1"/>
      <w:numFmt w:val="decimal"/>
      <w:lvlText w:val="%1.%2.%3.%4.%5.%6.%7."/>
      <w:lvlJc w:val="left"/>
      <w:pPr>
        <w:tabs>
          <w:tab w:val="num" w:pos="5902"/>
        </w:tabs>
        <w:ind w:left="5902" w:hanging="1440"/>
      </w:pPr>
      <w:rPr>
        <w:rFonts w:hint="default"/>
      </w:rPr>
    </w:lvl>
    <w:lvl w:ilvl="7">
      <w:start w:val="1"/>
      <w:numFmt w:val="decimal"/>
      <w:lvlText w:val="%1.%2.%3.%4.%5.%6.%7.%8."/>
      <w:lvlJc w:val="left"/>
      <w:pPr>
        <w:tabs>
          <w:tab w:val="num" w:pos="6622"/>
        </w:tabs>
        <w:ind w:left="6622" w:hanging="1440"/>
      </w:pPr>
      <w:rPr>
        <w:rFonts w:hint="default"/>
      </w:rPr>
    </w:lvl>
    <w:lvl w:ilvl="8">
      <w:start w:val="1"/>
      <w:numFmt w:val="decimal"/>
      <w:lvlText w:val="%1.%2.%3.%4.%5.%6.%7.%8.%9."/>
      <w:lvlJc w:val="left"/>
      <w:pPr>
        <w:tabs>
          <w:tab w:val="num" w:pos="7702"/>
        </w:tabs>
        <w:ind w:left="7702" w:hanging="1800"/>
      </w:pPr>
      <w:rPr>
        <w:rFonts w:hint="default"/>
      </w:rPr>
    </w:lvl>
  </w:abstractNum>
  <w:abstractNum w:abstractNumId="1" w15:restartNumberingAfterBreak="0">
    <w:nsid w:val="556B33C8"/>
    <w:multiLevelType w:val="hybridMultilevel"/>
    <w:tmpl w:val="A2065648"/>
    <w:lvl w:ilvl="0" w:tplc="CA9E902E">
      <w:start w:val="1"/>
      <w:numFmt w:val="decimal"/>
      <w:lvlText w:val="%1."/>
      <w:lvlJc w:val="left"/>
      <w:pPr>
        <w:ind w:left="660" w:hanging="360"/>
      </w:pPr>
      <w:rPr>
        <w:rFonts w:eastAsiaTheme="minorEastAsia"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6C"/>
    <w:rsid w:val="00003246"/>
    <w:rsid w:val="000048F0"/>
    <w:rsid w:val="00011869"/>
    <w:rsid w:val="00021E5D"/>
    <w:rsid w:val="000300BF"/>
    <w:rsid w:val="00043980"/>
    <w:rsid w:val="00083DDE"/>
    <w:rsid w:val="000B223E"/>
    <w:rsid w:val="000B58AD"/>
    <w:rsid w:val="000C0CE8"/>
    <w:rsid w:val="000C1005"/>
    <w:rsid w:val="000D49FB"/>
    <w:rsid w:val="000D6364"/>
    <w:rsid w:val="000E3021"/>
    <w:rsid w:val="000E71FA"/>
    <w:rsid w:val="000F75CD"/>
    <w:rsid w:val="00103369"/>
    <w:rsid w:val="00110E8B"/>
    <w:rsid w:val="00113546"/>
    <w:rsid w:val="0012354E"/>
    <w:rsid w:val="00125C86"/>
    <w:rsid w:val="00162AC2"/>
    <w:rsid w:val="00162AC6"/>
    <w:rsid w:val="00166EAD"/>
    <w:rsid w:val="00170E6A"/>
    <w:rsid w:val="00175A67"/>
    <w:rsid w:val="00190DE4"/>
    <w:rsid w:val="00194638"/>
    <w:rsid w:val="001A2B72"/>
    <w:rsid w:val="001A32CF"/>
    <w:rsid w:val="001B1F26"/>
    <w:rsid w:val="001B6925"/>
    <w:rsid w:val="001D0222"/>
    <w:rsid w:val="001E231D"/>
    <w:rsid w:val="001E3993"/>
    <w:rsid w:val="001E6D94"/>
    <w:rsid w:val="001F37B8"/>
    <w:rsid w:val="001F5EF6"/>
    <w:rsid w:val="002000DB"/>
    <w:rsid w:val="00213607"/>
    <w:rsid w:val="002146D5"/>
    <w:rsid w:val="00223FE2"/>
    <w:rsid w:val="00235E33"/>
    <w:rsid w:val="00243A2A"/>
    <w:rsid w:val="00262B10"/>
    <w:rsid w:val="00270469"/>
    <w:rsid w:val="0027099E"/>
    <w:rsid w:val="00276769"/>
    <w:rsid w:val="00277388"/>
    <w:rsid w:val="002B66E8"/>
    <w:rsid w:val="002C3B4E"/>
    <w:rsid w:val="002C4732"/>
    <w:rsid w:val="002E1260"/>
    <w:rsid w:val="002E4CA2"/>
    <w:rsid w:val="002E6595"/>
    <w:rsid w:val="002F138A"/>
    <w:rsid w:val="002F1924"/>
    <w:rsid w:val="00326253"/>
    <w:rsid w:val="00332915"/>
    <w:rsid w:val="00343B1F"/>
    <w:rsid w:val="00366822"/>
    <w:rsid w:val="00371907"/>
    <w:rsid w:val="003769F3"/>
    <w:rsid w:val="003804C2"/>
    <w:rsid w:val="00382DF0"/>
    <w:rsid w:val="00385093"/>
    <w:rsid w:val="00390E58"/>
    <w:rsid w:val="0039563D"/>
    <w:rsid w:val="003B59A9"/>
    <w:rsid w:val="003D0260"/>
    <w:rsid w:val="003D0626"/>
    <w:rsid w:val="003D2EAE"/>
    <w:rsid w:val="003E1A96"/>
    <w:rsid w:val="003E47F5"/>
    <w:rsid w:val="003E7B96"/>
    <w:rsid w:val="003E7F3D"/>
    <w:rsid w:val="003F65CB"/>
    <w:rsid w:val="00412DC2"/>
    <w:rsid w:val="00434776"/>
    <w:rsid w:val="0046018F"/>
    <w:rsid w:val="004610A2"/>
    <w:rsid w:val="0047433A"/>
    <w:rsid w:val="00474413"/>
    <w:rsid w:val="00490806"/>
    <w:rsid w:val="00492B24"/>
    <w:rsid w:val="0049439E"/>
    <w:rsid w:val="004B0307"/>
    <w:rsid w:val="004B0428"/>
    <w:rsid w:val="004B5DCA"/>
    <w:rsid w:val="004B71BC"/>
    <w:rsid w:val="004C1675"/>
    <w:rsid w:val="004D1E8E"/>
    <w:rsid w:val="004E1BCF"/>
    <w:rsid w:val="004F21DB"/>
    <w:rsid w:val="004F3707"/>
    <w:rsid w:val="004F6E6C"/>
    <w:rsid w:val="00511A4D"/>
    <w:rsid w:val="00514044"/>
    <w:rsid w:val="00516832"/>
    <w:rsid w:val="00525B29"/>
    <w:rsid w:val="00532BEA"/>
    <w:rsid w:val="005331FB"/>
    <w:rsid w:val="005413BF"/>
    <w:rsid w:val="005515E7"/>
    <w:rsid w:val="00575F85"/>
    <w:rsid w:val="00587738"/>
    <w:rsid w:val="00591D70"/>
    <w:rsid w:val="005A0A03"/>
    <w:rsid w:val="005A3F65"/>
    <w:rsid w:val="005B18CF"/>
    <w:rsid w:val="005B3A7E"/>
    <w:rsid w:val="005D6110"/>
    <w:rsid w:val="00617888"/>
    <w:rsid w:val="00621E49"/>
    <w:rsid w:val="00622E51"/>
    <w:rsid w:val="006316F6"/>
    <w:rsid w:val="00633E42"/>
    <w:rsid w:val="00653828"/>
    <w:rsid w:val="00653A69"/>
    <w:rsid w:val="00655E51"/>
    <w:rsid w:val="00680B39"/>
    <w:rsid w:val="006868F7"/>
    <w:rsid w:val="00690A04"/>
    <w:rsid w:val="00694DD0"/>
    <w:rsid w:val="006A4003"/>
    <w:rsid w:val="006A7520"/>
    <w:rsid w:val="006B3571"/>
    <w:rsid w:val="006C6212"/>
    <w:rsid w:val="006C70FA"/>
    <w:rsid w:val="006C73A6"/>
    <w:rsid w:val="006D6352"/>
    <w:rsid w:val="006D7FDD"/>
    <w:rsid w:val="006F44C3"/>
    <w:rsid w:val="006F569E"/>
    <w:rsid w:val="0070602B"/>
    <w:rsid w:val="00715065"/>
    <w:rsid w:val="00740550"/>
    <w:rsid w:val="00741854"/>
    <w:rsid w:val="00762268"/>
    <w:rsid w:val="007635B3"/>
    <w:rsid w:val="0077149F"/>
    <w:rsid w:val="00771945"/>
    <w:rsid w:val="00772BB6"/>
    <w:rsid w:val="007743D9"/>
    <w:rsid w:val="00785BAD"/>
    <w:rsid w:val="00787553"/>
    <w:rsid w:val="007911FA"/>
    <w:rsid w:val="007918C0"/>
    <w:rsid w:val="0079396B"/>
    <w:rsid w:val="0079657E"/>
    <w:rsid w:val="007A5A8D"/>
    <w:rsid w:val="007B6ED7"/>
    <w:rsid w:val="007C2428"/>
    <w:rsid w:val="007C536D"/>
    <w:rsid w:val="007C7101"/>
    <w:rsid w:val="007C753E"/>
    <w:rsid w:val="007D07C7"/>
    <w:rsid w:val="007D4D5F"/>
    <w:rsid w:val="007D5C2A"/>
    <w:rsid w:val="007D73C3"/>
    <w:rsid w:val="007E1A8A"/>
    <w:rsid w:val="007E5168"/>
    <w:rsid w:val="008005FB"/>
    <w:rsid w:val="008260EF"/>
    <w:rsid w:val="008410F9"/>
    <w:rsid w:val="00847088"/>
    <w:rsid w:val="00850A62"/>
    <w:rsid w:val="00851611"/>
    <w:rsid w:val="00860A00"/>
    <w:rsid w:val="0086254F"/>
    <w:rsid w:val="00865AC2"/>
    <w:rsid w:val="00872369"/>
    <w:rsid w:val="008836F3"/>
    <w:rsid w:val="008A16CC"/>
    <w:rsid w:val="008A3CE4"/>
    <w:rsid w:val="008A5203"/>
    <w:rsid w:val="008B127C"/>
    <w:rsid w:val="008B353D"/>
    <w:rsid w:val="008C356F"/>
    <w:rsid w:val="008D524F"/>
    <w:rsid w:val="008D5316"/>
    <w:rsid w:val="008E6B60"/>
    <w:rsid w:val="008F2EAC"/>
    <w:rsid w:val="008F69ED"/>
    <w:rsid w:val="00903166"/>
    <w:rsid w:val="00922B59"/>
    <w:rsid w:val="00925C33"/>
    <w:rsid w:val="009367CE"/>
    <w:rsid w:val="009373BA"/>
    <w:rsid w:val="0094737A"/>
    <w:rsid w:val="00964B39"/>
    <w:rsid w:val="0097270F"/>
    <w:rsid w:val="009746AC"/>
    <w:rsid w:val="00975991"/>
    <w:rsid w:val="00986754"/>
    <w:rsid w:val="009A385B"/>
    <w:rsid w:val="009A4A61"/>
    <w:rsid w:val="009B494C"/>
    <w:rsid w:val="009B63F1"/>
    <w:rsid w:val="009C1C27"/>
    <w:rsid w:val="009D5A7E"/>
    <w:rsid w:val="009D5D62"/>
    <w:rsid w:val="009F135F"/>
    <w:rsid w:val="00A11122"/>
    <w:rsid w:val="00A133DD"/>
    <w:rsid w:val="00A13F52"/>
    <w:rsid w:val="00A165FD"/>
    <w:rsid w:val="00A20FEA"/>
    <w:rsid w:val="00A30924"/>
    <w:rsid w:val="00A5137A"/>
    <w:rsid w:val="00A57CC5"/>
    <w:rsid w:val="00A62DD4"/>
    <w:rsid w:val="00A66308"/>
    <w:rsid w:val="00A71BAD"/>
    <w:rsid w:val="00A73054"/>
    <w:rsid w:val="00A731E6"/>
    <w:rsid w:val="00A75430"/>
    <w:rsid w:val="00A812B6"/>
    <w:rsid w:val="00AA173E"/>
    <w:rsid w:val="00AB5AC0"/>
    <w:rsid w:val="00AC48E9"/>
    <w:rsid w:val="00AC4DE9"/>
    <w:rsid w:val="00AD2EE9"/>
    <w:rsid w:val="00AD5226"/>
    <w:rsid w:val="00AE2D62"/>
    <w:rsid w:val="00AF18CB"/>
    <w:rsid w:val="00B036A7"/>
    <w:rsid w:val="00B03EBA"/>
    <w:rsid w:val="00B11966"/>
    <w:rsid w:val="00B17DD8"/>
    <w:rsid w:val="00B23806"/>
    <w:rsid w:val="00B4369C"/>
    <w:rsid w:val="00B628AE"/>
    <w:rsid w:val="00B64561"/>
    <w:rsid w:val="00B6559C"/>
    <w:rsid w:val="00B97319"/>
    <w:rsid w:val="00BA51C4"/>
    <w:rsid w:val="00BA55B5"/>
    <w:rsid w:val="00BB4CAB"/>
    <w:rsid w:val="00BC0546"/>
    <w:rsid w:val="00BC1B72"/>
    <w:rsid w:val="00BC3250"/>
    <w:rsid w:val="00BE1CA1"/>
    <w:rsid w:val="00BF073E"/>
    <w:rsid w:val="00BF1BCC"/>
    <w:rsid w:val="00C020E9"/>
    <w:rsid w:val="00C149FD"/>
    <w:rsid w:val="00C17E2E"/>
    <w:rsid w:val="00C23C24"/>
    <w:rsid w:val="00C35998"/>
    <w:rsid w:val="00C41469"/>
    <w:rsid w:val="00C44BA7"/>
    <w:rsid w:val="00C464EA"/>
    <w:rsid w:val="00C56309"/>
    <w:rsid w:val="00C61873"/>
    <w:rsid w:val="00C650D2"/>
    <w:rsid w:val="00C66085"/>
    <w:rsid w:val="00C90A4A"/>
    <w:rsid w:val="00C91AB3"/>
    <w:rsid w:val="00C94F52"/>
    <w:rsid w:val="00CA73FB"/>
    <w:rsid w:val="00CC2374"/>
    <w:rsid w:val="00CC4ED7"/>
    <w:rsid w:val="00D07BC6"/>
    <w:rsid w:val="00D107B5"/>
    <w:rsid w:val="00D33F4A"/>
    <w:rsid w:val="00D40220"/>
    <w:rsid w:val="00D43A61"/>
    <w:rsid w:val="00D50068"/>
    <w:rsid w:val="00D64D4B"/>
    <w:rsid w:val="00D9655E"/>
    <w:rsid w:val="00DA1AD9"/>
    <w:rsid w:val="00DA6D84"/>
    <w:rsid w:val="00DB0FC5"/>
    <w:rsid w:val="00DB39A3"/>
    <w:rsid w:val="00DB6489"/>
    <w:rsid w:val="00DB6D44"/>
    <w:rsid w:val="00DC09F6"/>
    <w:rsid w:val="00DC5C32"/>
    <w:rsid w:val="00DC759A"/>
    <w:rsid w:val="00DD5E82"/>
    <w:rsid w:val="00DD63D2"/>
    <w:rsid w:val="00DE0364"/>
    <w:rsid w:val="00DE6D06"/>
    <w:rsid w:val="00DF446E"/>
    <w:rsid w:val="00E06517"/>
    <w:rsid w:val="00E0704E"/>
    <w:rsid w:val="00E13346"/>
    <w:rsid w:val="00E303EA"/>
    <w:rsid w:val="00E3589F"/>
    <w:rsid w:val="00E402DA"/>
    <w:rsid w:val="00E5313B"/>
    <w:rsid w:val="00E65ABE"/>
    <w:rsid w:val="00E66551"/>
    <w:rsid w:val="00E67146"/>
    <w:rsid w:val="00E674B4"/>
    <w:rsid w:val="00EA3BCA"/>
    <w:rsid w:val="00EA647E"/>
    <w:rsid w:val="00EC22AA"/>
    <w:rsid w:val="00EC5E53"/>
    <w:rsid w:val="00ED7B0C"/>
    <w:rsid w:val="00EE303F"/>
    <w:rsid w:val="00EE3810"/>
    <w:rsid w:val="00F002FF"/>
    <w:rsid w:val="00F05B53"/>
    <w:rsid w:val="00F07BD2"/>
    <w:rsid w:val="00F123DE"/>
    <w:rsid w:val="00F149D8"/>
    <w:rsid w:val="00F22ADA"/>
    <w:rsid w:val="00F4162C"/>
    <w:rsid w:val="00F47A87"/>
    <w:rsid w:val="00F53813"/>
    <w:rsid w:val="00F53C59"/>
    <w:rsid w:val="00F556B3"/>
    <w:rsid w:val="00F96DE2"/>
    <w:rsid w:val="00FA22ED"/>
    <w:rsid w:val="00FB4F76"/>
    <w:rsid w:val="00FD1F3E"/>
    <w:rsid w:val="00FE26B5"/>
    <w:rsid w:val="00FE4BEE"/>
    <w:rsid w:val="00FE7349"/>
    <w:rsid w:val="00FF04DB"/>
    <w:rsid w:val="00FF37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0E411-24C0-46FA-90CC-18504FEE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BB6"/>
    <w:rPr>
      <w:rFonts w:eastAsiaTheme="minorEastAsia"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772BB6"/>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nhideWhenUsed/>
    <w:rsid w:val="00865AC2"/>
    <w:pPr>
      <w:tabs>
        <w:tab w:val="center" w:pos="4153"/>
        <w:tab w:val="right" w:pos="8306"/>
      </w:tabs>
      <w:spacing w:after="0" w:line="240" w:lineRule="auto"/>
    </w:pPr>
  </w:style>
  <w:style w:type="character" w:customStyle="1" w:styleId="HeaderChar">
    <w:name w:val="Header Char"/>
    <w:basedOn w:val="DefaultParagraphFont"/>
    <w:link w:val="Header"/>
    <w:rsid w:val="00865AC2"/>
    <w:rPr>
      <w:rFonts w:eastAsiaTheme="minorEastAsia" w:cs="Times New Roman"/>
      <w:lang w:eastAsia="lv-LV"/>
    </w:rPr>
  </w:style>
  <w:style w:type="paragraph" w:styleId="Footer">
    <w:name w:val="footer"/>
    <w:basedOn w:val="Normal"/>
    <w:link w:val="FooterChar"/>
    <w:uiPriority w:val="99"/>
    <w:unhideWhenUsed/>
    <w:rsid w:val="00865A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5AC2"/>
    <w:rPr>
      <w:rFonts w:eastAsiaTheme="minorEastAsia" w:cs="Times New Roman"/>
      <w:lang w:eastAsia="lv-LV"/>
    </w:rPr>
  </w:style>
  <w:style w:type="paragraph" w:styleId="BalloonText">
    <w:name w:val="Balloon Text"/>
    <w:basedOn w:val="Normal"/>
    <w:link w:val="BalloonTextChar"/>
    <w:uiPriority w:val="99"/>
    <w:semiHidden/>
    <w:unhideWhenUsed/>
    <w:rsid w:val="00872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369"/>
    <w:rPr>
      <w:rFonts w:ascii="Segoe UI" w:eastAsiaTheme="minorEastAsia" w:hAnsi="Segoe UI" w:cs="Segoe UI"/>
      <w:sz w:val="18"/>
      <w:szCs w:val="18"/>
      <w:lang w:eastAsia="lv-LV"/>
    </w:rPr>
  </w:style>
  <w:style w:type="character" w:styleId="Hyperlink">
    <w:name w:val="Hyperlink"/>
    <w:basedOn w:val="DefaultParagraphFont"/>
    <w:uiPriority w:val="99"/>
    <w:unhideWhenUsed/>
    <w:rsid w:val="00872369"/>
    <w:rPr>
      <w:color w:val="0563C1" w:themeColor="hyperlink"/>
      <w:u w:val="single"/>
    </w:rPr>
  </w:style>
  <w:style w:type="paragraph" w:customStyle="1" w:styleId="tv213">
    <w:name w:val="tv213"/>
    <w:basedOn w:val="Normal"/>
    <w:rsid w:val="00F05B53"/>
    <w:pPr>
      <w:spacing w:before="100" w:beforeAutospacing="1" w:after="100" w:afterAutospacing="1" w:line="240" w:lineRule="auto"/>
    </w:pPr>
    <w:rPr>
      <w:rFonts w:ascii="Times New Roman" w:eastAsia="Times New Roman" w:hAnsi="Times New Roman"/>
      <w:sz w:val="24"/>
      <w:szCs w:val="24"/>
    </w:rPr>
  </w:style>
  <w:style w:type="character" w:customStyle="1" w:styleId="italic">
    <w:name w:val="italic"/>
    <w:basedOn w:val="DefaultParagraphFont"/>
    <w:rsid w:val="004E1BCF"/>
    <w:rPr>
      <w:i/>
      <w:iCs/>
    </w:rPr>
  </w:style>
  <w:style w:type="character" w:customStyle="1" w:styleId="NoSpacingChar">
    <w:name w:val="No Spacing Char"/>
    <w:basedOn w:val="DefaultParagraphFont"/>
    <w:link w:val="NoSpacing"/>
    <w:uiPriority w:val="1"/>
    <w:locked/>
    <w:rsid w:val="00332915"/>
  </w:style>
  <w:style w:type="paragraph" w:styleId="NoSpacing">
    <w:name w:val="No Spacing"/>
    <w:basedOn w:val="Normal"/>
    <w:link w:val="NoSpacingChar"/>
    <w:uiPriority w:val="1"/>
    <w:qFormat/>
    <w:rsid w:val="00332915"/>
    <w:pPr>
      <w:spacing w:after="0" w:line="240" w:lineRule="auto"/>
    </w:pPr>
    <w:rPr>
      <w:rFonts w:eastAsiaTheme="minorHAnsi" w:cstheme="minorBidi"/>
      <w:lang w:eastAsia="en-US"/>
    </w:rPr>
  </w:style>
  <w:style w:type="paragraph" w:styleId="ListParagraph">
    <w:name w:val="List Paragraph"/>
    <w:basedOn w:val="Normal"/>
    <w:uiPriority w:val="34"/>
    <w:qFormat/>
    <w:rsid w:val="00B17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3312">
      <w:bodyDiv w:val="1"/>
      <w:marLeft w:val="0"/>
      <w:marRight w:val="0"/>
      <w:marTop w:val="0"/>
      <w:marBottom w:val="0"/>
      <w:divBdr>
        <w:top w:val="none" w:sz="0" w:space="0" w:color="auto"/>
        <w:left w:val="none" w:sz="0" w:space="0" w:color="auto"/>
        <w:bottom w:val="none" w:sz="0" w:space="0" w:color="auto"/>
        <w:right w:val="none" w:sz="0" w:space="0" w:color="auto"/>
      </w:divBdr>
    </w:div>
    <w:div w:id="528296913">
      <w:bodyDiv w:val="1"/>
      <w:marLeft w:val="0"/>
      <w:marRight w:val="0"/>
      <w:marTop w:val="0"/>
      <w:marBottom w:val="0"/>
      <w:divBdr>
        <w:top w:val="none" w:sz="0" w:space="0" w:color="auto"/>
        <w:left w:val="none" w:sz="0" w:space="0" w:color="auto"/>
        <w:bottom w:val="none" w:sz="0" w:space="0" w:color="auto"/>
        <w:right w:val="none" w:sz="0" w:space="0" w:color="auto"/>
      </w:divBdr>
    </w:div>
    <w:div w:id="1007248229">
      <w:bodyDiv w:val="1"/>
      <w:marLeft w:val="0"/>
      <w:marRight w:val="0"/>
      <w:marTop w:val="0"/>
      <w:marBottom w:val="0"/>
      <w:divBdr>
        <w:top w:val="none" w:sz="0" w:space="0" w:color="auto"/>
        <w:left w:val="none" w:sz="0" w:space="0" w:color="auto"/>
        <w:bottom w:val="none" w:sz="0" w:space="0" w:color="auto"/>
        <w:right w:val="none" w:sz="0" w:space="0" w:color="auto"/>
      </w:divBdr>
    </w:div>
    <w:div w:id="1291396505">
      <w:bodyDiv w:val="1"/>
      <w:marLeft w:val="0"/>
      <w:marRight w:val="0"/>
      <w:marTop w:val="0"/>
      <w:marBottom w:val="0"/>
      <w:divBdr>
        <w:top w:val="none" w:sz="0" w:space="0" w:color="auto"/>
        <w:left w:val="none" w:sz="0" w:space="0" w:color="auto"/>
        <w:bottom w:val="none" w:sz="0" w:space="0" w:color="auto"/>
        <w:right w:val="none" w:sz="0" w:space="0" w:color="auto"/>
      </w:divBdr>
    </w:div>
    <w:div w:id="2095976813">
      <w:bodyDiv w:val="1"/>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15"/>
          <w:divBdr>
            <w:top w:val="none" w:sz="0" w:space="0" w:color="auto"/>
            <w:left w:val="none" w:sz="0" w:space="0" w:color="auto"/>
            <w:bottom w:val="none" w:sz="0" w:space="0" w:color="auto"/>
            <w:right w:val="none" w:sz="0" w:space="0" w:color="auto"/>
          </w:divBdr>
          <w:divsChild>
            <w:div w:id="9204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698-noteikumi-par-republikas-pilsetu-un-novadu-administrativo-teritoriju-robezu-aprakstu-apstiprinasan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vildava@pml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47187-A7AC-44E2-A2E2-EBE28660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3761</Words>
  <Characters>2144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Vildava</dc:creator>
  <cp:keywords/>
  <dc:description/>
  <cp:lastModifiedBy>Jana Vildava</cp:lastModifiedBy>
  <cp:revision>54</cp:revision>
  <cp:lastPrinted>2020-10-30T09:59:00Z</cp:lastPrinted>
  <dcterms:created xsi:type="dcterms:W3CDTF">2018-10-24T08:03:00Z</dcterms:created>
  <dcterms:modified xsi:type="dcterms:W3CDTF">2020-10-30T10:07:00Z</dcterms:modified>
</cp:coreProperties>
</file>