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D2" w:rsidRPr="00F566C3" w:rsidRDefault="00E9310C" w:rsidP="00B963D2">
      <w:pPr>
        <w:shd w:val="clear" w:color="auto" w:fill="FFFFFF"/>
        <w:spacing w:before="130" w:line="260" w:lineRule="exact"/>
        <w:jc w:val="center"/>
        <w:rPr>
          <w:b/>
          <w:bCs/>
        </w:rPr>
      </w:pPr>
      <w:r>
        <w:rPr>
          <w:b/>
          <w:bCs/>
        </w:rPr>
        <w:t xml:space="preserve">  </w:t>
      </w:r>
      <w:r w:rsidR="00B963D2" w:rsidRPr="00F566C3">
        <w:rPr>
          <w:b/>
          <w:bCs/>
        </w:rPr>
        <w:t xml:space="preserve">Likumprojekta “Grozījumi </w:t>
      </w:r>
      <w:r w:rsidR="00F55F8F">
        <w:rPr>
          <w:b/>
          <w:bCs/>
        </w:rPr>
        <w:t>Vēlētāju reģistra</w:t>
      </w:r>
      <w:r w:rsidR="00B963D2" w:rsidRPr="00F566C3">
        <w:rPr>
          <w:b/>
          <w:bCs/>
        </w:rPr>
        <w:t xml:space="preserve"> likumā” sākotnējās ietekmes novērtējuma ziņojums (anotācija)</w:t>
      </w:r>
    </w:p>
    <w:p w:rsidR="008841F5" w:rsidRPr="00F566C3" w:rsidRDefault="008841F5" w:rsidP="00B963D2">
      <w:pPr>
        <w:pStyle w:val="Title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0"/>
        <w:gridCol w:w="5837"/>
      </w:tblGrid>
      <w:tr w:rsidR="00B963D2" w:rsidRPr="00F566C3" w:rsidTr="00602C74">
        <w:trPr>
          <w:cantSplit/>
        </w:trPr>
        <w:tc>
          <w:tcPr>
            <w:tcW w:w="9581" w:type="dxa"/>
            <w:gridSpan w:val="2"/>
            <w:shd w:val="clear" w:color="auto" w:fill="FFFFFF"/>
            <w:vAlign w:val="center"/>
            <w:hideMark/>
          </w:tcPr>
          <w:p w:rsidR="00B963D2" w:rsidRPr="00F566C3" w:rsidRDefault="00B963D2" w:rsidP="00602C74">
            <w:pPr>
              <w:jc w:val="center"/>
              <w:rPr>
                <w:b/>
                <w:iCs/>
                <w:lang w:eastAsia="en-US"/>
              </w:rPr>
            </w:pPr>
            <w:r w:rsidRPr="00F566C3">
              <w:rPr>
                <w:b/>
                <w:iCs/>
                <w:lang w:eastAsia="en-US"/>
              </w:rPr>
              <w:t>Tiesību akta projekta anotācijas kopsavilkums</w:t>
            </w:r>
          </w:p>
        </w:tc>
      </w:tr>
      <w:tr w:rsidR="006C69E0" w:rsidRPr="00F566C3" w:rsidTr="00602C74">
        <w:trPr>
          <w:cantSplit/>
        </w:trPr>
        <w:tc>
          <w:tcPr>
            <w:tcW w:w="3430" w:type="dxa"/>
            <w:shd w:val="clear" w:color="auto" w:fill="FFFFFF"/>
            <w:hideMark/>
          </w:tcPr>
          <w:p w:rsidR="00B963D2" w:rsidRPr="00F566C3" w:rsidRDefault="00B963D2" w:rsidP="00602C74">
            <w:pPr>
              <w:rPr>
                <w:iCs/>
                <w:lang w:eastAsia="en-US"/>
              </w:rPr>
            </w:pPr>
            <w:r w:rsidRPr="00F566C3">
              <w:rPr>
                <w:iCs/>
                <w:lang w:eastAsia="en-US"/>
              </w:rPr>
              <w:t>Mērķis, risinājums un projekta spēkā stāšanās laiks (500 zīmes bez atstarpēm)</w:t>
            </w:r>
          </w:p>
        </w:tc>
        <w:tc>
          <w:tcPr>
            <w:tcW w:w="6151" w:type="dxa"/>
            <w:shd w:val="clear" w:color="auto" w:fill="FFFFFF"/>
            <w:hideMark/>
          </w:tcPr>
          <w:p w:rsidR="00B963D2" w:rsidRPr="00F566C3" w:rsidRDefault="002A065A" w:rsidP="009E05F0">
            <w:pPr>
              <w:jc w:val="both"/>
            </w:pPr>
            <w:r>
              <w:t>Projekts šo jomu neskar.</w:t>
            </w:r>
            <w:bookmarkStart w:id="0" w:name="_GoBack"/>
            <w:bookmarkEnd w:id="0"/>
          </w:p>
        </w:tc>
      </w:tr>
    </w:tbl>
    <w:p w:rsidR="008841F5" w:rsidRPr="00F566C3" w:rsidRDefault="008841F5" w:rsidP="00B963D2">
      <w:pPr>
        <w:pStyle w:val="Title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701"/>
        <w:gridCol w:w="5862"/>
      </w:tblGrid>
      <w:tr w:rsidR="00B963D2" w:rsidRPr="00F566C3" w:rsidTr="00602C74">
        <w:tc>
          <w:tcPr>
            <w:tcW w:w="5000" w:type="pct"/>
            <w:gridSpan w:val="3"/>
            <w:vAlign w:val="center"/>
            <w:hideMark/>
          </w:tcPr>
          <w:p w:rsidR="00B963D2" w:rsidRPr="00F566C3" w:rsidRDefault="00B963D2" w:rsidP="00602C74">
            <w:pPr>
              <w:jc w:val="center"/>
              <w:rPr>
                <w:b/>
                <w:bCs/>
              </w:rPr>
            </w:pPr>
            <w:r w:rsidRPr="00F566C3">
              <w:rPr>
                <w:b/>
                <w:bCs/>
              </w:rPr>
              <w:t>I. Tiesību akta projekta izstrādes nepieciešamība</w:t>
            </w:r>
          </w:p>
        </w:tc>
      </w:tr>
      <w:tr w:rsidR="00B963D2" w:rsidRPr="00F566C3" w:rsidTr="00602C74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1.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Pamatojums</w:t>
            </w:r>
          </w:p>
        </w:tc>
        <w:tc>
          <w:tcPr>
            <w:tcW w:w="3210" w:type="pct"/>
            <w:hideMark/>
          </w:tcPr>
          <w:p w:rsidR="00B963D2" w:rsidRPr="00B561DA" w:rsidRDefault="00B561DA" w:rsidP="00B561DA">
            <w:pPr>
              <w:jc w:val="both"/>
              <w:rPr>
                <w:color w:val="000000"/>
                <w:shd w:val="clear" w:color="auto" w:fill="FFFFFF"/>
              </w:rPr>
            </w:pPr>
            <w:r w:rsidRPr="00B561DA">
              <w:t>Ministru kabineta 2020. gada 26. februāra rīkojuma Nr. 76 “Par konceptuālo ziņojumu “Par eID karti kā derīgu personu apliecinošu dokumentu Saeimas vēlēšanās”” (turpmāk – rīkojums) 5.</w:t>
            </w:r>
            <w:r>
              <w:t>2</w:t>
            </w:r>
            <w:r w:rsidRPr="00B561DA">
              <w:t>. apakšpunkts, kas nosaka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561DA">
              <w:rPr>
                <w:color w:val="000000"/>
                <w:shd w:val="clear" w:color="auto" w:fill="FFFFFF"/>
              </w:rPr>
              <w:t>Iekšlietu ministrijai sagatavot likumprojektu par grozījumiem Vēlētāju reģistra likumā un iesniegt to Ministru kabinetā likumprojekta "Par valsts budžetu 2021. gadam"</w:t>
            </w:r>
            <w:r>
              <w:rPr>
                <w:color w:val="000000"/>
                <w:shd w:val="clear" w:color="auto" w:fill="FFFFFF"/>
              </w:rPr>
              <w:t xml:space="preserve"> pavadošo likumprojektu paketē.</w:t>
            </w:r>
          </w:p>
        </w:tc>
      </w:tr>
      <w:tr w:rsidR="00B963D2" w:rsidRPr="00F566C3" w:rsidTr="00602C74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2.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Pašreizējā situācija un problēmas, kuru risināšanai tiesību akta projekts izstrādāts, tiesiskā regulējuma mērķis un būtība</w:t>
            </w:r>
          </w:p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602C74"/>
          <w:p w:rsidR="00B963D2" w:rsidRPr="00F566C3" w:rsidRDefault="00B963D2" w:rsidP="00D63223"/>
        </w:tc>
        <w:tc>
          <w:tcPr>
            <w:tcW w:w="3210" w:type="pct"/>
            <w:hideMark/>
          </w:tcPr>
          <w:p w:rsidR="00C91A68" w:rsidRDefault="00CF2213">
            <w:pPr>
              <w:jc w:val="both"/>
            </w:pPr>
            <w:r w:rsidRPr="00CF2213">
              <w:t>Likumprojekts izstrādāts</w:t>
            </w:r>
            <w:r w:rsidR="00C032A3">
              <w:t xml:space="preserve">, lai </w:t>
            </w:r>
            <w:r w:rsidR="006351E2">
              <w:t xml:space="preserve">nodrošinātu </w:t>
            </w:r>
            <w:r w:rsidRPr="00CF2213">
              <w:t xml:space="preserve">personai tiesības piedalīties Saeimas vēlēšanās, ja tās rīcībā vienīgais personu apliecinošais dokuments ir </w:t>
            </w:r>
            <w:r w:rsidR="00C032A3">
              <w:t xml:space="preserve">personas apliecība. </w:t>
            </w:r>
            <w:r w:rsidR="00DC1FFB">
              <w:t>Atbilstoši spēkā esošajai Vēlētāju reģistra likuma redakcijai Vēlētāju r</w:t>
            </w:r>
            <w:r w:rsidR="00DC1FFB" w:rsidRPr="00DC1FFB">
              <w:t>eģistrs nodrošina to personu uzskaiti, kurām saskaņā ar Eiropas Parlamenta vēlēšanu likumu vai Republikas pilsētas domes un novada domes vēlēšanu likumu</w:t>
            </w:r>
            <w:r w:rsidR="00527D7D">
              <w:t xml:space="preserve"> </w:t>
            </w:r>
            <w:r w:rsidR="00DC1FFB" w:rsidRPr="00DC1FFB">
              <w:t>ir tiesības vēlēt Latvijas Republikā</w:t>
            </w:r>
            <w:r w:rsidR="00DC1FFB">
              <w:t xml:space="preserve">. </w:t>
            </w:r>
            <w:r w:rsidR="00C91A68">
              <w:t xml:space="preserve">Tā kā rīkojumā ir noteikts, ka tiek atbalstīts </w:t>
            </w:r>
            <w:r w:rsidR="006351E2" w:rsidRPr="00CF2213">
              <w:t xml:space="preserve">konceptuālajā ziņojumā “Par eID karti kā derīgu personu apliecinošu dokumentu Saeimas vēlēšanās” </w:t>
            </w:r>
            <w:r w:rsidR="00C91A68">
              <w:t>norādītais 1. risinājums, tad likumprojekts paredz, ka tiešsaistes Vēlētāju reģistrs</w:t>
            </w:r>
            <w:r w:rsidR="006351E2">
              <w:t xml:space="preserve"> tiks izmantots Saeimas vēlēšanā</w:t>
            </w:r>
            <w:r w:rsidR="00C91A68">
              <w:t xml:space="preserve">s, </w:t>
            </w:r>
            <w:r w:rsidR="00C91A68" w:rsidRPr="00D95108">
              <w:t xml:space="preserve">Eiropas Parlamenta vēlēšanās, </w:t>
            </w:r>
            <w:r w:rsidR="00C91A68" w:rsidRPr="00DC1FFB">
              <w:t xml:space="preserve">Republikas pilsētas domes un novada domes </w:t>
            </w:r>
            <w:r w:rsidR="00C91A68" w:rsidRPr="00D95108">
              <w:t>vēlēšanās</w:t>
            </w:r>
            <w:r w:rsidR="00C91A68">
              <w:t xml:space="preserve">. </w:t>
            </w:r>
          </w:p>
          <w:p w:rsidR="003F1BF6" w:rsidRDefault="00C91A68" w:rsidP="003F1BF6">
            <w:pPr>
              <w:jc w:val="both"/>
            </w:pPr>
            <w:r>
              <w:t xml:space="preserve">Ievērojot to, ka </w:t>
            </w:r>
            <w:r w:rsidR="003F1BF6">
              <w:t>2021. gada 28. jūnijā stā</w:t>
            </w:r>
            <w:r w:rsidR="006714C8">
              <w:t>sies</w:t>
            </w:r>
            <w:r w:rsidR="003F1BF6">
              <w:t xml:space="preserve"> spēkā </w:t>
            </w:r>
            <w:r w:rsidR="006714C8">
              <w:t xml:space="preserve">Fizisko personu reģistra likums </w:t>
            </w:r>
            <w:r w:rsidR="003F1BF6">
              <w:t>un Iedzīvotāju reģistra likums zaudēs spēku</w:t>
            </w:r>
            <w:r>
              <w:t>,</w:t>
            </w:r>
            <w:r w:rsidR="00B430BF">
              <w:t xml:space="preserve"> likumprojekt</w:t>
            </w:r>
            <w:r>
              <w:t>s paredz</w:t>
            </w:r>
            <w:r w:rsidR="00B430BF">
              <w:t xml:space="preserve"> precizēt lietot</w:t>
            </w:r>
            <w:r>
              <w:t>o</w:t>
            </w:r>
            <w:r w:rsidR="00B430BF">
              <w:t xml:space="preserve"> terminoloģij</w:t>
            </w:r>
            <w:r>
              <w:t>u</w:t>
            </w:r>
            <w:r w:rsidR="003F1BF6">
              <w:t>, proti</w:t>
            </w:r>
            <w:r w:rsidR="00B430BF">
              <w:t xml:space="preserve">, “Iedzīvotāju </w:t>
            </w:r>
            <w:r w:rsidR="003F1BF6">
              <w:t xml:space="preserve">reģistrs” </w:t>
            </w:r>
            <w:r w:rsidR="00D444E1">
              <w:t>aizstāt</w:t>
            </w:r>
            <w:r w:rsidR="003F1BF6">
              <w:t xml:space="preserve"> ar “Fizisko personu reģistrs</w:t>
            </w:r>
            <w:r w:rsidR="00B430BF">
              <w:t>”</w:t>
            </w:r>
            <w:r w:rsidR="003F1BF6">
              <w:t xml:space="preserve">. </w:t>
            </w:r>
          </w:p>
          <w:p w:rsidR="006714C8" w:rsidRDefault="006714C8" w:rsidP="006714C8">
            <w:pPr>
              <w:jc w:val="both"/>
            </w:pPr>
            <w:r>
              <w:t xml:space="preserve">2021. gada 15. janvārī stāsies spēkā likums “Grozījumi </w:t>
            </w:r>
            <w:r w:rsidRPr="006714C8">
              <w:t>Republikas pilsētas domes</w:t>
            </w:r>
            <w:r>
              <w:t xml:space="preserve"> un novada domes vēlēšanu likumā”, kas</w:t>
            </w:r>
            <w:r w:rsidR="000C0540">
              <w:t xml:space="preserve"> paredz</w:t>
            </w:r>
            <w:r>
              <w:t xml:space="preserve"> </w:t>
            </w:r>
            <w:r w:rsidR="000C0540">
              <w:t xml:space="preserve">noteikt </w:t>
            </w:r>
            <w:r>
              <w:t>likuma nosaukum</w:t>
            </w:r>
            <w:r w:rsidR="000C0540">
              <w:t>u</w:t>
            </w:r>
            <w:r>
              <w:t xml:space="preserve"> </w:t>
            </w:r>
            <w:r w:rsidR="000C0540">
              <w:t>“</w:t>
            </w:r>
            <w:r>
              <w:t>Pa</w:t>
            </w:r>
            <w:r w:rsidR="000C0540">
              <w:t>švaldības domes vēlēšanu likums”</w:t>
            </w:r>
            <w:r>
              <w:t>.</w:t>
            </w:r>
            <w:r w:rsidR="000C0540">
              <w:t xml:space="preserve"> Līdz ar to, likumprojekt</w:t>
            </w:r>
            <w:r w:rsidR="00964B16">
              <w:t>ā</w:t>
            </w:r>
            <w:r w:rsidR="000C0540">
              <w:t xml:space="preserve"> </w:t>
            </w:r>
            <w:r w:rsidR="00964B16">
              <w:t xml:space="preserve">paredzēts </w:t>
            </w:r>
            <w:r w:rsidR="000C0540">
              <w:t xml:space="preserve">Vēlētāju reģistra likuma 2. pantā </w:t>
            </w:r>
            <w:r w:rsidR="00964B16">
              <w:t>aizstāt</w:t>
            </w:r>
            <w:r w:rsidR="00334171">
              <w:t xml:space="preserve"> vārdus </w:t>
            </w:r>
            <w:r w:rsidR="000C0540">
              <w:t>“</w:t>
            </w:r>
            <w:r w:rsidR="000C0540" w:rsidRPr="000C0540">
              <w:t>Republikas pilsētas domes un novada domes vēlēšanu likum</w:t>
            </w:r>
            <w:r w:rsidR="000C0540">
              <w:t xml:space="preserve">s” ar </w:t>
            </w:r>
            <w:r w:rsidR="00964B16">
              <w:t xml:space="preserve">vārdiem </w:t>
            </w:r>
            <w:r w:rsidR="000C0540">
              <w:t>“Pašvaldīb</w:t>
            </w:r>
            <w:r w:rsidR="00030F85">
              <w:t>as domes</w:t>
            </w:r>
            <w:r w:rsidR="000C0540">
              <w:t xml:space="preserve"> vēlēšanu likums”. </w:t>
            </w:r>
            <w:r w:rsidR="00D444E1">
              <w:t>Minētie grozījumi</w:t>
            </w:r>
            <w:r w:rsidR="005C21F5">
              <w:t xml:space="preserve"> paredz </w:t>
            </w:r>
            <w:r w:rsidR="00D444E1">
              <w:t>arī r</w:t>
            </w:r>
            <w:r w:rsidR="00030F85">
              <w:t>epublikas pilsētas dom</w:t>
            </w:r>
            <w:r w:rsidR="004675C1">
              <w:t>i</w:t>
            </w:r>
            <w:r w:rsidR="00030F85">
              <w:t xml:space="preserve"> un novada dom</w:t>
            </w:r>
            <w:r w:rsidR="004675C1">
              <w:t>i</w:t>
            </w:r>
            <w:r w:rsidR="00030F85">
              <w:t xml:space="preserve"> </w:t>
            </w:r>
            <w:r w:rsidR="005C21F5">
              <w:t xml:space="preserve">pārdēvēt par pašvaldības domi, </w:t>
            </w:r>
            <w:r w:rsidR="00D444E1">
              <w:t xml:space="preserve">kā rezultātā </w:t>
            </w:r>
            <w:r w:rsidR="004675C1">
              <w:t xml:space="preserve">likumprojekts paredz vārdus </w:t>
            </w:r>
            <w:r w:rsidR="005C21F5">
              <w:t>“</w:t>
            </w:r>
            <w:r w:rsidR="005C21F5" w:rsidRPr="005C21F5">
              <w:t>republikas p</w:t>
            </w:r>
            <w:r w:rsidR="005C21F5">
              <w:t>ilsētas un novada domes v</w:t>
            </w:r>
            <w:r w:rsidR="00964B16">
              <w:t xml:space="preserve">ēlēšanas” attiecīgā locījumā </w:t>
            </w:r>
            <w:r w:rsidR="00334171">
              <w:t>aizstāt</w:t>
            </w:r>
            <w:r w:rsidR="005C21F5">
              <w:t xml:space="preserve"> ar vārdiem “pašvaldības domes vēlēšanas” attiecīgā locījumā. </w:t>
            </w:r>
          </w:p>
          <w:p w:rsidR="00CF2213" w:rsidRDefault="001E457D">
            <w:pPr>
              <w:jc w:val="both"/>
            </w:pPr>
            <w:r>
              <w:t xml:space="preserve">Likumprojekts paredz </w:t>
            </w:r>
            <w:r w:rsidR="00C91975">
              <w:t>grozīt</w:t>
            </w:r>
            <w:r>
              <w:t xml:space="preserve"> Vēlētāju reģistra likum</w:t>
            </w:r>
            <w:r w:rsidR="00C91975">
              <w:t xml:space="preserve">a 2. un 5. pantu, </w:t>
            </w:r>
            <w:r w:rsidR="004D1591">
              <w:t>nosakot</w:t>
            </w:r>
            <w:r w:rsidR="00C91975">
              <w:t xml:space="preserve">, ka Vēlētāju reģistrā tiks iekļauta </w:t>
            </w:r>
            <w:r w:rsidR="00C91975">
              <w:lastRenderedPageBreak/>
              <w:t xml:space="preserve">informācija arī par personām, kurām ir tiesības vēlēt Saeimas vēlēšanās un kuras Saeimas vēlēšanu </w:t>
            </w:r>
            <w:r w:rsidR="000676A9">
              <w:t xml:space="preserve">dienā sasniegs 18 gadu vecumu. Minētie grozījumi ir nepieciešami, lai nodrošinātu </w:t>
            </w:r>
            <w:r w:rsidR="000676A9" w:rsidRPr="000676A9">
              <w:t>elektronisk</w:t>
            </w:r>
            <w:r w:rsidR="000676A9">
              <w:t>ā</w:t>
            </w:r>
            <w:r w:rsidR="000676A9" w:rsidRPr="000676A9">
              <w:t xml:space="preserve"> tiešsaistes Vēlētā</w:t>
            </w:r>
            <w:r w:rsidR="000676A9">
              <w:t>ja</w:t>
            </w:r>
            <w:r w:rsidR="000676A9" w:rsidRPr="000676A9">
              <w:t xml:space="preserve"> reģistr</w:t>
            </w:r>
            <w:r w:rsidR="000676A9">
              <w:t>a izmantošanu Saeimas vēlēšanās.</w:t>
            </w:r>
          </w:p>
          <w:p w:rsidR="00900B36" w:rsidRPr="00C60B28" w:rsidRDefault="00D444E1">
            <w:pPr>
              <w:jc w:val="both"/>
            </w:pPr>
            <w:r>
              <w:t>Vienlaikus l</w:t>
            </w:r>
            <w:r w:rsidR="00501B4D" w:rsidRPr="00C60B28">
              <w:t>ikumprojekts paredz papildināt Vēlētāju reģistra likuma 6. pant</w:t>
            </w:r>
            <w:r w:rsidR="006351E2">
              <w:t>u ar trešo daļu</w:t>
            </w:r>
            <w:r w:rsidR="00501B4D" w:rsidRPr="00C60B28">
              <w:t>, kur</w:t>
            </w:r>
            <w:r w:rsidR="006351E2">
              <w:t>a</w:t>
            </w:r>
            <w:r w:rsidR="00900B36" w:rsidRPr="00C60B28">
              <w:t xml:space="preserve"> noteik</w:t>
            </w:r>
            <w:r w:rsidR="00501B4D" w:rsidRPr="00C60B28">
              <w:t xml:space="preserve">s, ka Saeimas vēlēšanas Vēlētāju reģistra likuma izpratnē notiks vienā vēlēšanu apgabalā. </w:t>
            </w:r>
            <w:r w:rsidR="006C69E0">
              <w:t>Tā kā Vēlētāju reģistrā tiks reģistrēta vēlētāj</w:t>
            </w:r>
            <w:r w:rsidR="00704828">
              <w:t>a</w:t>
            </w:r>
            <w:r w:rsidR="006C69E0">
              <w:t xml:space="preserve"> dalība Saeimas vēlēšanās un vēlētājs atbilstoši Vēlētāju reģistra funkcionalitātei tiek piesaistīts vēlēšanu apgabalam, tad g</w:t>
            </w:r>
            <w:r w:rsidR="00501B4D" w:rsidRPr="00C60B28">
              <w:t xml:space="preserve">rozījumi ir nepieciešami, lai nodrošinātu </w:t>
            </w:r>
            <w:r w:rsidR="00900B36" w:rsidRPr="00C60B28">
              <w:t xml:space="preserve">Saeimas vēlēšanās </w:t>
            </w:r>
            <w:r w:rsidR="00501B4D" w:rsidRPr="00C60B28">
              <w:t xml:space="preserve">vēlētājam </w:t>
            </w:r>
            <w:r w:rsidR="00900B36" w:rsidRPr="00C60B28">
              <w:t xml:space="preserve">iespēju balsot jebkurā tam </w:t>
            </w:r>
            <w:r w:rsidR="00FF3F86" w:rsidRPr="00C60B28">
              <w:t>ērtākajā</w:t>
            </w:r>
            <w:r w:rsidR="00900B36" w:rsidRPr="00C60B28">
              <w:t xml:space="preserve"> vēlēšanu iecirknī</w:t>
            </w:r>
            <w:r w:rsidR="006C69E0">
              <w:t>, kuri atradīsies vienā vēlēšanu apgabalā</w:t>
            </w:r>
            <w:r w:rsidR="00900B36" w:rsidRPr="00C60B28">
              <w:t xml:space="preserve">. </w:t>
            </w:r>
          </w:p>
          <w:p w:rsidR="00DB0C96" w:rsidRPr="00C60B28" w:rsidRDefault="00BB53E3" w:rsidP="00FF5823">
            <w:pPr>
              <w:jc w:val="both"/>
            </w:pPr>
            <w:r>
              <w:t xml:space="preserve">Ievērojot to, ka Vēlētāju reģistrs darbosies tiešsaistes režīmā, ka arī </w:t>
            </w:r>
            <w:r w:rsidR="00D444E1">
              <w:t>Pilsonības un migrācijas lietu pārvaldei</w:t>
            </w:r>
            <w:r w:rsidR="00642724">
              <w:t xml:space="preserve"> (turpmāk – Pārvalde)</w:t>
            </w:r>
            <w:r w:rsidR="00D444E1">
              <w:t xml:space="preserve"> </w:t>
            </w:r>
            <w:r>
              <w:t xml:space="preserve">atbilstoši Vēlētāju reģistra likuma grozījumiem, kas stāsies spēkā </w:t>
            </w:r>
            <w:r w:rsidR="009C3850">
              <w:t xml:space="preserve">2021. gada 1. janvārī, </w:t>
            </w:r>
            <w:r>
              <w:t>nebūs pienākums nodrošināt paziņojumu nosūtīšanu vēlētājiem</w:t>
            </w:r>
            <w:r w:rsidR="009C3850">
              <w:t xml:space="preserve"> </w:t>
            </w:r>
            <w:r w:rsidR="009C3850" w:rsidRPr="009C3850">
              <w:t xml:space="preserve">par to, kura vēlēšanu iecirkņa vēlētāju sarakstā </w:t>
            </w:r>
            <w:r w:rsidR="009C3850">
              <w:t>vēlētājs</w:t>
            </w:r>
            <w:r w:rsidR="009C3850" w:rsidRPr="009C3850">
              <w:t xml:space="preserve"> iekļauts</w:t>
            </w:r>
            <w:r w:rsidR="003A1ED9">
              <w:t>, tad likumprojekts paredz grozīt Vēlētāju reģistra likuma 7., 9., 12., 13. pantu</w:t>
            </w:r>
            <w:r w:rsidR="00716159">
              <w:t xml:space="preserve">, nosakot īsākus termiņus vēlētāju datu apkopošanai un vēlētāju sarakstu izveidei. </w:t>
            </w:r>
          </w:p>
        </w:tc>
      </w:tr>
      <w:tr w:rsidR="00B963D2" w:rsidRPr="00F566C3" w:rsidTr="00602C74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Projekta izstrādē iesaistītās institūcijas un publiskas personas kapitālsabiedrības</w:t>
            </w:r>
          </w:p>
        </w:tc>
        <w:tc>
          <w:tcPr>
            <w:tcW w:w="3210" w:type="pct"/>
            <w:hideMark/>
          </w:tcPr>
          <w:p w:rsidR="00B963D2" w:rsidRPr="00F566C3" w:rsidRDefault="00A1129C" w:rsidP="00716159">
            <w:r>
              <w:t xml:space="preserve">Iekšlietu ministrija, </w:t>
            </w:r>
            <w:r w:rsidR="00B963D2" w:rsidRPr="00F566C3">
              <w:t xml:space="preserve">Pilsonības un migrācijas lietu pārvalde, </w:t>
            </w:r>
            <w:r w:rsidR="00716159">
              <w:t>Centrālā vēlēšanu komisija</w:t>
            </w:r>
            <w:r w:rsidR="009A2DB9">
              <w:t xml:space="preserve"> </w:t>
            </w:r>
          </w:p>
        </w:tc>
      </w:tr>
      <w:tr w:rsidR="00B963D2" w:rsidRPr="00F566C3" w:rsidTr="00602C74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4.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Cita informācija</w:t>
            </w:r>
          </w:p>
        </w:tc>
        <w:tc>
          <w:tcPr>
            <w:tcW w:w="3210" w:type="pct"/>
            <w:hideMark/>
          </w:tcPr>
          <w:p w:rsidR="00B963D2" w:rsidRPr="00F566C3" w:rsidRDefault="00B963D2" w:rsidP="00602C74">
            <w:r w:rsidRPr="00F566C3">
              <w:t>Nav.</w:t>
            </w:r>
          </w:p>
        </w:tc>
      </w:tr>
    </w:tbl>
    <w:p w:rsidR="008841F5" w:rsidRPr="00F566C3" w:rsidRDefault="008841F5" w:rsidP="00B963D2">
      <w:pPr>
        <w:pStyle w:val="Title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701"/>
        <w:gridCol w:w="5862"/>
      </w:tblGrid>
      <w:tr w:rsidR="00B963D2" w:rsidRPr="00F566C3" w:rsidTr="00212F0D">
        <w:tc>
          <w:tcPr>
            <w:tcW w:w="5000" w:type="pct"/>
            <w:gridSpan w:val="3"/>
            <w:vAlign w:val="center"/>
            <w:hideMark/>
          </w:tcPr>
          <w:p w:rsidR="00B963D2" w:rsidRPr="00F566C3" w:rsidRDefault="00B963D2" w:rsidP="00602C74">
            <w:pPr>
              <w:jc w:val="center"/>
              <w:rPr>
                <w:b/>
                <w:bCs/>
              </w:rPr>
            </w:pPr>
            <w:r w:rsidRPr="00F566C3">
              <w:rPr>
                <w:b/>
                <w:bCs/>
              </w:rPr>
              <w:t>II. Tiesību akta projekta ietekme uz sabiedrību, tautsaimniecības attīstību un administratīvo slogu</w:t>
            </w:r>
          </w:p>
        </w:tc>
      </w:tr>
      <w:tr w:rsidR="00B963D2" w:rsidRPr="00F566C3" w:rsidTr="00212F0D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1.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Sabiedrības mērķgrupas, kuras tiesiskais regulējums ietekmē vai varētu ietekmēt</w:t>
            </w:r>
          </w:p>
        </w:tc>
        <w:tc>
          <w:tcPr>
            <w:tcW w:w="3210" w:type="pct"/>
            <w:hideMark/>
          </w:tcPr>
          <w:p w:rsidR="00EA3FB0" w:rsidRPr="00F566C3" w:rsidRDefault="00994494" w:rsidP="00030F85">
            <w:pPr>
              <w:jc w:val="both"/>
            </w:pPr>
            <w:r>
              <w:t>Personas, kurām ir vai būs tiesības vēlēt Saeimas vēlēšanās</w:t>
            </w:r>
            <w:r w:rsidR="00C36FA6">
              <w:t xml:space="preserve">, </w:t>
            </w:r>
            <w:r w:rsidR="00030F85">
              <w:t>p</w:t>
            </w:r>
            <w:r w:rsidR="00C36FA6">
              <w:t>ašvaldīb</w:t>
            </w:r>
            <w:r w:rsidR="00030F85">
              <w:t>as domes</w:t>
            </w:r>
            <w:r w:rsidR="00C36FA6">
              <w:t xml:space="preserve"> vēlēšanās, Eiropas Parlamenta vēlēšanās.  </w:t>
            </w:r>
          </w:p>
        </w:tc>
      </w:tr>
      <w:tr w:rsidR="00B963D2" w:rsidRPr="00F566C3" w:rsidTr="00212F0D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2.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Tiesiskā regulējuma ietekme uz tautsaimniecību un administratīvo slogu</w:t>
            </w:r>
          </w:p>
        </w:tc>
        <w:tc>
          <w:tcPr>
            <w:tcW w:w="3210" w:type="pct"/>
            <w:hideMark/>
          </w:tcPr>
          <w:p w:rsidR="0077684A" w:rsidRPr="00C32BD2" w:rsidRDefault="0077684A" w:rsidP="003B576A">
            <w:pPr>
              <w:jc w:val="both"/>
              <w:rPr>
                <w:color w:val="FF0000"/>
              </w:rPr>
            </w:pPr>
            <w:r w:rsidRPr="00517A02">
              <w:t>Tiek paplašinātas personu tiesības</w:t>
            </w:r>
            <w:r>
              <w:t xml:space="preserve">, nodrošinot iespēju piedalīties </w:t>
            </w:r>
            <w:r w:rsidRPr="00517A02">
              <w:t>Saeimas vēlēšanās, izmantojot</w:t>
            </w:r>
            <w:r>
              <w:t xml:space="preserve"> </w:t>
            </w:r>
            <w:r w:rsidR="003B576A">
              <w:t>personas apliecību</w:t>
            </w:r>
            <w:r w:rsidRPr="00517A02">
              <w:t>.</w:t>
            </w:r>
          </w:p>
        </w:tc>
      </w:tr>
      <w:tr w:rsidR="00B963D2" w:rsidRPr="00F566C3" w:rsidTr="00212F0D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3.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Administratīvo izmaksu monetārs novērtējums</w:t>
            </w:r>
          </w:p>
        </w:tc>
        <w:tc>
          <w:tcPr>
            <w:tcW w:w="3210" w:type="pct"/>
            <w:hideMark/>
          </w:tcPr>
          <w:p w:rsidR="00E27F1C" w:rsidRPr="00642724" w:rsidRDefault="0077684A" w:rsidP="00642724">
            <w:pPr>
              <w:jc w:val="both"/>
            </w:pPr>
            <w:r w:rsidRPr="00642724">
              <w:t xml:space="preserve">Ņemot vērā, ka </w:t>
            </w:r>
            <w:r w:rsidR="00642724" w:rsidRPr="00642724">
              <w:t>Pārvalde</w:t>
            </w:r>
            <w:r w:rsidR="003B576A">
              <w:t>i</w:t>
            </w:r>
            <w:r w:rsidRPr="00642724">
              <w:t xml:space="preserve"> būs jānodrošina </w:t>
            </w:r>
            <w:r w:rsidR="00642724" w:rsidRPr="00642724">
              <w:t>V</w:t>
            </w:r>
            <w:r w:rsidRPr="00642724">
              <w:t xml:space="preserve">ēlētāju reģistra darbības tiešsaistes režīmā tehniskais risinājums, izmaksu monetārajam novērtējumam vajadzīga padziļināta izpēte, ko būs iespējams veikt pēc elektroniska tiešsaistes </w:t>
            </w:r>
            <w:r w:rsidR="00642724" w:rsidRPr="00642724">
              <w:t>V</w:t>
            </w:r>
            <w:r w:rsidRPr="00642724">
              <w:t>ēlētāju reģistra ieviešanas.</w:t>
            </w:r>
          </w:p>
        </w:tc>
      </w:tr>
      <w:tr w:rsidR="00B963D2" w:rsidRPr="00F566C3" w:rsidTr="00212F0D">
        <w:tc>
          <w:tcPr>
            <w:tcW w:w="311" w:type="pct"/>
            <w:hideMark/>
          </w:tcPr>
          <w:p w:rsidR="00B963D2" w:rsidRPr="00F566C3" w:rsidRDefault="00642724" w:rsidP="00602C74">
            <w:pPr>
              <w:jc w:val="center"/>
            </w:pPr>
            <w:r>
              <w:t>4</w:t>
            </w:r>
            <w:r w:rsidR="00B963D2" w:rsidRPr="00F566C3">
              <w:t>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Cita informācija</w:t>
            </w:r>
          </w:p>
        </w:tc>
        <w:tc>
          <w:tcPr>
            <w:tcW w:w="3210" w:type="pct"/>
            <w:hideMark/>
          </w:tcPr>
          <w:p w:rsidR="00B963D2" w:rsidRPr="00F566C3" w:rsidRDefault="00B963D2" w:rsidP="00602C74">
            <w:r w:rsidRPr="00F566C3">
              <w:t>Nav.</w:t>
            </w:r>
          </w:p>
        </w:tc>
      </w:tr>
    </w:tbl>
    <w:p w:rsidR="00B963D2" w:rsidRDefault="00B963D2" w:rsidP="00B963D2"/>
    <w:p w:rsidR="00E27F1C" w:rsidRDefault="00E27F1C" w:rsidP="00B963D2"/>
    <w:p w:rsidR="00642724" w:rsidRPr="00F566C3" w:rsidRDefault="00642724" w:rsidP="00B963D2"/>
    <w:tbl>
      <w:tblPr>
        <w:tblW w:w="4966" w:type="pct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2"/>
        <w:gridCol w:w="1074"/>
        <w:gridCol w:w="1073"/>
        <w:gridCol w:w="941"/>
        <w:gridCol w:w="940"/>
        <w:gridCol w:w="940"/>
        <w:gridCol w:w="940"/>
        <w:gridCol w:w="995"/>
      </w:tblGrid>
      <w:tr w:rsidR="00E27F1C" w:rsidRPr="00F06093" w:rsidTr="009704CC">
        <w:tc>
          <w:tcPr>
            <w:tcW w:w="9065" w:type="dxa"/>
            <w:gridSpan w:val="8"/>
            <w:shd w:val="clear" w:color="auto" w:fill="auto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b/>
                <w:bCs/>
                <w:lang w:eastAsia="en-US"/>
              </w:rPr>
            </w:pPr>
            <w:r w:rsidRPr="00C32BD2">
              <w:rPr>
                <w:b/>
                <w:bCs/>
                <w:lang w:eastAsia="en-US"/>
              </w:rPr>
              <w:t>III. Tiesību akta projekta ietekme uz valsts budžetu un pašvaldību budžetiem</w:t>
            </w:r>
          </w:p>
        </w:tc>
      </w:tr>
      <w:tr w:rsidR="00E27F1C" w:rsidRPr="00F06093" w:rsidTr="009704CC">
        <w:tc>
          <w:tcPr>
            <w:tcW w:w="2162" w:type="dxa"/>
            <w:vMerge w:val="restart"/>
            <w:shd w:val="clear" w:color="auto" w:fill="FFFFFF"/>
            <w:vAlign w:val="center"/>
          </w:tcPr>
          <w:p w:rsidR="00E27F1C" w:rsidRPr="00C32BD2" w:rsidRDefault="00E27F1C" w:rsidP="004810C9">
            <w:pPr>
              <w:jc w:val="center"/>
              <w:rPr>
                <w:bCs/>
                <w:lang w:eastAsia="en-US"/>
              </w:rPr>
            </w:pPr>
            <w:r w:rsidRPr="00C32BD2">
              <w:rPr>
                <w:bCs/>
                <w:lang w:eastAsia="en-US"/>
              </w:rPr>
              <w:t>Rādītāji</w:t>
            </w:r>
          </w:p>
        </w:tc>
        <w:tc>
          <w:tcPr>
            <w:tcW w:w="2147" w:type="dxa"/>
            <w:gridSpan w:val="2"/>
            <w:vMerge w:val="restart"/>
            <w:shd w:val="clear" w:color="auto" w:fill="FFFFFF"/>
            <w:vAlign w:val="center"/>
            <w:hideMark/>
          </w:tcPr>
          <w:p w:rsidR="00E27F1C" w:rsidRPr="00C2201B" w:rsidRDefault="00E27F1C" w:rsidP="00C2201B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C2201B">
              <w:rPr>
                <w:bCs/>
                <w:color w:val="000000" w:themeColor="text1"/>
                <w:lang w:eastAsia="en-US"/>
              </w:rPr>
              <w:t>20</w:t>
            </w:r>
            <w:r w:rsidR="00C2201B" w:rsidRPr="00C2201B">
              <w:rPr>
                <w:bCs/>
                <w:color w:val="000000" w:themeColor="text1"/>
                <w:lang w:eastAsia="en-US"/>
              </w:rPr>
              <w:t>20</w:t>
            </w:r>
            <w:r w:rsidRPr="00C2201B">
              <w:rPr>
                <w:bCs/>
                <w:color w:val="000000" w:themeColor="text1"/>
                <w:lang w:eastAsia="en-US"/>
              </w:rPr>
              <w:t>.gads</w:t>
            </w:r>
          </w:p>
        </w:tc>
        <w:tc>
          <w:tcPr>
            <w:tcW w:w="4756" w:type="dxa"/>
            <w:gridSpan w:val="5"/>
            <w:shd w:val="clear" w:color="auto" w:fill="FFFFFF"/>
            <w:vAlign w:val="center"/>
            <w:hideMark/>
          </w:tcPr>
          <w:p w:rsidR="00E27F1C" w:rsidRPr="00C2201B" w:rsidRDefault="00E27F1C" w:rsidP="004810C9">
            <w:pPr>
              <w:jc w:val="center"/>
              <w:rPr>
                <w:color w:val="000000" w:themeColor="text1"/>
                <w:lang w:eastAsia="en-US"/>
              </w:rPr>
            </w:pPr>
            <w:r w:rsidRPr="00C2201B">
              <w:rPr>
                <w:color w:val="000000" w:themeColor="text1"/>
                <w:lang w:eastAsia="en-US"/>
              </w:rPr>
              <w:t>Turpmākie trīs gadi (</w:t>
            </w:r>
            <w:r w:rsidRPr="00C2201B">
              <w:rPr>
                <w:i/>
                <w:iCs/>
                <w:color w:val="000000" w:themeColor="text1"/>
                <w:lang w:eastAsia="en-US"/>
              </w:rPr>
              <w:t>euro</w:t>
            </w:r>
            <w:r w:rsidRPr="00C2201B">
              <w:rPr>
                <w:color w:val="000000" w:themeColor="text1"/>
                <w:lang w:eastAsia="en-US"/>
              </w:rPr>
              <w:t>)</w:t>
            </w:r>
          </w:p>
        </w:tc>
      </w:tr>
      <w:tr w:rsidR="00E27F1C" w:rsidRPr="00F06093" w:rsidTr="009704CC"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47" w:type="dxa"/>
            <w:gridSpan w:val="2"/>
            <w:vMerge/>
            <w:shd w:val="clear" w:color="auto" w:fill="auto"/>
            <w:vAlign w:val="center"/>
            <w:hideMark/>
          </w:tcPr>
          <w:p w:rsidR="00E27F1C" w:rsidRPr="00C2201B" w:rsidRDefault="00E27F1C" w:rsidP="004810C9">
            <w:pPr>
              <w:jc w:val="center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1881" w:type="dxa"/>
            <w:gridSpan w:val="2"/>
            <w:shd w:val="clear" w:color="auto" w:fill="FFFFFF"/>
            <w:vAlign w:val="center"/>
            <w:hideMark/>
          </w:tcPr>
          <w:p w:rsidR="00E27F1C" w:rsidRPr="00C2201B" w:rsidRDefault="00E27F1C" w:rsidP="00C2201B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C2201B">
              <w:rPr>
                <w:bCs/>
                <w:color w:val="000000" w:themeColor="text1"/>
                <w:lang w:eastAsia="en-US"/>
              </w:rPr>
              <w:t>20</w:t>
            </w:r>
            <w:r w:rsidR="00C2201B" w:rsidRPr="00C2201B">
              <w:rPr>
                <w:bCs/>
                <w:color w:val="000000" w:themeColor="text1"/>
                <w:lang w:eastAsia="en-US"/>
              </w:rPr>
              <w:t>21</w:t>
            </w:r>
            <w:r w:rsidRPr="00C2201B">
              <w:rPr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1880" w:type="dxa"/>
            <w:gridSpan w:val="2"/>
            <w:shd w:val="clear" w:color="auto" w:fill="FFFFFF"/>
            <w:vAlign w:val="center"/>
            <w:hideMark/>
          </w:tcPr>
          <w:p w:rsidR="00E27F1C" w:rsidRPr="00C2201B" w:rsidRDefault="00E27F1C" w:rsidP="004810C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C2201B">
              <w:rPr>
                <w:bCs/>
                <w:color w:val="000000" w:themeColor="text1"/>
                <w:lang w:eastAsia="en-US"/>
              </w:rPr>
              <w:t>2</w:t>
            </w:r>
            <w:r w:rsidR="00C2201B" w:rsidRPr="00C2201B">
              <w:rPr>
                <w:bCs/>
                <w:color w:val="000000" w:themeColor="text1"/>
                <w:lang w:eastAsia="en-US"/>
              </w:rPr>
              <w:t>022</w:t>
            </w:r>
            <w:r w:rsidRPr="00C2201B">
              <w:rPr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995" w:type="dxa"/>
            <w:shd w:val="clear" w:color="auto" w:fill="FFFFFF"/>
            <w:vAlign w:val="center"/>
            <w:hideMark/>
          </w:tcPr>
          <w:p w:rsidR="00E27F1C" w:rsidRPr="00C2201B" w:rsidRDefault="00C2201B" w:rsidP="004810C9">
            <w:pPr>
              <w:jc w:val="center"/>
              <w:rPr>
                <w:bCs/>
                <w:color w:val="000000" w:themeColor="text1"/>
                <w:lang w:eastAsia="en-US"/>
              </w:rPr>
            </w:pPr>
            <w:r w:rsidRPr="00C2201B">
              <w:rPr>
                <w:bCs/>
                <w:color w:val="000000" w:themeColor="text1"/>
                <w:lang w:eastAsia="en-US"/>
              </w:rPr>
              <w:t>2023</w:t>
            </w:r>
            <w:r w:rsidR="00E27F1C" w:rsidRPr="00C2201B">
              <w:rPr>
                <w:bCs/>
                <w:color w:val="000000" w:themeColor="text1"/>
                <w:lang w:eastAsia="en-US"/>
              </w:rPr>
              <w:t>.</w:t>
            </w:r>
          </w:p>
        </w:tc>
      </w:tr>
      <w:tr w:rsidR="00E27F1C" w:rsidRPr="00F06093" w:rsidTr="009704CC"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saskaņā ar valsts budžetu kārtējam gadam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izmaiņas kārtējā gadā, salīdzinot ar valsts budžetu kārtējam gadam</w:t>
            </w:r>
          </w:p>
        </w:tc>
        <w:tc>
          <w:tcPr>
            <w:tcW w:w="941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saskaņā ar vidēja termiņa budžeta ietvaru</w:t>
            </w:r>
          </w:p>
        </w:tc>
        <w:tc>
          <w:tcPr>
            <w:tcW w:w="940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izmaiņas, salīdzinot ar vidēja termiņa budžeta ietvaru n+1 gadam</w:t>
            </w:r>
          </w:p>
        </w:tc>
        <w:tc>
          <w:tcPr>
            <w:tcW w:w="940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saskaņā ar vidēja termiņa budžeta ietvaru</w:t>
            </w:r>
          </w:p>
        </w:tc>
        <w:tc>
          <w:tcPr>
            <w:tcW w:w="940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izmaiņas, salīdzinot ar vidēja termiņa budžeta ietvaru n+2 gadam</w:t>
            </w:r>
          </w:p>
        </w:tc>
        <w:tc>
          <w:tcPr>
            <w:tcW w:w="995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 xml:space="preserve">izmaiņas, salīdzinot ar vidēja termiņa budžeta ietvaru </w:t>
            </w:r>
            <w:r w:rsidRPr="00C32BD2">
              <w:rPr>
                <w:lang w:eastAsia="en-US"/>
              </w:rPr>
              <w:br/>
              <w:t>n+2 gadam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1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2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3</w:t>
            </w:r>
          </w:p>
        </w:tc>
        <w:tc>
          <w:tcPr>
            <w:tcW w:w="941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4</w:t>
            </w:r>
          </w:p>
        </w:tc>
        <w:tc>
          <w:tcPr>
            <w:tcW w:w="940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5</w:t>
            </w:r>
          </w:p>
        </w:tc>
        <w:tc>
          <w:tcPr>
            <w:tcW w:w="940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6</w:t>
            </w:r>
          </w:p>
        </w:tc>
        <w:tc>
          <w:tcPr>
            <w:tcW w:w="940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7</w:t>
            </w:r>
          </w:p>
        </w:tc>
        <w:tc>
          <w:tcPr>
            <w:tcW w:w="995" w:type="dxa"/>
            <w:shd w:val="clear" w:color="auto" w:fill="FFFFFF"/>
            <w:vAlign w:val="center"/>
            <w:hideMark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  <w:r w:rsidRPr="00C32BD2">
              <w:rPr>
                <w:lang w:eastAsia="en-US"/>
              </w:rPr>
              <w:t>8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FFFFFF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1. Budžeta ieņēmumi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1.1. valsts pamatbudžets, tai skaitā ieņēmumi no maksas pakalpojumiem un citi pašu ieņēmumi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1.2. valsts speciālais 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1.3. pašvaldību 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2. Budžeta izdevumi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2.1. valsts pamatbudžets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2.2. valsts speciālais 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2.3. pašvaldību 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3. Finansiālā ietekme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3.1. valsts pamatbudžets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9704CC">
            <w:pPr>
              <w:ind w:left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3.2. speciālais 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3.3. pašvaldību budžets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4. Finanšu līdzekļi papildu izdevumu finansēšanai (kompensējošu izdevumu samazinājumu norāda ar "+" zīmi)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5. Precizēta finansiālā ietekme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 xml:space="preserve">5.1. valsts </w:t>
            </w:r>
            <w:r w:rsidRPr="00C32BD2">
              <w:rPr>
                <w:lang w:eastAsia="en-US"/>
              </w:rPr>
              <w:lastRenderedPageBreak/>
              <w:t>pamatbudžets</w:t>
            </w: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lastRenderedPageBreak/>
              <w:t>5.2. speciālais budžets</w:t>
            </w: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5.3. pašvaldību budžets</w:t>
            </w: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40" w:type="dxa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27F1C" w:rsidRPr="00C32BD2" w:rsidRDefault="003B576A" w:rsidP="00481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6. Detalizēts ieņēmumu un izdevumu aprēķins (ja nepieciešams, detalizētu ieņēmumu un izdevumu aprēķinu var pievienot anotācijas pielikumā)</w:t>
            </w:r>
          </w:p>
          <w:p w:rsidR="00E27F1C" w:rsidRPr="00C32BD2" w:rsidRDefault="00E27F1C">
            <w:pPr>
              <w:rPr>
                <w:lang w:eastAsia="en-US"/>
              </w:rPr>
            </w:pPr>
          </w:p>
        </w:tc>
        <w:tc>
          <w:tcPr>
            <w:tcW w:w="6903" w:type="dxa"/>
            <w:gridSpan w:val="7"/>
            <w:vMerge w:val="restart"/>
            <w:shd w:val="clear" w:color="auto" w:fill="auto"/>
          </w:tcPr>
          <w:p w:rsidR="00E27F1C" w:rsidRPr="00C32BD2" w:rsidRDefault="003B576A" w:rsidP="004810C9">
            <w:pPr>
              <w:pStyle w:val="NormalWebCharChar"/>
              <w:shd w:val="clear" w:color="auto" w:fill="FFFFFF"/>
              <w:spacing w:before="0" w:after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Projekts šo jomu neskar.</w:t>
            </w:r>
          </w:p>
        </w:tc>
      </w:tr>
      <w:tr w:rsidR="00E27F1C" w:rsidRPr="00F06093" w:rsidTr="009704CC">
        <w:trPr>
          <w:trHeight w:val="1170"/>
        </w:trPr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6.1. detalizēts ieņēmumu aprēķins</w:t>
            </w:r>
          </w:p>
          <w:p w:rsidR="00E27F1C" w:rsidRPr="00C32BD2" w:rsidRDefault="00E27F1C" w:rsidP="004810C9">
            <w:pPr>
              <w:rPr>
                <w:lang w:eastAsia="en-US"/>
              </w:rPr>
            </w:pPr>
          </w:p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6.2. detalizēts izdevumu aprēķins</w:t>
            </w:r>
          </w:p>
        </w:tc>
        <w:tc>
          <w:tcPr>
            <w:tcW w:w="6903" w:type="dxa"/>
            <w:gridSpan w:val="7"/>
            <w:vMerge/>
            <w:shd w:val="clear" w:color="auto" w:fill="auto"/>
            <w:vAlign w:val="center"/>
          </w:tcPr>
          <w:p w:rsidR="00E27F1C" w:rsidRPr="00C32BD2" w:rsidRDefault="00E27F1C" w:rsidP="004810C9">
            <w:pPr>
              <w:jc w:val="center"/>
              <w:rPr>
                <w:lang w:eastAsia="en-US"/>
              </w:rPr>
            </w:pP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7. Amata vietu skaita izmaiņas</w:t>
            </w:r>
          </w:p>
        </w:tc>
        <w:tc>
          <w:tcPr>
            <w:tcW w:w="6903" w:type="dxa"/>
            <w:gridSpan w:val="7"/>
            <w:shd w:val="clear" w:color="auto" w:fill="auto"/>
            <w:hideMark/>
          </w:tcPr>
          <w:p w:rsidR="00E27F1C" w:rsidRPr="00C32BD2" w:rsidRDefault="003B576A" w:rsidP="004810C9">
            <w:pPr>
              <w:rPr>
                <w:lang w:eastAsia="en-US"/>
              </w:rPr>
            </w:pPr>
            <w:r>
              <w:rPr>
                <w:lang w:eastAsia="en-US"/>
              </w:rPr>
              <w:t>Projekts šo jomu neskar.</w:t>
            </w:r>
          </w:p>
        </w:tc>
      </w:tr>
      <w:tr w:rsidR="00E27F1C" w:rsidRPr="00F06093" w:rsidTr="009704CC">
        <w:tc>
          <w:tcPr>
            <w:tcW w:w="2162" w:type="dxa"/>
            <w:shd w:val="clear" w:color="auto" w:fill="auto"/>
            <w:hideMark/>
          </w:tcPr>
          <w:p w:rsidR="00E27F1C" w:rsidRPr="00C32BD2" w:rsidRDefault="00E27F1C" w:rsidP="004810C9">
            <w:pPr>
              <w:rPr>
                <w:lang w:eastAsia="en-US"/>
              </w:rPr>
            </w:pPr>
            <w:r w:rsidRPr="00C32BD2">
              <w:rPr>
                <w:lang w:eastAsia="en-US"/>
              </w:rPr>
              <w:t>8. Cita informācija</w:t>
            </w:r>
          </w:p>
        </w:tc>
        <w:tc>
          <w:tcPr>
            <w:tcW w:w="6903" w:type="dxa"/>
            <w:gridSpan w:val="7"/>
            <w:shd w:val="clear" w:color="auto" w:fill="auto"/>
            <w:hideMark/>
          </w:tcPr>
          <w:p w:rsidR="00E27F1C" w:rsidRPr="00FE6178" w:rsidRDefault="00C32BD2" w:rsidP="00FE6178">
            <w:pPr>
              <w:jc w:val="both"/>
              <w:rPr>
                <w:highlight w:val="yellow"/>
              </w:rPr>
            </w:pPr>
            <w:r w:rsidRPr="00FE6178">
              <w:t>Ietekme uz valsts un pašvaldību bud</w:t>
            </w:r>
            <w:r w:rsidR="00FE6178">
              <w:t>žetu atspoguļota likumprojekta “</w:t>
            </w:r>
            <w:r w:rsidRPr="00FE6178">
              <w:t>Grozījumi Saeimas vēlēšanu</w:t>
            </w:r>
            <w:r w:rsidR="00FE6178">
              <w:t xml:space="preserve"> likumā”</w:t>
            </w:r>
            <w:r w:rsidRPr="00FE6178">
              <w:t xml:space="preserve"> sākotnējās ietekmes novērtējuma ziņojumā (anotācijā) (VSS - </w:t>
            </w:r>
            <w:r w:rsidR="00FE6178" w:rsidRPr="00FE6178">
              <w:t>368</w:t>
            </w:r>
            <w:r w:rsidRPr="00FE6178">
              <w:t>).</w:t>
            </w:r>
          </w:p>
        </w:tc>
      </w:tr>
    </w:tbl>
    <w:p w:rsidR="00B963D2" w:rsidRPr="00F566C3" w:rsidRDefault="00B963D2" w:rsidP="00B963D2"/>
    <w:tbl>
      <w:tblPr>
        <w:tblW w:w="4985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69"/>
        <w:gridCol w:w="35"/>
      </w:tblGrid>
      <w:tr w:rsidR="007B212D" w:rsidRPr="00F06093" w:rsidTr="003B576A">
        <w:trPr>
          <w:cantSplit/>
          <w:trHeight w:val="29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2D" w:rsidRPr="009704CC" w:rsidRDefault="007B212D" w:rsidP="004810C9">
            <w:pPr>
              <w:jc w:val="center"/>
              <w:rPr>
                <w:rFonts w:eastAsia="Calibri"/>
                <w:b/>
              </w:rPr>
            </w:pPr>
            <w:r w:rsidRPr="009704CC">
              <w:rPr>
                <w:rFonts w:eastAsia="Calibri"/>
                <w:b/>
              </w:rPr>
              <w:t>IV. Tiesību akta projekta ietekme uz spēkā esošo tiesību normu sistēmu</w:t>
            </w:r>
          </w:p>
        </w:tc>
      </w:tr>
      <w:tr w:rsidR="003B576A" w:rsidRPr="00F06093" w:rsidTr="009F2574">
        <w:trPr>
          <w:gridAfter w:val="1"/>
          <w:wAfter w:w="35" w:type="dxa"/>
          <w:trHeight w:val="250"/>
        </w:trPr>
        <w:tc>
          <w:tcPr>
            <w:tcW w:w="9069" w:type="dxa"/>
          </w:tcPr>
          <w:p w:rsidR="003B576A" w:rsidRPr="007035FA" w:rsidRDefault="003B576A" w:rsidP="003B576A">
            <w:pPr>
              <w:jc w:val="center"/>
              <w:rPr>
                <w:bCs/>
              </w:rPr>
            </w:pPr>
            <w:r>
              <w:rPr>
                <w:lang w:eastAsia="en-US"/>
              </w:rPr>
              <w:t>Projekts šo jomu neskar.</w:t>
            </w:r>
          </w:p>
        </w:tc>
      </w:tr>
    </w:tbl>
    <w:p w:rsidR="007B212D" w:rsidRPr="00F566C3" w:rsidRDefault="007B212D" w:rsidP="00B963D2">
      <w:pPr>
        <w:pStyle w:val="Title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31"/>
      </w:tblGrid>
      <w:tr w:rsidR="00B963D2" w:rsidRPr="00F566C3" w:rsidTr="00602C74">
        <w:trPr>
          <w:cantSplit/>
        </w:trPr>
        <w:tc>
          <w:tcPr>
            <w:tcW w:w="5000" w:type="pct"/>
            <w:vAlign w:val="center"/>
            <w:hideMark/>
          </w:tcPr>
          <w:p w:rsidR="00B963D2" w:rsidRPr="00F566C3" w:rsidRDefault="00B963D2" w:rsidP="00602C74">
            <w:pPr>
              <w:jc w:val="center"/>
              <w:rPr>
                <w:b/>
                <w:bCs/>
              </w:rPr>
            </w:pPr>
            <w:r w:rsidRPr="00F566C3">
              <w:rPr>
                <w:b/>
                <w:bCs/>
              </w:rPr>
              <w:t>V. Tiesību akta projekta atbilstība Latvijas Republikas starptautiskajām saistībām</w:t>
            </w:r>
          </w:p>
        </w:tc>
      </w:tr>
      <w:tr w:rsidR="00B963D2" w:rsidRPr="00F566C3" w:rsidTr="00602C74">
        <w:trPr>
          <w:cantSplit/>
          <w:trHeight w:val="162"/>
        </w:trPr>
        <w:tc>
          <w:tcPr>
            <w:tcW w:w="5000" w:type="pct"/>
          </w:tcPr>
          <w:p w:rsidR="00B963D2" w:rsidRPr="00F566C3" w:rsidRDefault="003B576A" w:rsidP="00602C74">
            <w:pPr>
              <w:jc w:val="center"/>
            </w:pPr>
            <w:r>
              <w:t>P</w:t>
            </w:r>
            <w:r w:rsidR="00B963D2" w:rsidRPr="00F566C3">
              <w:t>rojekts šo jomu neskar.</w:t>
            </w:r>
          </w:p>
        </w:tc>
      </w:tr>
    </w:tbl>
    <w:p w:rsidR="00B963D2" w:rsidRPr="00F566C3" w:rsidRDefault="00B963D2" w:rsidP="00B963D2">
      <w:pPr>
        <w:pStyle w:val="Title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701"/>
        <w:gridCol w:w="5862"/>
      </w:tblGrid>
      <w:tr w:rsidR="00B963D2" w:rsidRPr="00F566C3" w:rsidTr="00B20B29">
        <w:tc>
          <w:tcPr>
            <w:tcW w:w="5000" w:type="pct"/>
            <w:gridSpan w:val="3"/>
            <w:vAlign w:val="center"/>
            <w:hideMark/>
          </w:tcPr>
          <w:p w:rsidR="00B963D2" w:rsidRPr="00F566C3" w:rsidRDefault="00B963D2" w:rsidP="00602C74">
            <w:pPr>
              <w:jc w:val="center"/>
              <w:rPr>
                <w:b/>
                <w:bCs/>
              </w:rPr>
            </w:pPr>
            <w:r w:rsidRPr="00F566C3">
              <w:rPr>
                <w:b/>
                <w:bCs/>
              </w:rPr>
              <w:t>VI. Sabiedrības līdzdalība un komunikācijas aktivitātes</w:t>
            </w:r>
          </w:p>
        </w:tc>
      </w:tr>
      <w:tr w:rsidR="00B963D2" w:rsidRPr="00F566C3" w:rsidTr="00B20B29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1.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Plānotās sabiedrības līdzdalības un komunikācijas aktivitātes saistībā ar projektu</w:t>
            </w:r>
          </w:p>
        </w:tc>
        <w:tc>
          <w:tcPr>
            <w:tcW w:w="3210" w:type="pct"/>
            <w:hideMark/>
          </w:tcPr>
          <w:p w:rsidR="00B963D2" w:rsidRPr="007035FA" w:rsidRDefault="004675C1" w:rsidP="007035FA">
            <w:pPr>
              <w:jc w:val="both"/>
              <w:rPr>
                <w:color w:val="000000" w:themeColor="text1"/>
              </w:rPr>
            </w:pPr>
            <w:r w:rsidRPr="004675C1">
              <w:rPr>
                <w:color w:val="000000" w:themeColor="text1"/>
              </w:rPr>
              <w:t>Atbilstoši Ministru kabineta 2009. gada 25. augusta noteikumiem Nr. 970 "Sabiedrības līdzdalības kārtība attīstības plānošanas procesā", lai informēt</w:t>
            </w:r>
            <w:r>
              <w:rPr>
                <w:color w:val="000000" w:themeColor="text1"/>
              </w:rPr>
              <w:t xml:space="preserve">u sabiedrību par likumprojektu </w:t>
            </w:r>
            <w:r w:rsidRPr="004675C1">
              <w:rPr>
                <w:color w:val="000000" w:themeColor="text1"/>
              </w:rPr>
              <w:t>un dotu iespēju izteikt viedokli, informācija par likumprojektu ievietota Iekšlietu ministrijas un Valsts kancelejas tīmekļa vietnē.</w:t>
            </w:r>
          </w:p>
        </w:tc>
      </w:tr>
      <w:tr w:rsidR="00B963D2" w:rsidRPr="00F566C3" w:rsidTr="00B20B29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2.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Sabiedrības līdzdalība projekta izstrādē</w:t>
            </w:r>
          </w:p>
        </w:tc>
        <w:tc>
          <w:tcPr>
            <w:tcW w:w="3210" w:type="pct"/>
            <w:hideMark/>
          </w:tcPr>
          <w:p w:rsidR="00B963D2" w:rsidRPr="00F566C3" w:rsidRDefault="001E08AA" w:rsidP="001E08AA">
            <w:pPr>
              <w:jc w:val="both"/>
            </w:pPr>
            <w:r w:rsidRPr="001E08AA">
              <w:rPr>
                <w:rFonts w:eastAsia="Calibri"/>
              </w:rPr>
              <w:t xml:space="preserve">Lai nodrošinātu efektīvu, atklātu, ietverošu, </w:t>
            </w:r>
            <w:r>
              <w:rPr>
                <w:rFonts w:eastAsia="Calibri"/>
              </w:rPr>
              <w:t>sav</w:t>
            </w:r>
            <w:r w:rsidRPr="001E08AA">
              <w:rPr>
                <w:rFonts w:eastAsia="Calibri"/>
              </w:rPr>
              <w:t xml:space="preserve">laicīgu un atbildīgu sabiedrības līdzdalību, un sabiedrības pārstāvjiem nodrošinātu iespēju </w:t>
            </w:r>
            <w:r>
              <w:rPr>
                <w:rFonts w:eastAsia="Calibri"/>
              </w:rPr>
              <w:t xml:space="preserve">rakstiski sniegt viedokli </w:t>
            </w:r>
            <w:r w:rsidRPr="001E08AA">
              <w:rPr>
                <w:rFonts w:eastAsia="Calibri"/>
              </w:rPr>
              <w:t xml:space="preserve">par likumprojektu tā izstrādes stadijā, informācija par likumprojektu ievietota Iekšlietu ministrijas tīmekļa vietnē sadaļas “Sabiedrības līdzdalība” apakšsadaļā “Diskusiju dokumenti”.  </w:t>
            </w:r>
          </w:p>
        </w:tc>
      </w:tr>
      <w:tr w:rsidR="00B963D2" w:rsidRPr="00F566C3" w:rsidTr="00B20B29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3.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 xml:space="preserve">Sabiedrības līdzdalības </w:t>
            </w:r>
            <w:r w:rsidRPr="00F566C3">
              <w:lastRenderedPageBreak/>
              <w:t>rezultāti</w:t>
            </w:r>
          </w:p>
        </w:tc>
        <w:tc>
          <w:tcPr>
            <w:tcW w:w="3210" w:type="pct"/>
            <w:hideMark/>
          </w:tcPr>
          <w:p w:rsidR="00B963D2" w:rsidRPr="00F566C3" w:rsidRDefault="001E08AA" w:rsidP="001E08AA">
            <w:pPr>
              <w:jc w:val="center"/>
            </w:pPr>
            <w:r w:rsidRPr="001E08AA">
              <w:lastRenderedPageBreak/>
              <w:t>Sadaļa tiks aizpildīta pēc viedokļu saņemšanas.</w:t>
            </w:r>
          </w:p>
        </w:tc>
      </w:tr>
      <w:tr w:rsidR="00B963D2" w:rsidRPr="00F566C3" w:rsidTr="00B20B29"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lastRenderedPageBreak/>
              <w:t>4.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Cita informācija</w:t>
            </w:r>
          </w:p>
        </w:tc>
        <w:tc>
          <w:tcPr>
            <w:tcW w:w="3210" w:type="pct"/>
            <w:hideMark/>
          </w:tcPr>
          <w:p w:rsidR="00B963D2" w:rsidRPr="00F566C3" w:rsidRDefault="00B963D2" w:rsidP="00602C74">
            <w:r w:rsidRPr="00F566C3">
              <w:t>Nav.</w:t>
            </w:r>
          </w:p>
        </w:tc>
      </w:tr>
    </w:tbl>
    <w:p w:rsidR="00B963D2" w:rsidRPr="00F566C3" w:rsidRDefault="00B963D2" w:rsidP="00B963D2">
      <w:pPr>
        <w:pStyle w:val="Title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701"/>
        <w:gridCol w:w="5862"/>
      </w:tblGrid>
      <w:tr w:rsidR="00B963D2" w:rsidRPr="00F566C3" w:rsidTr="00602C74">
        <w:trPr>
          <w:cantSplit/>
        </w:trPr>
        <w:tc>
          <w:tcPr>
            <w:tcW w:w="5000" w:type="pct"/>
            <w:gridSpan w:val="3"/>
            <w:vAlign w:val="center"/>
            <w:hideMark/>
          </w:tcPr>
          <w:p w:rsidR="00B963D2" w:rsidRPr="00F566C3" w:rsidRDefault="00B963D2" w:rsidP="00602C74">
            <w:pPr>
              <w:jc w:val="center"/>
              <w:rPr>
                <w:b/>
                <w:bCs/>
              </w:rPr>
            </w:pPr>
            <w:r w:rsidRPr="00F566C3">
              <w:rPr>
                <w:b/>
                <w:bCs/>
              </w:rPr>
              <w:t>VII. Tiesību akta projekta izpildes nodrošināšana un tās ietekme uz institūcijām</w:t>
            </w:r>
          </w:p>
          <w:p w:rsidR="00B963D2" w:rsidRPr="00F566C3" w:rsidRDefault="00B963D2" w:rsidP="00602C74"/>
          <w:p w:rsidR="00B963D2" w:rsidRPr="00F566C3" w:rsidRDefault="00B963D2" w:rsidP="00602C74"/>
        </w:tc>
      </w:tr>
      <w:tr w:rsidR="00B963D2" w:rsidRPr="00F566C3" w:rsidTr="00602C74">
        <w:trPr>
          <w:cantSplit/>
        </w:trPr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1.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Projekta izpildē iesaistītās institūcijas</w:t>
            </w:r>
          </w:p>
        </w:tc>
        <w:tc>
          <w:tcPr>
            <w:tcW w:w="3210" w:type="pct"/>
            <w:hideMark/>
          </w:tcPr>
          <w:p w:rsidR="00B963D2" w:rsidRPr="00F566C3" w:rsidRDefault="00B963D2" w:rsidP="00FE6178">
            <w:r w:rsidRPr="00F566C3">
              <w:t>Pilsonības un migrāci</w:t>
            </w:r>
            <w:r w:rsidR="009A2DB9">
              <w:t xml:space="preserve">jas lietu pārvalde, </w:t>
            </w:r>
            <w:r w:rsidR="00FE6178">
              <w:t>Centrālā vēlēšanu komisija</w:t>
            </w:r>
          </w:p>
        </w:tc>
      </w:tr>
      <w:tr w:rsidR="00B963D2" w:rsidRPr="00F566C3" w:rsidTr="00602C74">
        <w:trPr>
          <w:cantSplit/>
        </w:trPr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2.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Projekta izpildes ietekme uz pārvaldes funkcijām un institucionālo struktūru.</w:t>
            </w:r>
            <w:r w:rsidRPr="00F566C3"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210" w:type="pct"/>
            <w:hideMark/>
          </w:tcPr>
          <w:p w:rsidR="00B963D2" w:rsidRPr="00F566C3" w:rsidRDefault="00B963D2" w:rsidP="00602C74">
            <w:pPr>
              <w:jc w:val="both"/>
            </w:pPr>
            <w:r w:rsidRPr="00F566C3">
              <w:t>Projekta izpildes rezultātā nav paredzēta esošu institūciju likvidācija vai reorganizācija. Iestāžu institucionālā struktūra netiek ietekmēta, papildus cilvēkresursi nav nepieciešami.</w:t>
            </w:r>
          </w:p>
        </w:tc>
      </w:tr>
      <w:tr w:rsidR="00B963D2" w:rsidRPr="00F566C3" w:rsidTr="00602C74">
        <w:trPr>
          <w:cantSplit/>
        </w:trPr>
        <w:tc>
          <w:tcPr>
            <w:tcW w:w="311" w:type="pct"/>
            <w:hideMark/>
          </w:tcPr>
          <w:p w:rsidR="00B963D2" w:rsidRPr="00F566C3" w:rsidRDefault="00B963D2" w:rsidP="00602C74">
            <w:pPr>
              <w:jc w:val="center"/>
            </w:pPr>
            <w:r w:rsidRPr="00F566C3">
              <w:t>3.</w:t>
            </w:r>
          </w:p>
        </w:tc>
        <w:tc>
          <w:tcPr>
            <w:tcW w:w="1479" w:type="pct"/>
            <w:hideMark/>
          </w:tcPr>
          <w:p w:rsidR="00B963D2" w:rsidRPr="00F566C3" w:rsidRDefault="00B963D2" w:rsidP="00602C74">
            <w:r w:rsidRPr="00F566C3">
              <w:t>Cita informācija</w:t>
            </w:r>
          </w:p>
        </w:tc>
        <w:tc>
          <w:tcPr>
            <w:tcW w:w="3210" w:type="pct"/>
            <w:hideMark/>
          </w:tcPr>
          <w:p w:rsidR="00B963D2" w:rsidRPr="00F566C3" w:rsidRDefault="00B963D2" w:rsidP="00602C74">
            <w:r w:rsidRPr="00F566C3">
              <w:t>Nav.</w:t>
            </w:r>
          </w:p>
        </w:tc>
      </w:tr>
    </w:tbl>
    <w:p w:rsidR="00B963D2" w:rsidRPr="00F566C3" w:rsidRDefault="00B963D2" w:rsidP="00B963D2">
      <w:pPr>
        <w:tabs>
          <w:tab w:val="left" w:pos="6521"/>
        </w:tabs>
        <w:jc w:val="both"/>
      </w:pPr>
    </w:p>
    <w:p w:rsidR="00B963D2" w:rsidRPr="00F566C3" w:rsidRDefault="00B963D2" w:rsidP="00B963D2">
      <w:pPr>
        <w:tabs>
          <w:tab w:val="left" w:pos="6521"/>
        </w:tabs>
        <w:jc w:val="both"/>
      </w:pPr>
    </w:p>
    <w:p w:rsidR="00B963D2" w:rsidRPr="00F566C3" w:rsidRDefault="00B963D2" w:rsidP="00B963D2">
      <w:pPr>
        <w:tabs>
          <w:tab w:val="left" w:pos="6521"/>
        </w:tabs>
        <w:jc w:val="both"/>
      </w:pPr>
      <w:r w:rsidRPr="00F566C3">
        <w:t>Iekšlietu ministrs</w:t>
      </w:r>
      <w:r w:rsidRPr="00F566C3">
        <w:tab/>
      </w:r>
      <w:r w:rsidRPr="00F566C3">
        <w:tab/>
      </w:r>
      <w:r w:rsidR="00F566C3">
        <w:t>S.Ģirģens</w:t>
      </w:r>
    </w:p>
    <w:p w:rsidR="00B963D2" w:rsidRPr="00F566C3" w:rsidRDefault="00B963D2" w:rsidP="00B963D2">
      <w:pPr>
        <w:tabs>
          <w:tab w:val="left" w:pos="6521"/>
        </w:tabs>
        <w:jc w:val="both"/>
      </w:pPr>
    </w:p>
    <w:p w:rsidR="00B963D2" w:rsidRPr="00F566C3" w:rsidRDefault="00B963D2" w:rsidP="00B963D2">
      <w:pPr>
        <w:pStyle w:val="naisf"/>
        <w:spacing w:before="0" w:after="0"/>
        <w:rPr>
          <w:szCs w:val="24"/>
        </w:rPr>
      </w:pPr>
    </w:p>
    <w:p w:rsidR="00B963D2" w:rsidRPr="00F566C3" w:rsidRDefault="00B963D2" w:rsidP="00B963D2">
      <w:pPr>
        <w:pStyle w:val="naisf"/>
        <w:spacing w:before="0" w:after="0"/>
        <w:rPr>
          <w:szCs w:val="24"/>
        </w:rPr>
      </w:pPr>
      <w:r w:rsidRPr="00F566C3">
        <w:rPr>
          <w:szCs w:val="24"/>
        </w:rPr>
        <w:t>Vīza: valsts sekretārs</w:t>
      </w:r>
      <w:r w:rsidRPr="00F566C3">
        <w:rPr>
          <w:szCs w:val="24"/>
        </w:rPr>
        <w:tab/>
      </w:r>
      <w:r w:rsidRPr="00F566C3">
        <w:rPr>
          <w:szCs w:val="24"/>
        </w:rPr>
        <w:tab/>
      </w:r>
      <w:r w:rsidRPr="00F566C3">
        <w:rPr>
          <w:szCs w:val="24"/>
        </w:rPr>
        <w:tab/>
      </w:r>
      <w:r w:rsidRPr="00F566C3">
        <w:rPr>
          <w:szCs w:val="24"/>
        </w:rPr>
        <w:tab/>
      </w:r>
      <w:r w:rsidRPr="00F566C3">
        <w:rPr>
          <w:szCs w:val="24"/>
        </w:rPr>
        <w:tab/>
      </w:r>
      <w:r w:rsidRPr="00F566C3">
        <w:rPr>
          <w:szCs w:val="24"/>
        </w:rPr>
        <w:tab/>
      </w:r>
      <w:r w:rsidRPr="00F566C3">
        <w:rPr>
          <w:szCs w:val="24"/>
        </w:rPr>
        <w:tab/>
      </w:r>
      <w:r w:rsidRPr="00F566C3">
        <w:rPr>
          <w:szCs w:val="24"/>
        </w:rPr>
        <w:tab/>
        <w:t>D.Trofimovs</w:t>
      </w:r>
    </w:p>
    <w:p w:rsidR="00B963D2" w:rsidRPr="00F566C3" w:rsidRDefault="00B963D2" w:rsidP="00B963D2">
      <w:pPr>
        <w:pStyle w:val="naisf"/>
        <w:spacing w:before="0" w:after="0"/>
        <w:rPr>
          <w:szCs w:val="24"/>
        </w:rPr>
      </w:pPr>
    </w:p>
    <w:p w:rsidR="00B963D2" w:rsidRPr="00F566C3" w:rsidRDefault="00B963D2" w:rsidP="00B963D2">
      <w:pPr>
        <w:pStyle w:val="naisf"/>
        <w:spacing w:before="0" w:after="0"/>
        <w:rPr>
          <w:szCs w:val="24"/>
        </w:rPr>
      </w:pPr>
    </w:p>
    <w:p w:rsidR="00212F0D" w:rsidRPr="00F566C3" w:rsidRDefault="00212F0D" w:rsidP="00B963D2">
      <w:pPr>
        <w:pStyle w:val="naisf"/>
        <w:spacing w:before="0" w:after="0"/>
        <w:rPr>
          <w:szCs w:val="24"/>
        </w:rPr>
      </w:pPr>
    </w:p>
    <w:p w:rsidR="00212F0D" w:rsidRPr="00F566C3" w:rsidRDefault="00212F0D" w:rsidP="00B963D2">
      <w:pPr>
        <w:pStyle w:val="naisf"/>
        <w:spacing w:before="0" w:after="0"/>
        <w:rPr>
          <w:szCs w:val="24"/>
        </w:rPr>
      </w:pPr>
    </w:p>
    <w:p w:rsidR="00B963D2" w:rsidRPr="00F566C3" w:rsidRDefault="009A2DB9" w:rsidP="00B963D2">
      <w:pPr>
        <w:jc w:val="both"/>
        <w:rPr>
          <w:sz w:val="20"/>
          <w:szCs w:val="20"/>
        </w:rPr>
      </w:pPr>
      <w:r>
        <w:rPr>
          <w:sz w:val="20"/>
          <w:szCs w:val="20"/>
        </w:rPr>
        <w:t>Semenjuka</w:t>
      </w:r>
      <w:r w:rsidR="00B963D2" w:rsidRPr="00F566C3">
        <w:rPr>
          <w:sz w:val="20"/>
          <w:szCs w:val="20"/>
        </w:rPr>
        <w:t>, 67</w:t>
      </w:r>
      <w:r>
        <w:rPr>
          <w:sz w:val="20"/>
          <w:szCs w:val="20"/>
        </w:rPr>
        <w:t>29730</w:t>
      </w:r>
    </w:p>
    <w:p w:rsidR="00B963D2" w:rsidRPr="0030469F" w:rsidRDefault="005830BF" w:rsidP="00B963D2">
      <w:pPr>
        <w:jc w:val="both"/>
        <w:rPr>
          <w:sz w:val="20"/>
          <w:szCs w:val="20"/>
        </w:rPr>
      </w:pPr>
      <w:hyperlink r:id="rId7" w:history="1">
        <w:r w:rsidR="009A2DB9" w:rsidRPr="009C1FFC">
          <w:rPr>
            <w:rStyle w:val="Hyperlink"/>
            <w:sz w:val="20"/>
            <w:szCs w:val="20"/>
          </w:rPr>
          <w:t>zanna.semenjuka@pmlp.gov.lv</w:t>
        </w:r>
      </w:hyperlink>
      <w:r w:rsidR="009A2DB9">
        <w:rPr>
          <w:sz w:val="20"/>
          <w:szCs w:val="20"/>
        </w:rPr>
        <w:t xml:space="preserve"> </w:t>
      </w:r>
    </w:p>
    <w:sectPr w:rsidR="00B963D2" w:rsidRPr="0030469F" w:rsidSect="00212F0D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BF" w:rsidRDefault="005830BF" w:rsidP="00C558A8">
      <w:r>
        <w:separator/>
      </w:r>
    </w:p>
  </w:endnote>
  <w:endnote w:type="continuationSeparator" w:id="0">
    <w:p w:rsidR="005830BF" w:rsidRDefault="005830BF" w:rsidP="00C5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77" w:rsidRPr="009704CC" w:rsidRDefault="00666A77" w:rsidP="00666A77">
    <w:pPr>
      <w:pStyle w:val="Footer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IEMAnot_</w:t>
    </w:r>
    <w:r w:rsidR="006351E2">
      <w:rPr>
        <w:color w:val="000000"/>
        <w:sz w:val="20"/>
        <w:szCs w:val="20"/>
      </w:rPr>
      <w:t>02</w:t>
    </w:r>
    <w:r w:rsidR="00642724">
      <w:rPr>
        <w:color w:val="000000"/>
        <w:sz w:val="20"/>
        <w:szCs w:val="20"/>
      </w:rPr>
      <w:t>10</w:t>
    </w:r>
    <w:r>
      <w:rPr>
        <w:color w:val="000000"/>
        <w:sz w:val="20"/>
        <w:szCs w:val="20"/>
      </w:rPr>
      <w:t>20_VR</w:t>
    </w:r>
    <w:r w:rsidR="00642724">
      <w:rPr>
        <w:color w:val="000000"/>
        <w:sz w:val="20"/>
        <w:szCs w:val="20"/>
      </w:rPr>
      <w:t>L</w:t>
    </w:r>
  </w:p>
  <w:p w:rsidR="004810C9" w:rsidRPr="00666A77" w:rsidRDefault="004810C9" w:rsidP="00666A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0C9" w:rsidRPr="009704CC" w:rsidRDefault="004810C9" w:rsidP="00602C74">
    <w:pPr>
      <w:pStyle w:val="Footer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IEMAnot_</w:t>
    </w:r>
    <w:r w:rsidR="006351E2">
      <w:rPr>
        <w:color w:val="000000"/>
        <w:sz w:val="20"/>
        <w:szCs w:val="20"/>
      </w:rPr>
      <w:t>02</w:t>
    </w:r>
    <w:r w:rsidR="00642724">
      <w:rPr>
        <w:color w:val="000000"/>
        <w:sz w:val="20"/>
        <w:szCs w:val="20"/>
      </w:rPr>
      <w:t>102</w:t>
    </w:r>
    <w:r w:rsidR="00D859B3">
      <w:rPr>
        <w:color w:val="000000"/>
        <w:sz w:val="20"/>
        <w:szCs w:val="20"/>
      </w:rPr>
      <w:t>0_Groz</w:t>
    </w:r>
    <w:r>
      <w:rPr>
        <w:color w:val="000000"/>
        <w:sz w:val="20"/>
        <w:szCs w:val="20"/>
      </w:rPr>
      <w:t>_</w:t>
    </w:r>
    <w:r w:rsidR="00666A77">
      <w:rPr>
        <w:color w:val="000000"/>
        <w:sz w:val="20"/>
        <w:szCs w:val="20"/>
      </w:rPr>
      <w:t>V</w:t>
    </w:r>
    <w:r>
      <w:rPr>
        <w:color w:val="000000"/>
        <w:sz w:val="20"/>
        <w:szCs w:val="20"/>
      </w:rPr>
      <w:t>R</w:t>
    </w:r>
    <w:r w:rsidR="00D859B3">
      <w:rPr>
        <w:color w:val="000000"/>
        <w:sz w:val="20"/>
        <w:szCs w:val="20"/>
      </w:rPr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BF" w:rsidRDefault="005830BF" w:rsidP="00C558A8">
      <w:r>
        <w:separator/>
      </w:r>
    </w:p>
  </w:footnote>
  <w:footnote w:type="continuationSeparator" w:id="0">
    <w:p w:rsidR="005830BF" w:rsidRDefault="005830BF" w:rsidP="00C5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7533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10C9" w:rsidRDefault="00C20689">
        <w:pPr>
          <w:pStyle w:val="Header"/>
          <w:jc w:val="center"/>
        </w:pPr>
        <w:r>
          <w:fldChar w:fldCharType="begin"/>
        </w:r>
        <w:r w:rsidR="004810C9">
          <w:instrText xml:space="preserve"> PAGE   \* MERGEFORMAT </w:instrText>
        </w:r>
        <w:r>
          <w:fldChar w:fldCharType="separate"/>
        </w:r>
        <w:r w:rsidR="002A0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0C9" w:rsidRDefault="004810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3DA"/>
    <w:multiLevelType w:val="hybridMultilevel"/>
    <w:tmpl w:val="8C8EA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41429"/>
    <w:multiLevelType w:val="hybridMultilevel"/>
    <w:tmpl w:val="8C8EA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3D2"/>
    <w:rsid w:val="000047FD"/>
    <w:rsid w:val="000160F7"/>
    <w:rsid w:val="00030F85"/>
    <w:rsid w:val="000456BE"/>
    <w:rsid w:val="000513F2"/>
    <w:rsid w:val="000676A9"/>
    <w:rsid w:val="00067A3A"/>
    <w:rsid w:val="0008174A"/>
    <w:rsid w:val="000C0540"/>
    <w:rsid w:val="000E2210"/>
    <w:rsid w:val="000E2D37"/>
    <w:rsid w:val="000F0822"/>
    <w:rsid w:val="00112993"/>
    <w:rsid w:val="0012616D"/>
    <w:rsid w:val="00131E72"/>
    <w:rsid w:val="00135485"/>
    <w:rsid w:val="00141016"/>
    <w:rsid w:val="00141961"/>
    <w:rsid w:val="00143608"/>
    <w:rsid w:val="00172CC8"/>
    <w:rsid w:val="00184E82"/>
    <w:rsid w:val="001D73C2"/>
    <w:rsid w:val="001D7613"/>
    <w:rsid w:val="001E08AA"/>
    <w:rsid w:val="001E457D"/>
    <w:rsid w:val="001F6880"/>
    <w:rsid w:val="00212F0D"/>
    <w:rsid w:val="00217225"/>
    <w:rsid w:val="002208D5"/>
    <w:rsid w:val="00222D4E"/>
    <w:rsid w:val="00226288"/>
    <w:rsid w:val="002362C0"/>
    <w:rsid w:val="00262C5A"/>
    <w:rsid w:val="00270316"/>
    <w:rsid w:val="00275FFA"/>
    <w:rsid w:val="00290C09"/>
    <w:rsid w:val="002A065A"/>
    <w:rsid w:val="002C3EDC"/>
    <w:rsid w:val="002D34C2"/>
    <w:rsid w:val="002D64A4"/>
    <w:rsid w:val="003028DC"/>
    <w:rsid w:val="0030469F"/>
    <w:rsid w:val="00334171"/>
    <w:rsid w:val="00357FE3"/>
    <w:rsid w:val="0037352C"/>
    <w:rsid w:val="003A1ED9"/>
    <w:rsid w:val="003A43F3"/>
    <w:rsid w:val="003A71AD"/>
    <w:rsid w:val="003B576A"/>
    <w:rsid w:val="003D2B53"/>
    <w:rsid w:val="003F1BF6"/>
    <w:rsid w:val="003F7141"/>
    <w:rsid w:val="00411C29"/>
    <w:rsid w:val="004150A4"/>
    <w:rsid w:val="00431400"/>
    <w:rsid w:val="004675C1"/>
    <w:rsid w:val="00477026"/>
    <w:rsid w:val="004810C9"/>
    <w:rsid w:val="004864D5"/>
    <w:rsid w:val="00487611"/>
    <w:rsid w:val="004943DE"/>
    <w:rsid w:val="004A2D97"/>
    <w:rsid w:val="004C05D6"/>
    <w:rsid w:val="004C1609"/>
    <w:rsid w:val="004C5AE3"/>
    <w:rsid w:val="004D1001"/>
    <w:rsid w:val="004D1591"/>
    <w:rsid w:val="004D325D"/>
    <w:rsid w:val="00501B4D"/>
    <w:rsid w:val="00527D7D"/>
    <w:rsid w:val="005333C0"/>
    <w:rsid w:val="00537CB1"/>
    <w:rsid w:val="005467FE"/>
    <w:rsid w:val="005563A1"/>
    <w:rsid w:val="00581927"/>
    <w:rsid w:val="005830BF"/>
    <w:rsid w:val="00590730"/>
    <w:rsid w:val="00591E1D"/>
    <w:rsid w:val="005B5789"/>
    <w:rsid w:val="005B680E"/>
    <w:rsid w:val="005C1FD3"/>
    <w:rsid w:val="005C21F5"/>
    <w:rsid w:val="005D2B53"/>
    <w:rsid w:val="005F2B57"/>
    <w:rsid w:val="00602C74"/>
    <w:rsid w:val="00605967"/>
    <w:rsid w:val="006351E2"/>
    <w:rsid w:val="00642724"/>
    <w:rsid w:val="00643E9E"/>
    <w:rsid w:val="00666A77"/>
    <w:rsid w:val="006714C8"/>
    <w:rsid w:val="00672C22"/>
    <w:rsid w:val="006775AF"/>
    <w:rsid w:val="0068162C"/>
    <w:rsid w:val="006931B7"/>
    <w:rsid w:val="006B01E4"/>
    <w:rsid w:val="006B5562"/>
    <w:rsid w:val="006C1DF6"/>
    <w:rsid w:val="006C69E0"/>
    <w:rsid w:val="006E4DA9"/>
    <w:rsid w:val="007035FA"/>
    <w:rsid w:val="00704828"/>
    <w:rsid w:val="00716159"/>
    <w:rsid w:val="007342CB"/>
    <w:rsid w:val="00763E69"/>
    <w:rsid w:val="00774B4B"/>
    <w:rsid w:val="0077684A"/>
    <w:rsid w:val="007B212D"/>
    <w:rsid w:val="007B5712"/>
    <w:rsid w:val="007D4D87"/>
    <w:rsid w:val="007F7955"/>
    <w:rsid w:val="00804025"/>
    <w:rsid w:val="00812050"/>
    <w:rsid w:val="0085083F"/>
    <w:rsid w:val="008517CE"/>
    <w:rsid w:val="008647D2"/>
    <w:rsid w:val="008819D8"/>
    <w:rsid w:val="008841F5"/>
    <w:rsid w:val="00891ED7"/>
    <w:rsid w:val="008A2471"/>
    <w:rsid w:val="008A4920"/>
    <w:rsid w:val="008B4126"/>
    <w:rsid w:val="008E1505"/>
    <w:rsid w:val="008E608E"/>
    <w:rsid w:val="00900B36"/>
    <w:rsid w:val="00907EE3"/>
    <w:rsid w:val="009133C8"/>
    <w:rsid w:val="009264BB"/>
    <w:rsid w:val="00964B16"/>
    <w:rsid w:val="009671B4"/>
    <w:rsid w:val="009704CC"/>
    <w:rsid w:val="00972F5E"/>
    <w:rsid w:val="009809D7"/>
    <w:rsid w:val="00994494"/>
    <w:rsid w:val="009A2DB9"/>
    <w:rsid w:val="009C3850"/>
    <w:rsid w:val="009D32E2"/>
    <w:rsid w:val="009D5496"/>
    <w:rsid w:val="009E05F0"/>
    <w:rsid w:val="009E622B"/>
    <w:rsid w:val="00A1129C"/>
    <w:rsid w:val="00A55631"/>
    <w:rsid w:val="00AA34BD"/>
    <w:rsid w:val="00AB1A21"/>
    <w:rsid w:val="00AB7D01"/>
    <w:rsid w:val="00AC22AA"/>
    <w:rsid w:val="00AD1D7C"/>
    <w:rsid w:val="00B02877"/>
    <w:rsid w:val="00B20B29"/>
    <w:rsid w:val="00B31C56"/>
    <w:rsid w:val="00B430BF"/>
    <w:rsid w:val="00B561DA"/>
    <w:rsid w:val="00B66D3A"/>
    <w:rsid w:val="00B72727"/>
    <w:rsid w:val="00B93757"/>
    <w:rsid w:val="00B963D2"/>
    <w:rsid w:val="00BA7CE6"/>
    <w:rsid w:val="00BB53E3"/>
    <w:rsid w:val="00BB725F"/>
    <w:rsid w:val="00BC2F29"/>
    <w:rsid w:val="00BC60B3"/>
    <w:rsid w:val="00BD03B6"/>
    <w:rsid w:val="00BE4080"/>
    <w:rsid w:val="00C032A3"/>
    <w:rsid w:val="00C11706"/>
    <w:rsid w:val="00C20689"/>
    <w:rsid w:val="00C2201B"/>
    <w:rsid w:val="00C22743"/>
    <w:rsid w:val="00C32BD2"/>
    <w:rsid w:val="00C36FA6"/>
    <w:rsid w:val="00C409AC"/>
    <w:rsid w:val="00C45DD8"/>
    <w:rsid w:val="00C473A1"/>
    <w:rsid w:val="00C558A8"/>
    <w:rsid w:val="00C60B28"/>
    <w:rsid w:val="00C91975"/>
    <w:rsid w:val="00C91A68"/>
    <w:rsid w:val="00CA6B2F"/>
    <w:rsid w:val="00CC5C07"/>
    <w:rsid w:val="00CF2213"/>
    <w:rsid w:val="00D079F8"/>
    <w:rsid w:val="00D25024"/>
    <w:rsid w:val="00D444E1"/>
    <w:rsid w:val="00D51C1D"/>
    <w:rsid w:val="00D54B4A"/>
    <w:rsid w:val="00D63223"/>
    <w:rsid w:val="00D859B3"/>
    <w:rsid w:val="00D95108"/>
    <w:rsid w:val="00D96CBD"/>
    <w:rsid w:val="00DB0C96"/>
    <w:rsid w:val="00DC0AF2"/>
    <w:rsid w:val="00DC1FFB"/>
    <w:rsid w:val="00DC48D5"/>
    <w:rsid w:val="00DC709B"/>
    <w:rsid w:val="00DF5024"/>
    <w:rsid w:val="00E02107"/>
    <w:rsid w:val="00E27F1C"/>
    <w:rsid w:val="00E60D98"/>
    <w:rsid w:val="00E717AA"/>
    <w:rsid w:val="00E811C9"/>
    <w:rsid w:val="00E9310C"/>
    <w:rsid w:val="00EA3FB0"/>
    <w:rsid w:val="00EB0B57"/>
    <w:rsid w:val="00EE2B3E"/>
    <w:rsid w:val="00EE57E0"/>
    <w:rsid w:val="00F04E27"/>
    <w:rsid w:val="00F45F41"/>
    <w:rsid w:val="00F52443"/>
    <w:rsid w:val="00F55F8F"/>
    <w:rsid w:val="00F566C3"/>
    <w:rsid w:val="00FA4226"/>
    <w:rsid w:val="00FB2F59"/>
    <w:rsid w:val="00FE6178"/>
    <w:rsid w:val="00FF22D2"/>
    <w:rsid w:val="00FF3F86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247079-3280-4260-9099-7B527786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D2"/>
    <w:pPr>
      <w:spacing w:after="0" w:line="240" w:lineRule="auto"/>
    </w:pPr>
    <w:rPr>
      <w:rFonts w:eastAsia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63D2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963D2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63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63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3D2"/>
    <w:rPr>
      <w:rFonts w:eastAsia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nhideWhenUsed/>
    <w:rsid w:val="00B963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963D2"/>
    <w:rPr>
      <w:rFonts w:eastAsia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B963D2"/>
    <w:pPr>
      <w:spacing w:before="100" w:after="100"/>
    </w:pPr>
    <w:rPr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963D2"/>
    <w:pPr>
      <w:ind w:left="720"/>
      <w:contextualSpacing/>
    </w:pPr>
  </w:style>
  <w:style w:type="paragraph" w:customStyle="1" w:styleId="NormalWebCharChar">
    <w:name w:val="Normal (Web) Char Char"/>
    <w:basedOn w:val="Normal"/>
    <w:rsid w:val="00B963D2"/>
    <w:pPr>
      <w:widowControl w:val="0"/>
      <w:suppressAutoHyphens/>
      <w:spacing w:before="280" w:after="280"/>
    </w:pPr>
    <w:rPr>
      <w:color w:val="000000"/>
      <w:sz w:val="20"/>
      <w:szCs w:val="20"/>
      <w:lang w:eastAsia="zh-CN"/>
    </w:rPr>
  </w:style>
  <w:style w:type="paragraph" w:customStyle="1" w:styleId="tv213">
    <w:name w:val="tv213"/>
    <w:basedOn w:val="Normal"/>
    <w:rsid w:val="00B963D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963D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A8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39"/>
    <w:rsid w:val="001D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1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29C"/>
    <w:rPr>
      <w:rFonts w:eastAsia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29C"/>
    <w:rPr>
      <w:rFonts w:eastAsia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link w:val="ListParagraph"/>
    <w:uiPriority w:val="34"/>
    <w:rsid w:val="007B212D"/>
    <w:rPr>
      <w:rFonts w:eastAsia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nna.semenjuka@pmlp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5</Pages>
  <Words>5629</Words>
  <Characters>3209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Stone</dc:creator>
  <cp:keywords/>
  <dc:description/>
  <cp:lastModifiedBy>Arvids Zahars</cp:lastModifiedBy>
  <cp:revision>18</cp:revision>
  <cp:lastPrinted>2020-10-01T09:19:00Z</cp:lastPrinted>
  <dcterms:created xsi:type="dcterms:W3CDTF">2018-11-22T09:36:00Z</dcterms:created>
  <dcterms:modified xsi:type="dcterms:W3CDTF">2020-10-02T10:56:00Z</dcterms:modified>
</cp:coreProperties>
</file>