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45" w:rsidRDefault="00F72996" w:rsidP="00E8633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 xml:space="preserve"> </w:t>
      </w:r>
      <w:r w:rsidR="00FE7429">
        <w:rPr>
          <w:rFonts w:ascii="Times New Roman" w:hAnsi="Times New Roman"/>
          <w:b/>
          <w:sz w:val="24"/>
          <w:szCs w:val="24"/>
        </w:rPr>
        <w:t>Likum</w:t>
      </w:r>
      <w:r w:rsidR="006D3B45" w:rsidRPr="00E86332">
        <w:rPr>
          <w:rFonts w:ascii="Times New Roman" w:hAnsi="Times New Roman"/>
          <w:b/>
          <w:sz w:val="24"/>
          <w:szCs w:val="24"/>
        </w:rPr>
        <w:t xml:space="preserve">projekta </w:t>
      </w:r>
      <w:r w:rsidR="00CD2DE5">
        <w:rPr>
          <w:rFonts w:ascii="Times New Roman" w:hAnsi="Times New Roman"/>
          <w:b/>
          <w:sz w:val="24"/>
          <w:szCs w:val="24"/>
        </w:rPr>
        <w:t>“Grozījum</w:t>
      </w:r>
      <w:r w:rsidR="005F31AF">
        <w:rPr>
          <w:rFonts w:ascii="Times New Roman" w:hAnsi="Times New Roman"/>
          <w:b/>
          <w:sz w:val="24"/>
          <w:szCs w:val="24"/>
        </w:rPr>
        <w:t xml:space="preserve">i </w:t>
      </w:r>
      <w:r w:rsidR="00CD2DE5">
        <w:rPr>
          <w:rFonts w:ascii="Times New Roman" w:hAnsi="Times New Roman"/>
          <w:b/>
          <w:sz w:val="24"/>
          <w:szCs w:val="24"/>
        </w:rPr>
        <w:t>Administratīvo sodu likumā</w:t>
      </w:r>
      <w:r w:rsidR="00CD2DE5" w:rsidRPr="00CD2DE5">
        <w:rPr>
          <w:rFonts w:ascii="Times New Roman" w:hAnsi="Times New Roman"/>
          <w:b/>
          <w:sz w:val="24"/>
          <w:szCs w:val="24"/>
        </w:rPr>
        <w:t xml:space="preserve"> par pārkāpumiem pārvaldes, sabiedriskās kārtības un valsts valodas lietošanas jomā</w:t>
      </w:r>
      <w:r w:rsidR="00CD2DE5">
        <w:rPr>
          <w:rFonts w:ascii="Times New Roman" w:hAnsi="Times New Roman"/>
          <w:b/>
          <w:sz w:val="24"/>
          <w:szCs w:val="24"/>
        </w:rPr>
        <w:t>”</w:t>
      </w:r>
      <w:r w:rsidR="00CD2DE5" w:rsidRPr="00CD2DE5">
        <w:rPr>
          <w:rFonts w:ascii="Times New Roman" w:hAnsi="Times New Roman"/>
          <w:b/>
          <w:sz w:val="24"/>
          <w:szCs w:val="24"/>
        </w:rPr>
        <w:t xml:space="preserve"> </w:t>
      </w:r>
      <w:r w:rsidR="006D3B45" w:rsidRPr="00E86332">
        <w:rPr>
          <w:rFonts w:ascii="Times New Roman" w:hAnsi="Times New Roman"/>
          <w:b/>
          <w:bCs/>
          <w:sz w:val="24"/>
          <w:szCs w:val="24"/>
        </w:rPr>
        <w:t xml:space="preserve">sākotnējās ietekmes novērtējuma </w:t>
      </w:r>
      <w:smartTag w:uri="schemas-tilde-lv/tildestengine" w:element="veidnes">
        <w:smartTagPr>
          <w:attr w:name="text" w:val="ziņojums"/>
          <w:attr w:name="baseform" w:val="ziņojums"/>
          <w:attr w:name="id" w:val="-1"/>
        </w:smartTagPr>
        <w:r w:rsidR="006D3B45" w:rsidRPr="00E86332">
          <w:rPr>
            <w:rFonts w:ascii="Times New Roman" w:hAnsi="Times New Roman"/>
            <w:b/>
            <w:bCs/>
            <w:sz w:val="24"/>
            <w:szCs w:val="24"/>
          </w:rPr>
          <w:t>ziņojums</w:t>
        </w:r>
      </w:smartTag>
      <w:r w:rsidR="006D3B45" w:rsidRPr="00E86332">
        <w:rPr>
          <w:rFonts w:ascii="Times New Roman" w:hAnsi="Times New Roman"/>
          <w:b/>
          <w:bCs/>
          <w:sz w:val="24"/>
          <w:szCs w:val="24"/>
        </w:rPr>
        <w:t xml:space="preserve"> (anotācija)</w:t>
      </w:r>
    </w:p>
    <w:p w:rsidR="0077781C" w:rsidRDefault="0077781C" w:rsidP="00102A09">
      <w:pPr>
        <w:spacing w:after="0" w:line="240" w:lineRule="auto"/>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7"/>
      </w:tblGrid>
      <w:tr w:rsidR="00FE7429" w:rsidRPr="008559FD" w:rsidTr="0059408C">
        <w:trPr>
          <w:trHeight w:val="444"/>
        </w:trPr>
        <w:tc>
          <w:tcPr>
            <w:tcW w:w="9209" w:type="dxa"/>
            <w:gridSpan w:val="2"/>
            <w:shd w:val="clear" w:color="auto" w:fill="auto"/>
            <w:vAlign w:val="center"/>
          </w:tcPr>
          <w:p w:rsidR="00FE7429" w:rsidRPr="008559FD" w:rsidRDefault="00FE7429" w:rsidP="0059408C">
            <w:pPr>
              <w:spacing w:after="0" w:line="240" w:lineRule="auto"/>
              <w:jc w:val="center"/>
              <w:rPr>
                <w:rFonts w:ascii="Times New Roman" w:hAnsi="Times New Roman"/>
                <w:b/>
                <w:sz w:val="24"/>
                <w:szCs w:val="24"/>
              </w:rPr>
            </w:pPr>
            <w:r w:rsidRPr="008559FD">
              <w:rPr>
                <w:rFonts w:ascii="Times New Roman" w:hAnsi="Times New Roman"/>
                <w:b/>
                <w:sz w:val="24"/>
                <w:szCs w:val="24"/>
              </w:rPr>
              <w:t>Tiesību akta projekta anotācijas kopsavilkums</w:t>
            </w:r>
          </w:p>
        </w:tc>
      </w:tr>
      <w:tr w:rsidR="00FE7429" w:rsidRPr="008559FD" w:rsidTr="00AB555B">
        <w:trPr>
          <w:trHeight w:val="1980"/>
        </w:trPr>
        <w:tc>
          <w:tcPr>
            <w:tcW w:w="2802" w:type="dxa"/>
            <w:shd w:val="clear" w:color="auto" w:fill="auto"/>
          </w:tcPr>
          <w:p w:rsidR="00FE7429" w:rsidRPr="008559FD" w:rsidRDefault="00FE7429" w:rsidP="0059408C">
            <w:pPr>
              <w:spacing w:after="0" w:line="240" w:lineRule="auto"/>
              <w:rPr>
                <w:rFonts w:ascii="Times New Roman" w:hAnsi="Times New Roman"/>
                <w:sz w:val="24"/>
                <w:szCs w:val="24"/>
              </w:rPr>
            </w:pPr>
            <w:r w:rsidRPr="008559FD">
              <w:rPr>
                <w:rFonts w:ascii="Times New Roman" w:hAnsi="Times New Roman"/>
                <w:sz w:val="24"/>
                <w:szCs w:val="24"/>
              </w:rPr>
              <w:t>Mērķis, risinājums un projekta spēkā stāšanās laiks (500 zīmes bez atstarpēm)</w:t>
            </w:r>
          </w:p>
        </w:tc>
        <w:tc>
          <w:tcPr>
            <w:tcW w:w="6407" w:type="dxa"/>
            <w:shd w:val="clear" w:color="auto" w:fill="auto"/>
          </w:tcPr>
          <w:p w:rsidR="00FE7429" w:rsidRPr="00C528BE" w:rsidRDefault="006B147B" w:rsidP="0059408C">
            <w:pPr>
              <w:spacing w:after="0" w:line="240" w:lineRule="auto"/>
              <w:jc w:val="both"/>
              <w:rPr>
                <w:rFonts w:ascii="Times New Roman" w:hAnsi="Times New Roman"/>
                <w:sz w:val="24"/>
                <w:szCs w:val="24"/>
              </w:rPr>
            </w:pPr>
            <w:r>
              <w:rPr>
                <w:rFonts w:ascii="Times New Roman" w:hAnsi="Times New Roman"/>
                <w:sz w:val="24"/>
                <w:szCs w:val="24"/>
              </w:rPr>
              <w:t>Likumprojekts ir izstrādāts, lai nodrošinātu Eiropas Savienības tiesību akta īstenošanu. Likumprojekts nosaka atbildību par administratīvajiem pārkāpumiem</w:t>
            </w:r>
            <w:r w:rsidR="00ED4D7A">
              <w:rPr>
                <w:rFonts w:ascii="Times New Roman" w:hAnsi="Times New Roman"/>
                <w:sz w:val="24"/>
                <w:szCs w:val="24"/>
              </w:rPr>
              <w:t>, kas ir saistīti ar</w:t>
            </w:r>
            <w:r>
              <w:rPr>
                <w:rFonts w:ascii="Times New Roman" w:hAnsi="Times New Roman"/>
                <w:sz w:val="24"/>
                <w:szCs w:val="24"/>
              </w:rPr>
              <w:t xml:space="preserve"> </w:t>
            </w:r>
            <w:r w:rsidRPr="00D9455E">
              <w:rPr>
                <w:rFonts w:ascii="Times New Roman" w:hAnsi="Times New Roman"/>
                <w:sz w:val="24"/>
                <w:szCs w:val="24"/>
              </w:rPr>
              <w:t xml:space="preserve">sprāgstvielu </w:t>
            </w:r>
            <w:r w:rsidRPr="00C528BE">
              <w:rPr>
                <w:rFonts w:ascii="Times New Roman" w:hAnsi="Times New Roman"/>
                <w:sz w:val="24"/>
                <w:szCs w:val="24"/>
              </w:rPr>
              <w:t xml:space="preserve">prekursoru </w:t>
            </w:r>
            <w:r w:rsidR="00ED4D7A" w:rsidRPr="00C528BE">
              <w:rPr>
                <w:rFonts w:ascii="Times New Roman" w:hAnsi="Times New Roman"/>
                <w:sz w:val="24"/>
                <w:szCs w:val="24"/>
              </w:rPr>
              <w:t>apriti</w:t>
            </w:r>
            <w:r w:rsidRPr="00C528BE">
              <w:rPr>
                <w:rFonts w:ascii="Times New Roman" w:hAnsi="Times New Roman"/>
                <w:sz w:val="24"/>
                <w:szCs w:val="24"/>
              </w:rPr>
              <w:t xml:space="preserve">. </w:t>
            </w:r>
          </w:p>
          <w:p w:rsidR="006B147B" w:rsidRPr="009C1F6E" w:rsidRDefault="006B147B" w:rsidP="00C528BE">
            <w:pPr>
              <w:spacing w:after="0" w:line="240" w:lineRule="auto"/>
              <w:jc w:val="both"/>
              <w:rPr>
                <w:rFonts w:ascii="Times New Roman" w:hAnsi="Times New Roman"/>
                <w:sz w:val="24"/>
                <w:szCs w:val="24"/>
              </w:rPr>
            </w:pPr>
            <w:r w:rsidRPr="00C528BE">
              <w:rPr>
                <w:rFonts w:ascii="Times New Roman" w:hAnsi="Times New Roman"/>
                <w:sz w:val="24"/>
                <w:szCs w:val="24"/>
              </w:rPr>
              <w:t>Likumprojekt</w:t>
            </w:r>
            <w:r w:rsidR="00ED4D7A" w:rsidRPr="00C528BE">
              <w:rPr>
                <w:rFonts w:ascii="Times New Roman" w:hAnsi="Times New Roman"/>
                <w:sz w:val="24"/>
                <w:szCs w:val="24"/>
              </w:rPr>
              <w:t>a 1.pant</w:t>
            </w:r>
            <w:r w:rsidR="000F5CB7" w:rsidRPr="00C528BE">
              <w:rPr>
                <w:rFonts w:ascii="Times New Roman" w:hAnsi="Times New Roman"/>
                <w:sz w:val="24"/>
                <w:szCs w:val="24"/>
              </w:rPr>
              <w:t>ā iekļautais 13.</w:t>
            </w:r>
            <w:r w:rsidR="000F5CB7" w:rsidRPr="00C528BE">
              <w:rPr>
                <w:rFonts w:ascii="Times New Roman" w:hAnsi="Times New Roman"/>
                <w:sz w:val="24"/>
                <w:szCs w:val="24"/>
                <w:vertAlign w:val="superscript"/>
              </w:rPr>
              <w:t>2</w:t>
            </w:r>
            <w:r w:rsidR="000F5CB7" w:rsidRPr="00C528BE">
              <w:rPr>
                <w:rFonts w:ascii="Times New Roman" w:hAnsi="Times New Roman"/>
                <w:sz w:val="24"/>
                <w:szCs w:val="24"/>
              </w:rPr>
              <w:t xml:space="preserve"> pants</w:t>
            </w:r>
            <w:r w:rsidRPr="00C528BE">
              <w:rPr>
                <w:rFonts w:ascii="Times New Roman" w:hAnsi="Times New Roman"/>
                <w:sz w:val="24"/>
                <w:szCs w:val="24"/>
              </w:rPr>
              <w:t xml:space="preserve"> </w:t>
            </w:r>
            <w:r w:rsidR="00C528BE" w:rsidRPr="00C528BE">
              <w:rPr>
                <w:rFonts w:ascii="Times New Roman" w:hAnsi="Times New Roman"/>
                <w:bCs/>
                <w:sz w:val="24"/>
                <w:szCs w:val="24"/>
              </w:rPr>
              <w:t>un grozījums, kas paredz Valsts policijas kompetenci veikt administratīvā pārkāpumu procesu par likuma 13.</w:t>
            </w:r>
            <w:r w:rsidR="00C528BE" w:rsidRPr="00C528BE">
              <w:rPr>
                <w:rFonts w:ascii="Times New Roman" w:hAnsi="Times New Roman"/>
                <w:bCs/>
                <w:sz w:val="24"/>
                <w:szCs w:val="24"/>
                <w:vertAlign w:val="superscript"/>
              </w:rPr>
              <w:t>2</w:t>
            </w:r>
            <w:r w:rsidR="00C528BE" w:rsidRPr="00C528BE">
              <w:rPr>
                <w:rFonts w:ascii="Times New Roman" w:hAnsi="Times New Roman"/>
                <w:bCs/>
                <w:sz w:val="24"/>
                <w:szCs w:val="24"/>
              </w:rPr>
              <w:t>pantā minēto pārkāpumu, stājas spēkā 2021.gada februārī.</w:t>
            </w:r>
          </w:p>
        </w:tc>
      </w:tr>
    </w:tbl>
    <w:p w:rsidR="0077781C" w:rsidRPr="00487A7A" w:rsidRDefault="0077781C" w:rsidP="0077781C">
      <w:pPr>
        <w:spacing w:after="0" w:line="240" w:lineRule="auto"/>
        <w:jc w:val="center"/>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310"/>
        <w:gridCol w:w="6384"/>
      </w:tblGrid>
      <w:tr w:rsidR="0077781C" w:rsidRPr="00487A7A" w:rsidTr="00102A09">
        <w:trPr>
          <w:trHeight w:val="422"/>
        </w:trPr>
        <w:tc>
          <w:tcPr>
            <w:tcW w:w="9209" w:type="dxa"/>
            <w:gridSpan w:val="3"/>
          </w:tcPr>
          <w:p w:rsidR="0077781C" w:rsidRPr="00487A7A" w:rsidRDefault="0077781C" w:rsidP="00D657DB">
            <w:pPr>
              <w:pStyle w:val="BodyText"/>
              <w:spacing w:after="0"/>
              <w:jc w:val="center"/>
              <w:rPr>
                <w:lang w:val="lv-LV"/>
              </w:rPr>
            </w:pPr>
            <w:r w:rsidRPr="00487A7A">
              <w:rPr>
                <w:b/>
                <w:lang w:val="lv-LV"/>
              </w:rPr>
              <w:t>I. Tiesību akta projekta izstrādes nepieciešamība</w:t>
            </w:r>
          </w:p>
        </w:tc>
      </w:tr>
      <w:tr w:rsidR="0077781C" w:rsidRPr="00487A7A" w:rsidTr="00102A09">
        <w:tc>
          <w:tcPr>
            <w:tcW w:w="515"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1.</w:t>
            </w:r>
          </w:p>
        </w:tc>
        <w:tc>
          <w:tcPr>
            <w:tcW w:w="2310"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Pamatojums</w:t>
            </w:r>
          </w:p>
        </w:tc>
        <w:tc>
          <w:tcPr>
            <w:tcW w:w="6384" w:type="dxa"/>
          </w:tcPr>
          <w:p w:rsidR="0077781C" w:rsidRPr="00487A7A" w:rsidRDefault="00390DD2" w:rsidP="00ED4D7A">
            <w:pPr>
              <w:spacing w:after="0" w:line="240" w:lineRule="auto"/>
              <w:ind w:firstLine="720"/>
              <w:jc w:val="both"/>
              <w:rPr>
                <w:rFonts w:ascii="Times New Roman" w:hAnsi="Times New Roman"/>
                <w:sz w:val="24"/>
                <w:szCs w:val="24"/>
              </w:rPr>
            </w:pPr>
            <w:r w:rsidRPr="00D21CE4">
              <w:rPr>
                <w:rFonts w:ascii="Times New Roman" w:hAnsi="Times New Roman"/>
                <w:sz w:val="24"/>
                <w:szCs w:val="24"/>
              </w:rPr>
              <w:t xml:space="preserve">Eiropas Parlamenta un </w:t>
            </w:r>
            <w:r w:rsidRPr="00D9455E">
              <w:rPr>
                <w:rFonts w:ascii="Times New Roman" w:hAnsi="Times New Roman"/>
                <w:sz w:val="24"/>
                <w:szCs w:val="24"/>
              </w:rPr>
              <w:t xml:space="preserve">Padomes 2019. gada 20. jūnija Regula (ES) Nr. </w:t>
            </w:r>
            <w:r w:rsidRPr="00D9455E">
              <w:rPr>
                <w:rStyle w:val="Hyperlink"/>
                <w:rFonts w:ascii="Times New Roman" w:hAnsi="Times New Roman"/>
                <w:color w:val="auto"/>
                <w:sz w:val="24"/>
                <w:szCs w:val="24"/>
                <w:u w:val="none"/>
              </w:rPr>
              <w:t>2019/1148</w:t>
            </w:r>
            <w:r w:rsidRPr="00D9455E">
              <w:rPr>
                <w:rFonts w:ascii="Times New Roman" w:hAnsi="Times New Roman"/>
                <w:sz w:val="24"/>
                <w:szCs w:val="24"/>
              </w:rPr>
              <w:t xml:space="preserve"> par sprāgstvielu prekursoru tirdzniecību un lietošanu</w:t>
            </w:r>
            <w:r w:rsidRPr="00D9455E">
              <w:rPr>
                <w:rFonts w:ascii="Times New Roman" w:hAnsi="Times New Roman"/>
                <w:sz w:val="24"/>
                <w:szCs w:val="24"/>
                <w:shd w:val="clear" w:color="auto" w:fill="FFFFFF"/>
              </w:rPr>
              <w:t>, ar ko groza Regulu (EK) Nr. 1907/2006 un atceļ Regulu (ES) Nr. 98/2013</w:t>
            </w:r>
            <w:r w:rsidRPr="00D9455E">
              <w:rPr>
                <w:rFonts w:ascii="Times New Roman" w:hAnsi="Times New Roman"/>
                <w:sz w:val="24"/>
                <w:szCs w:val="24"/>
              </w:rPr>
              <w:t xml:space="preserve"> (turpmāk – Regula Nr. 2019/1148), kura ar 2021.gada 1.februāri aizstās Eiropas Parlamenta un Padomes 2013. gada 15. janvāra Regulu (ES) Nr. </w:t>
            </w:r>
            <w:r w:rsidRPr="00D9455E">
              <w:rPr>
                <w:rStyle w:val="Hyperlink"/>
                <w:rFonts w:ascii="Times New Roman" w:hAnsi="Times New Roman"/>
                <w:color w:val="auto"/>
                <w:sz w:val="24"/>
                <w:szCs w:val="24"/>
                <w:u w:val="none"/>
              </w:rPr>
              <w:t>98/2013</w:t>
            </w:r>
            <w:r w:rsidRPr="00D9455E">
              <w:rPr>
                <w:rFonts w:ascii="Times New Roman" w:hAnsi="Times New Roman"/>
                <w:sz w:val="24"/>
                <w:szCs w:val="24"/>
              </w:rPr>
              <w:t xml:space="preserve"> par sprāgstvielu prekursoru tirdzniecību un </w:t>
            </w:r>
            <w:r w:rsidRPr="00D21CE4">
              <w:rPr>
                <w:rFonts w:ascii="Times New Roman" w:hAnsi="Times New Roman"/>
                <w:sz w:val="24"/>
                <w:szCs w:val="24"/>
              </w:rPr>
              <w:t xml:space="preserve">lietošanu. </w:t>
            </w:r>
          </w:p>
        </w:tc>
      </w:tr>
      <w:tr w:rsidR="0077781C" w:rsidRPr="00487A7A" w:rsidTr="00B4756E">
        <w:trPr>
          <w:trHeight w:val="70"/>
        </w:trPr>
        <w:tc>
          <w:tcPr>
            <w:tcW w:w="515"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2.</w:t>
            </w:r>
          </w:p>
        </w:tc>
        <w:tc>
          <w:tcPr>
            <w:tcW w:w="2310" w:type="dxa"/>
          </w:tcPr>
          <w:p w:rsidR="0077781C"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Pašreizējā situācija un problēmas, kuru risināšanai tiesību akta projekts izstrādāts, tiesiskā regulējuma mērķis un būtība</w:t>
            </w:r>
          </w:p>
          <w:p w:rsidR="0077781C" w:rsidRPr="001B70D7"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FB6743" w:rsidRDefault="00FB6743" w:rsidP="00D657DB">
            <w:pPr>
              <w:rPr>
                <w:rFonts w:ascii="Times New Roman" w:hAnsi="Times New Roman"/>
                <w:sz w:val="24"/>
                <w:szCs w:val="24"/>
              </w:rPr>
            </w:pPr>
          </w:p>
          <w:p w:rsidR="00FB6743" w:rsidRPr="00FB6743" w:rsidRDefault="00FB6743" w:rsidP="00FB6743">
            <w:pPr>
              <w:rPr>
                <w:rFonts w:ascii="Times New Roman" w:hAnsi="Times New Roman"/>
                <w:sz w:val="24"/>
                <w:szCs w:val="24"/>
              </w:rPr>
            </w:pPr>
          </w:p>
          <w:p w:rsidR="00FB6743" w:rsidRPr="00FB6743" w:rsidRDefault="00FB6743" w:rsidP="00FB6743">
            <w:pPr>
              <w:rPr>
                <w:rFonts w:ascii="Times New Roman" w:hAnsi="Times New Roman"/>
                <w:sz w:val="24"/>
                <w:szCs w:val="24"/>
              </w:rPr>
            </w:pPr>
          </w:p>
          <w:p w:rsidR="0077781C" w:rsidRPr="00FB6743" w:rsidRDefault="0077781C" w:rsidP="00A50DEA">
            <w:pPr>
              <w:jc w:val="right"/>
              <w:rPr>
                <w:rFonts w:ascii="Times New Roman" w:hAnsi="Times New Roman"/>
                <w:sz w:val="24"/>
                <w:szCs w:val="24"/>
              </w:rPr>
            </w:pPr>
          </w:p>
        </w:tc>
        <w:tc>
          <w:tcPr>
            <w:tcW w:w="6384" w:type="dxa"/>
          </w:tcPr>
          <w:p w:rsidR="00390DD2" w:rsidRPr="00D21CE4" w:rsidRDefault="00390DD2" w:rsidP="002333C9">
            <w:pPr>
              <w:spacing w:after="0" w:line="240" w:lineRule="auto"/>
              <w:ind w:firstLine="720"/>
              <w:jc w:val="both"/>
              <w:rPr>
                <w:rFonts w:ascii="Times New Roman" w:hAnsi="Times New Roman"/>
                <w:sz w:val="24"/>
                <w:szCs w:val="24"/>
              </w:rPr>
            </w:pPr>
            <w:r w:rsidRPr="007B5450">
              <w:rPr>
                <w:rFonts w:ascii="Times New Roman" w:hAnsi="Times New Roman"/>
                <w:sz w:val="24"/>
                <w:szCs w:val="24"/>
              </w:rPr>
              <w:t xml:space="preserve">2019. gada 20. jūnijā tika pieņemta Eiropas Parlamenta un Padomes 2019. gada 20. jūnija Regula (ES) Nr. </w:t>
            </w:r>
            <w:r w:rsidRPr="007B5450">
              <w:rPr>
                <w:rStyle w:val="Hyperlink"/>
                <w:rFonts w:ascii="Times New Roman" w:hAnsi="Times New Roman"/>
                <w:color w:val="auto"/>
                <w:sz w:val="24"/>
                <w:szCs w:val="24"/>
                <w:u w:val="none"/>
              </w:rPr>
              <w:t>2019/1148</w:t>
            </w:r>
            <w:r w:rsidRPr="007B5450">
              <w:rPr>
                <w:rFonts w:ascii="Times New Roman" w:hAnsi="Times New Roman"/>
                <w:sz w:val="24"/>
                <w:szCs w:val="24"/>
              </w:rPr>
              <w:t xml:space="preserve"> par sprāgstvielu prekursoru</w:t>
            </w:r>
            <w:r w:rsidRPr="00D9455E">
              <w:rPr>
                <w:rFonts w:ascii="Times New Roman" w:hAnsi="Times New Roman"/>
                <w:sz w:val="24"/>
                <w:szCs w:val="24"/>
              </w:rPr>
              <w:t xml:space="preserve"> tirdzniecību un lietošanu</w:t>
            </w:r>
            <w:r w:rsidRPr="00D9455E">
              <w:rPr>
                <w:rFonts w:ascii="Times New Roman" w:hAnsi="Times New Roman"/>
                <w:sz w:val="24"/>
                <w:szCs w:val="24"/>
                <w:shd w:val="clear" w:color="auto" w:fill="FFFFFF"/>
              </w:rPr>
              <w:t>, ar ko groza Regulu (EK) Nr. 1907/2006 un atceļ Regulu (ES) Nr. 98/2013</w:t>
            </w:r>
            <w:r w:rsidRPr="00D9455E">
              <w:rPr>
                <w:rFonts w:ascii="Times New Roman" w:hAnsi="Times New Roman"/>
                <w:sz w:val="24"/>
                <w:szCs w:val="24"/>
              </w:rPr>
              <w:t xml:space="preserve"> (turpmāk – Regula Nr. 2019/1148), kura ar 2021.gada 1.februāri aizstās Eiropas Parlamenta un Padomes 2013. gada 15. janvāra Regulu (ES) Nr. </w:t>
            </w:r>
            <w:r w:rsidRPr="00D9455E">
              <w:rPr>
                <w:rStyle w:val="Hyperlink"/>
                <w:rFonts w:ascii="Times New Roman" w:hAnsi="Times New Roman"/>
                <w:color w:val="auto"/>
                <w:sz w:val="24"/>
                <w:szCs w:val="24"/>
                <w:u w:val="none"/>
              </w:rPr>
              <w:t>98/2013</w:t>
            </w:r>
            <w:r w:rsidRPr="00D9455E">
              <w:rPr>
                <w:rFonts w:ascii="Times New Roman" w:hAnsi="Times New Roman"/>
                <w:sz w:val="24"/>
                <w:szCs w:val="24"/>
              </w:rPr>
              <w:t xml:space="preserve"> par sprāgstvielu </w:t>
            </w:r>
            <w:r w:rsidRPr="00D21CE4">
              <w:rPr>
                <w:rFonts w:ascii="Times New Roman" w:hAnsi="Times New Roman"/>
                <w:sz w:val="24"/>
                <w:szCs w:val="24"/>
              </w:rPr>
              <w:t>prekursoru tirdzniecību un lietošanu</w:t>
            </w:r>
            <w:r>
              <w:rPr>
                <w:rFonts w:ascii="Times New Roman" w:hAnsi="Times New Roman"/>
                <w:sz w:val="24"/>
                <w:szCs w:val="24"/>
              </w:rPr>
              <w:t xml:space="preserve"> </w:t>
            </w:r>
            <w:r w:rsidRPr="00D21CE4">
              <w:rPr>
                <w:rFonts w:ascii="Times New Roman" w:hAnsi="Times New Roman"/>
                <w:sz w:val="24"/>
                <w:szCs w:val="24"/>
              </w:rPr>
              <w:t xml:space="preserve">(turpmāk – Regula Nr. 98/2013). </w:t>
            </w:r>
          </w:p>
          <w:p w:rsidR="00DA7279" w:rsidRDefault="00390DD2" w:rsidP="002333C9">
            <w:pPr>
              <w:spacing w:after="0" w:line="240" w:lineRule="auto"/>
              <w:ind w:firstLine="720"/>
              <w:jc w:val="both"/>
              <w:rPr>
                <w:rFonts w:ascii="Times New Roman" w:eastAsia="Times New Roman" w:hAnsi="Times New Roman"/>
                <w:bCs/>
                <w:sz w:val="24"/>
                <w:szCs w:val="24"/>
                <w:lang w:eastAsia="lv-LV"/>
              </w:rPr>
            </w:pPr>
            <w:r w:rsidRPr="00D21CE4">
              <w:rPr>
                <w:rFonts w:ascii="Times New Roman" w:eastAsia="Times New Roman" w:hAnsi="Times New Roman"/>
                <w:bCs/>
                <w:color w:val="000000"/>
                <w:sz w:val="24"/>
                <w:szCs w:val="24"/>
                <w:lang w:eastAsia="lv-LV"/>
              </w:rPr>
              <w:t xml:space="preserve">Regula Nr.2019/1148 reglamentē sprāgstvielu prekursoru tirdzniecību un lietošanu un pēc savas būtības satur Regulai Nr.98/2013 līdzīgu regulējumu, taču tās normas nosaka papildus prasības un precizē </w:t>
            </w:r>
            <w:r w:rsidRPr="00D9455E">
              <w:rPr>
                <w:rFonts w:ascii="Times New Roman" w:eastAsia="Times New Roman" w:hAnsi="Times New Roman"/>
                <w:bCs/>
                <w:sz w:val="24"/>
                <w:szCs w:val="24"/>
                <w:lang w:eastAsia="lv-LV"/>
              </w:rPr>
              <w:t>Regulā Nr. 98/2013 noteikto.</w:t>
            </w:r>
            <w:r w:rsidR="00EB5815" w:rsidRPr="00D9455E">
              <w:rPr>
                <w:rFonts w:ascii="Times New Roman" w:eastAsia="Times New Roman" w:hAnsi="Times New Roman"/>
                <w:bCs/>
                <w:sz w:val="24"/>
                <w:szCs w:val="24"/>
                <w:lang w:eastAsia="lv-LV"/>
              </w:rPr>
              <w:t xml:space="preserve"> </w:t>
            </w:r>
          </w:p>
          <w:p w:rsidR="004D6CCD" w:rsidRDefault="00722636" w:rsidP="002333C9">
            <w:pPr>
              <w:spacing w:after="0" w:line="240" w:lineRule="auto"/>
              <w:ind w:firstLine="720"/>
              <w:jc w:val="both"/>
              <w:rPr>
                <w:rFonts w:ascii="Times New Roman" w:hAnsi="Times New Roman"/>
                <w:sz w:val="24"/>
                <w:szCs w:val="24"/>
              </w:rPr>
            </w:pPr>
            <w:r w:rsidRPr="00D21CE4">
              <w:rPr>
                <w:rFonts w:ascii="Times New Roman" w:eastAsia="Times New Roman" w:hAnsi="Times New Roman"/>
                <w:bCs/>
                <w:color w:val="000000"/>
                <w:sz w:val="24"/>
                <w:szCs w:val="24"/>
                <w:lang w:eastAsia="lv-LV"/>
              </w:rPr>
              <w:t>Regula Nr.2019/1148</w:t>
            </w:r>
            <w:r>
              <w:rPr>
                <w:rFonts w:ascii="Times New Roman" w:eastAsia="Times New Roman" w:hAnsi="Times New Roman"/>
                <w:bCs/>
                <w:color w:val="000000"/>
                <w:sz w:val="24"/>
                <w:szCs w:val="24"/>
                <w:lang w:eastAsia="lv-LV"/>
              </w:rPr>
              <w:t xml:space="preserve"> nosaka </w:t>
            </w:r>
            <w:r w:rsidR="00D9522A" w:rsidRPr="00D9522A">
              <w:rPr>
                <w:rFonts w:ascii="Times New Roman" w:hAnsi="Times New Roman"/>
                <w:sz w:val="24"/>
                <w:szCs w:val="24"/>
              </w:rPr>
              <w:t>kā darīt pieejamas, ievest, turēt īpašumā un lietot tādas vielas vai maisījumus, ko varētu ļaunprātīgi izmantot sprāgstvielu nelikumīgai izgatavošanai, nolūkā ierobežot attiecīgo vielu vai maisījumu pieejamību plašas sabiedrības locekļiem un nolūkā nodrošināt atbilstīgu ziņošanu par aizdomīgiem darījumiem visā piegādes ķēdē.</w:t>
            </w:r>
            <w:r>
              <w:rPr>
                <w:rFonts w:ascii="Times New Roman" w:hAnsi="Times New Roman"/>
                <w:sz w:val="24"/>
                <w:szCs w:val="24"/>
              </w:rPr>
              <w:t xml:space="preserve"> </w:t>
            </w:r>
          </w:p>
          <w:p w:rsidR="00220799" w:rsidRDefault="00722636" w:rsidP="002333C9">
            <w:pPr>
              <w:spacing w:after="0" w:line="240" w:lineRule="auto"/>
              <w:ind w:firstLine="720"/>
              <w:jc w:val="both"/>
              <w:rPr>
                <w:rFonts w:ascii="Times New Roman" w:hAnsi="Times New Roman"/>
                <w:sz w:val="24"/>
                <w:szCs w:val="24"/>
              </w:rPr>
            </w:pPr>
            <w:r w:rsidRPr="00361FEB">
              <w:rPr>
                <w:rFonts w:ascii="Times New Roman" w:eastAsia="Times New Roman" w:hAnsi="Times New Roman"/>
                <w:bCs/>
                <w:color w:val="000000"/>
                <w:sz w:val="24"/>
                <w:szCs w:val="24"/>
                <w:lang w:eastAsia="lv-LV"/>
              </w:rPr>
              <w:t xml:space="preserve">Regula Nr.2019/1148 iedala </w:t>
            </w:r>
            <w:r w:rsidRPr="00361FEB">
              <w:rPr>
                <w:rFonts w:ascii="Times New Roman" w:hAnsi="Times New Roman"/>
                <w:sz w:val="24"/>
                <w:szCs w:val="24"/>
              </w:rPr>
              <w:t xml:space="preserve">sprāgstvielu prekursorus ierobežotajos un reglamentētajos. </w:t>
            </w:r>
          </w:p>
          <w:p w:rsidR="00220799" w:rsidRDefault="004D6CCD" w:rsidP="002333C9">
            <w:pPr>
              <w:spacing w:after="0" w:line="240" w:lineRule="auto"/>
              <w:ind w:firstLine="720"/>
              <w:jc w:val="both"/>
              <w:rPr>
                <w:rFonts w:ascii="Times New Roman" w:hAnsi="Times New Roman"/>
                <w:sz w:val="24"/>
                <w:szCs w:val="24"/>
              </w:rPr>
            </w:pPr>
            <w:r w:rsidRPr="00361FEB">
              <w:rPr>
                <w:rFonts w:ascii="Times New Roman" w:hAnsi="Times New Roman"/>
                <w:sz w:val="24"/>
                <w:szCs w:val="24"/>
              </w:rPr>
              <w:t xml:space="preserve">Reglamentētie sprāgstvielu prekursori ir </w:t>
            </w:r>
            <w:r w:rsidR="00220799">
              <w:rPr>
                <w:rFonts w:ascii="Times New Roman" w:hAnsi="Times New Roman"/>
                <w:sz w:val="24"/>
                <w:szCs w:val="24"/>
              </w:rPr>
              <w:t>pieejami gan profesionālajiem lietotājiem, gan plašas sabiedrības locekļiem</w:t>
            </w:r>
            <w:r w:rsidRPr="00361FEB">
              <w:rPr>
                <w:rFonts w:ascii="Times New Roman" w:hAnsi="Times New Roman"/>
                <w:sz w:val="24"/>
                <w:szCs w:val="24"/>
              </w:rPr>
              <w:t xml:space="preserve">. </w:t>
            </w:r>
            <w:r w:rsidR="00220799">
              <w:rPr>
                <w:rFonts w:ascii="Times New Roman" w:hAnsi="Times New Roman"/>
                <w:sz w:val="24"/>
                <w:szCs w:val="24"/>
              </w:rPr>
              <w:t>Savukārt i</w:t>
            </w:r>
            <w:r w:rsidR="00722636" w:rsidRPr="00361FEB">
              <w:rPr>
                <w:rFonts w:ascii="Times New Roman" w:hAnsi="Times New Roman"/>
                <w:sz w:val="24"/>
                <w:szCs w:val="24"/>
              </w:rPr>
              <w:t xml:space="preserve">erobežotus sprāgstvielu prekursorus nedara pieejamus plašas sabiedrības locekļiem, plašas sabiedrības locekļi tos neieved, netur īpašumā un nelieto. </w:t>
            </w:r>
          </w:p>
          <w:p w:rsidR="00DA7279" w:rsidRDefault="004D6CCD" w:rsidP="002333C9">
            <w:pPr>
              <w:spacing w:after="0" w:line="240" w:lineRule="auto"/>
              <w:ind w:firstLine="720"/>
              <w:jc w:val="both"/>
              <w:rPr>
                <w:rFonts w:ascii="Times New Roman" w:hAnsi="Times New Roman"/>
                <w:sz w:val="24"/>
                <w:szCs w:val="24"/>
              </w:rPr>
            </w:pPr>
            <w:r w:rsidRPr="00361FEB">
              <w:rPr>
                <w:rFonts w:ascii="Times New Roman" w:hAnsi="Times New Roman"/>
                <w:sz w:val="24"/>
                <w:szCs w:val="24"/>
              </w:rPr>
              <w:t xml:space="preserve">Tomēr </w:t>
            </w:r>
            <w:r w:rsidRPr="00361FEB">
              <w:rPr>
                <w:rFonts w:ascii="Times New Roman" w:eastAsia="Times New Roman" w:hAnsi="Times New Roman"/>
                <w:bCs/>
                <w:color w:val="000000"/>
                <w:sz w:val="24"/>
                <w:szCs w:val="24"/>
                <w:lang w:eastAsia="lv-LV"/>
              </w:rPr>
              <w:t>Regula Nr.2019/1148 paredz, ka</w:t>
            </w:r>
            <w:r w:rsidR="00722636" w:rsidRPr="00361FEB">
              <w:rPr>
                <w:rFonts w:ascii="Times New Roman" w:hAnsi="Times New Roman"/>
                <w:sz w:val="24"/>
                <w:szCs w:val="24"/>
              </w:rPr>
              <w:t xml:space="preserve"> dalībvalsts var noteikt licencēšanas režīmu, ar kuru konkrētus ierobežotus sprāgstvielu prekursorus noteiktajā koncentrācijā </w:t>
            </w:r>
            <w:r w:rsidRPr="00361FEB">
              <w:rPr>
                <w:rFonts w:ascii="Times New Roman" w:hAnsi="Times New Roman"/>
                <w:sz w:val="24"/>
                <w:szCs w:val="24"/>
              </w:rPr>
              <w:t xml:space="preserve">ir </w:t>
            </w:r>
            <w:r w:rsidR="00722636" w:rsidRPr="00361FEB">
              <w:rPr>
                <w:rFonts w:ascii="Times New Roman" w:hAnsi="Times New Roman"/>
                <w:sz w:val="24"/>
                <w:szCs w:val="24"/>
              </w:rPr>
              <w:t>atļau</w:t>
            </w:r>
            <w:r w:rsidRPr="00361FEB">
              <w:rPr>
                <w:rFonts w:ascii="Times New Roman" w:hAnsi="Times New Roman"/>
                <w:sz w:val="24"/>
                <w:szCs w:val="24"/>
              </w:rPr>
              <w:t>ts</w:t>
            </w:r>
            <w:r w:rsidR="00722636" w:rsidRPr="00361FEB">
              <w:rPr>
                <w:rFonts w:ascii="Times New Roman" w:hAnsi="Times New Roman"/>
                <w:sz w:val="24"/>
                <w:szCs w:val="24"/>
              </w:rPr>
              <w:t xml:space="preserve"> darīt </w:t>
            </w:r>
            <w:r w:rsidR="00722636" w:rsidRPr="00361FEB">
              <w:rPr>
                <w:rFonts w:ascii="Times New Roman" w:hAnsi="Times New Roman"/>
                <w:sz w:val="24"/>
                <w:szCs w:val="24"/>
              </w:rPr>
              <w:lastRenderedPageBreak/>
              <w:t>pieejamus plašas sabiedrības locekļiem, tos ievest, turēt īpašumā vai lietot. Latvijas Republikā šāds režīms</w:t>
            </w:r>
            <w:r w:rsidR="00BF33A7" w:rsidRPr="00361FEB">
              <w:rPr>
                <w:rFonts w:ascii="Times New Roman" w:hAnsi="Times New Roman"/>
                <w:sz w:val="24"/>
                <w:szCs w:val="24"/>
              </w:rPr>
              <w:t xml:space="preserve"> nav paredzēts</w:t>
            </w:r>
            <w:r w:rsidRPr="00361FEB">
              <w:rPr>
                <w:rFonts w:ascii="Times New Roman" w:hAnsi="Times New Roman"/>
                <w:sz w:val="24"/>
                <w:szCs w:val="24"/>
              </w:rPr>
              <w:t xml:space="preserve">, un tirgū </w:t>
            </w:r>
            <w:r w:rsidR="00220799" w:rsidRPr="00361FEB">
              <w:rPr>
                <w:rFonts w:ascii="Times New Roman" w:hAnsi="Times New Roman"/>
                <w:sz w:val="24"/>
                <w:szCs w:val="24"/>
              </w:rPr>
              <w:t xml:space="preserve">plašas sabiedrības locekļiem </w:t>
            </w:r>
            <w:r w:rsidRPr="00361FEB">
              <w:rPr>
                <w:rFonts w:ascii="Times New Roman" w:hAnsi="Times New Roman"/>
                <w:sz w:val="24"/>
                <w:szCs w:val="24"/>
              </w:rPr>
              <w:t>var nonākt tikai reglamentētie sprāgstvielu prekursori</w:t>
            </w:r>
            <w:r w:rsidR="00BF33A7" w:rsidRPr="00361FEB">
              <w:rPr>
                <w:rFonts w:ascii="Times New Roman" w:hAnsi="Times New Roman"/>
                <w:sz w:val="24"/>
                <w:szCs w:val="24"/>
              </w:rPr>
              <w:t>.</w:t>
            </w:r>
          </w:p>
          <w:p w:rsidR="00220799" w:rsidRDefault="00220799" w:rsidP="002333C9">
            <w:pPr>
              <w:spacing w:after="0" w:line="240" w:lineRule="auto"/>
              <w:ind w:firstLine="720"/>
              <w:jc w:val="both"/>
              <w:rPr>
                <w:rFonts w:ascii="Times New Roman" w:eastAsia="Times New Roman" w:hAnsi="Times New Roman"/>
                <w:bCs/>
                <w:color w:val="000000"/>
                <w:sz w:val="24"/>
                <w:szCs w:val="24"/>
                <w:lang w:eastAsia="lv-LV"/>
              </w:rPr>
            </w:pPr>
            <w:r w:rsidRPr="00220799">
              <w:rPr>
                <w:rFonts w:ascii="Times New Roman" w:hAnsi="Times New Roman"/>
                <w:sz w:val="24"/>
                <w:szCs w:val="24"/>
              </w:rPr>
              <w:t xml:space="preserve"> </w:t>
            </w:r>
            <w:r>
              <w:rPr>
                <w:rFonts w:ascii="Times New Roman" w:eastAsia="Times New Roman" w:hAnsi="Times New Roman"/>
                <w:bCs/>
                <w:color w:val="000000"/>
                <w:sz w:val="24"/>
                <w:szCs w:val="24"/>
                <w:lang w:eastAsia="lv-LV"/>
              </w:rPr>
              <w:t>Likumprojektā ir paredzēts noteikt atbildību par i</w:t>
            </w:r>
            <w:r w:rsidRPr="00220799">
              <w:rPr>
                <w:rFonts w:ascii="Times New Roman" w:eastAsia="Times New Roman" w:hAnsi="Times New Roman"/>
                <w:bCs/>
                <w:color w:val="000000"/>
                <w:sz w:val="24"/>
                <w:szCs w:val="24"/>
                <w:lang w:eastAsia="lv-LV"/>
              </w:rPr>
              <w:t>erobežotu sprāgstvielu prekursoru neatļaut</w:t>
            </w:r>
            <w:r>
              <w:rPr>
                <w:rFonts w:ascii="Times New Roman" w:eastAsia="Times New Roman" w:hAnsi="Times New Roman"/>
                <w:bCs/>
                <w:color w:val="000000"/>
                <w:sz w:val="24"/>
                <w:szCs w:val="24"/>
                <w:lang w:eastAsia="lv-LV"/>
              </w:rPr>
              <w:t>u</w:t>
            </w:r>
            <w:r w:rsidRPr="00220799">
              <w:rPr>
                <w:rFonts w:ascii="Times New Roman" w:eastAsia="Times New Roman" w:hAnsi="Times New Roman"/>
                <w:bCs/>
                <w:color w:val="000000"/>
                <w:sz w:val="24"/>
                <w:szCs w:val="24"/>
                <w:lang w:eastAsia="lv-LV"/>
              </w:rPr>
              <w:t xml:space="preserve"> pārdošan</w:t>
            </w:r>
            <w:r>
              <w:rPr>
                <w:rFonts w:ascii="Times New Roman" w:eastAsia="Times New Roman" w:hAnsi="Times New Roman"/>
                <w:bCs/>
                <w:color w:val="000000"/>
                <w:sz w:val="24"/>
                <w:szCs w:val="24"/>
                <w:lang w:eastAsia="lv-LV"/>
              </w:rPr>
              <w:t>u, nodošanu, iegādāšanos un glabāšanu plašas sabiedrības locekļiem.</w:t>
            </w:r>
          </w:p>
          <w:p w:rsidR="00220799" w:rsidRDefault="00220799" w:rsidP="00220799">
            <w:pPr>
              <w:spacing w:after="0" w:line="240" w:lineRule="auto"/>
              <w:ind w:firstLine="720"/>
              <w:jc w:val="both"/>
              <w:rPr>
                <w:rFonts w:ascii="Times New Roman" w:hAnsi="Times New Roman"/>
                <w:sz w:val="24"/>
                <w:szCs w:val="24"/>
              </w:rPr>
            </w:pPr>
            <w:r w:rsidRPr="00220799">
              <w:rPr>
                <w:rFonts w:ascii="Times New Roman" w:hAnsi="Times New Roman"/>
                <w:sz w:val="24"/>
                <w:szCs w:val="24"/>
              </w:rPr>
              <w:t xml:space="preserve">Atšķirība starp profesionāliem lietotājiem, kuriem drīkstētu darīt pieejamus ierobežotos sprāgstvielu prekursorus, un plašas sabiedrības locekļiem, kuriem tos nedrīkstētu darīt pieejamus, ir atkarīga no tā, vai persona plāno izmantot attiecīgo sprāgstvielu prekursoru mērķiem, kas ir saistīti ar attiecīgās personas konkrēto komercdarbību, </w:t>
            </w:r>
            <w:proofErr w:type="spellStart"/>
            <w:r w:rsidRPr="00220799">
              <w:rPr>
                <w:rFonts w:ascii="Times New Roman" w:hAnsi="Times New Roman"/>
                <w:sz w:val="24"/>
                <w:szCs w:val="24"/>
              </w:rPr>
              <w:t>darījumdarbību</w:t>
            </w:r>
            <w:proofErr w:type="spellEnd"/>
            <w:r w:rsidRPr="00220799">
              <w:rPr>
                <w:rFonts w:ascii="Times New Roman" w:hAnsi="Times New Roman"/>
                <w:sz w:val="24"/>
                <w:szCs w:val="24"/>
              </w:rPr>
              <w:t xml:space="preserve"> vai profesiju. Tāpēc </w:t>
            </w:r>
            <w:r>
              <w:rPr>
                <w:rFonts w:ascii="Times New Roman" w:hAnsi="Times New Roman"/>
                <w:sz w:val="24"/>
                <w:szCs w:val="24"/>
              </w:rPr>
              <w:t>komersantiem</w:t>
            </w:r>
            <w:r w:rsidRPr="00220799">
              <w:rPr>
                <w:rFonts w:ascii="Times New Roman" w:hAnsi="Times New Roman"/>
                <w:sz w:val="24"/>
                <w:szCs w:val="24"/>
              </w:rPr>
              <w:t xml:space="preserve"> nevajadzētu darīt pieejamus ierobežotus sprāgstvielu prekursorus ne fiziskām, ne juridiskām personām, kas veic profesionālu darbību jomās, kurās konkrētie ierobežotie sprāgstvielu prekursori parasti netiek lietoti profesionālos nolūkos, nedz arī fiziskām vai juridiskām personām, kas iesaistītas darbībās, kuras nav saistītas ne ar kādu profesionālo nolūku.</w:t>
            </w:r>
          </w:p>
          <w:p w:rsidR="009F648F" w:rsidRPr="009F648F" w:rsidRDefault="000239CD" w:rsidP="009F648F">
            <w:pPr>
              <w:spacing w:after="0" w:line="240" w:lineRule="auto"/>
              <w:ind w:firstLine="720"/>
              <w:jc w:val="both"/>
              <w:rPr>
                <w:rFonts w:ascii="Times New Roman" w:hAnsi="Times New Roman"/>
                <w:sz w:val="24"/>
                <w:szCs w:val="24"/>
              </w:rPr>
            </w:pPr>
            <w:r>
              <w:rPr>
                <w:rFonts w:ascii="Times New Roman" w:hAnsi="Times New Roman"/>
                <w:color w:val="000000"/>
                <w:sz w:val="24"/>
                <w:szCs w:val="24"/>
              </w:rPr>
              <w:t>Ņemot vērā, ka i</w:t>
            </w:r>
            <w:r w:rsidRPr="00220799">
              <w:rPr>
                <w:rFonts w:ascii="Times New Roman" w:eastAsia="Times New Roman" w:hAnsi="Times New Roman"/>
                <w:bCs/>
                <w:color w:val="000000"/>
                <w:sz w:val="24"/>
                <w:szCs w:val="24"/>
                <w:lang w:eastAsia="lv-LV"/>
              </w:rPr>
              <w:t>erobežotu sprāgstvielu prekursoru neatļaut</w:t>
            </w:r>
            <w:r>
              <w:rPr>
                <w:rFonts w:ascii="Times New Roman" w:eastAsia="Times New Roman" w:hAnsi="Times New Roman"/>
                <w:bCs/>
                <w:color w:val="000000"/>
                <w:sz w:val="24"/>
                <w:szCs w:val="24"/>
                <w:lang w:eastAsia="lv-LV"/>
              </w:rPr>
              <w:t>a</w:t>
            </w:r>
            <w:r w:rsidRPr="00220799">
              <w:rPr>
                <w:rFonts w:ascii="Times New Roman" w:eastAsia="Times New Roman" w:hAnsi="Times New Roman"/>
                <w:bCs/>
                <w:color w:val="000000"/>
                <w:sz w:val="24"/>
                <w:szCs w:val="24"/>
                <w:lang w:eastAsia="lv-LV"/>
              </w:rPr>
              <w:t xml:space="preserve"> pārdošan</w:t>
            </w:r>
            <w:r>
              <w:rPr>
                <w:rFonts w:ascii="Times New Roman" w:eastAsia="Times New Roman" w:hAnsi="Times New Roman"/>
                <w:bCs/>
                <w:color w:val="000000"/>
                <w:sz w:val="24"/>
                <w:szCs w:val="24"/>
                <w:lang w:eastAsia="lv-LV"/>
              </w:rPr>
              <w:t>a, nodošana, iegādāšanās un glabāšana skar sabiedrības kārtību un drošību, l</w:t>
            </w:r>
            <w:r w:rsidR="00220799">
              <w:rPr>
                <w:rFonts w:ascii="Times New Roman" w:hAnsi="Times New Roman"/>
                <w:color w:val="000000"/>
                <w:sz w:val="24"/>
                <w:szCs w:val="24"/>
              </w:rPr>
              <w:t>ikumprojekts paredz, ka f</w:t>
            </w:r>
            <w:r w:rsidR="00220799" w:rsidRPr="00F32A51">
              <w:rPr>
                <w:rFonts w:ascii="Times New Roman" w:hAnsi="Times New Roman"/>
                <w:color w:val="000000"/>
                <w:sz w:val="24"/>
                <w:szCs w:val="24"/>
              </w:rPr>
              <w:t>iziska</w:t>
            </w:r>
            <w:r w:rsidR="00220799">
              <w:rPr>
                <w:rFonts w:ascii="Times New Roman" w:hAnsi="Times New Roman"/>
                <w:color w:val="000000"/>
                <w:sz w:val="24"/>
                <w:szCs w:val="24"/>
              </w:rPr>
              <w:t>i</w:t>
            </w:r>
            <w:r w:rsidR="00220799" w:rsidRPr="00F32A51">
              <w:rPr>
                <w:rFonts w:ascii="Times New Roman" w:hAnsi="Times New Roman"/>
                <w:color w:val="000000"/>
                <w:sz w:val="24"/>
                <w:szCs w:val="24"/>
              </w:rPr>
              <w:t xml:space="preserve"> person</w:t>
            </w:r>
            <w:r w:rsidR="00220799">
              <w:rPr>
                <w:rFonts w:ascii="Times New Roman" w:hAnsi="Times New Roman"/>
                <w:color w:val="000000"/>
                <w:sz w:val="24"/>
                <w:szCs w:val="24"/>
              </w:rPr>
              <w:t>ai</w:t>
            </w:r>
            <w:r w:rsidR="00220799" w:rsidRPr="00F32A51">
              <w:rPr>
                <w:rFonts w:ascii="Times New Roman" w:hAnsi="Times New Roman"/>
                <w:color w:val="000000"/>
                <w:sz w:val="24"/>
                <w:szCs w:val="24"/>
              </w:rPr>
              <w:t xml:space="preserve"> </w:t>
            </w:r>
            <w:r w:rsidR="00220799" w:rsidRPr="00B01C38">
              <w:rPr>
                <w:rFonts w:ascii="Times New Roman" w:hAnsi="Times New Roman"/>
                <w:color w:val="000000"/>
                <w:sz w:val="24"/>
                <w:szCs w:val="24"/>
              </w:rPr>
              <w:t>piemēro</w:t>
            </w:r>
            <w:r w:rsidR="00220799">
              <w:rPr>
                <w:rFonts w:ascii="Times New Roman" w:hAnsi="Times New Roman"/>
                <w:color w:val="000000"/>
                <w:sz w:val="24"/>
                <w:szCs w:val="24"/>
              </w:rPr>
              <w:t xml:space="preserve"> </w:t>
            </w:r>
            <w:r w:rsidR="00220799" w:rsidRPr="00220799">
              <w:rPr>
                <w:rFonts w:ascii="Times New Roman" w:hAnsi="Times New Roman"/>
                <w:sz w:val="24"/>
                <w:szCs w:val="24"/>
              </w:rPr>
              <w:t xml:space="preserve">naudas sodu fiziskajām personām no septiņām līdz simt četrdesmit naudas soda vienībām, bet juridiskajām personām — no četrpadsmit līdz tūkstoš četri simti divdesmit naudas soda vienībām.  </w:t>
            </w:r>
          </w:p>
          <w:p w:rsidR="00220799" w:rsidRDefault="00220799" w:rsidP="002333C9">
            <w:pPr>
              <w:spacing w:after="0" w:line="240" w:lineRule="auto"/>
              <w:ind w:firstLine="720"/>
              <w:jc w:val="both"/>
              <w:rPr>
                <w:rFonts w:ascii="Times New Roman" w:hAnsi="Times New Roman"/>
                <w:sz w:val="24"/>
                <w:szCs w:val="24"/>
              </w:rPr>
            </w:pPr>
          </w:p>
          <w:p w:rsidR="00390DD2" w:rsidRPr="00390DD2" w:rsidRDefault="00390DD2" w:rsidP="002333C9">
            <w:pPr>
              <w:spacing w:after="0" w:line="240" w:lineRule="auto"/>
              <w:ind w:firstLine="720"/>
              <w:jc w:val="both"/>
              <w:rPr>
                <w:rFonts w:ascii="Times New Roman" w:hAnsi="Times New Roman"/>
                <w:color w:val="000000"/>
                <w:sz w:val="24"/>
                <w:szCs w:val="24"/>
              </w:rPr>
            </w:pPr>
            <w:r w:rsidRPr="00D9455E">
              <w:rPr>
                <w:rFonts w:ascii="Times New Roman" w:hAnsi="Times New Roman"/>
                <w:sz w:val="24"/>
                <w:szCs w:val="24"/>
              </w:rPr>
              <w:t xml:space="preserve">Regulas Nr.2019/1148 11.panta 1.punktā ir noteikts, ka katra dalībvalsts nodrošina, ka ir izveidotas kompetentas iestādes, kas pārbauda un kontrolē pareizu </w:t>
            </w:r>
            <w:r w:rsidR="00C46F84" w:rsidRPr="00D9455E">
              <w:rPr>
                <w:rFonts w:ascii="Times New Roman" w:hAnsi="Times New Roman"/>
                <w:sz w:val="24"/>
                <w:szCs w:val="24"/>
              </w:rPr>
              <w:t xml:space="preserve">Regulas Nr.2019/1148 </w:t>
            </w:r>
            <w:r w:rsidRPr="00D9455E">
              <w:rPr>
                <w:rFonts w:ascii="Times New Roman" w:hAnsi="Times New Roman"/>
                <w:sz w:val="24"/>
                <w:szCs w:val="24"/>
              </w:rPr>
              <w:t xml:space="preserve">5. – 9.panta piemērošanu (“valsts </w:t>
            </w:r>
            <w:r w:rsidRPr="00390DD2">
              <w:rPr>
                <w:rFonts w:ascii="Times New Roman" w:hAnsi="Times New Roman"/>
                <w:color w:val="000000"/>
                <w:sz w:val="24"/>
                <w:szCs w:val="24"/>
              </w:rPr>
              <w:t xml:space="preserve">inspekcijas iestādes”). Savukārt </w:t>
            </w:r>
            <w:r w:rsidR="00D9455E" w:rsidRPr="00D9455E">
              <w:rPr>
                <w:rFonts w:ascii="Times New Roman" w:hAnsi="Times New Roman"/>
                <w:sz w:val="24"/>
                <w:szCs w:val="24"/>
              </w:rPr>
              <w:t xml:space="preserve">11.panta </w:t>
            </w:r>
            <w:r w:rsidRPr="00390DD2">
              <w:rPr>
                <w:rFonts w:ascii="Times New Roman" w:hAnsi="Times New Roman"/>
                <w:color w:val="000000"/>
                <w:sz w:val="24"/>
                <w:szCs w:val="24"/>
              </w:rPr>
              <w:t xml:space="preserve">2.punktā ir paredzēts, ka katra dalībvalsts nodrošina, ka valsts inspekcijas iestādēm ir līdzekļi un izmeklēšanas pilnvaras, kas vajadzīgas, lai nodrošinātu pienācīgu to uzdevumu pārvaldību saskaņā ar šo regulu. </w:t>
            </w:r>
            <w:r w:rsidR="00C46F84">
              <w:rPr>
                <w:rFonts w:ascii="Times New Roman" w:hAnsi="Times New Roman"/>
                <w:color w:val="000000"/>
                <w:sz w:val="24"/>
                <w:szCs w:val="24"/>
              </w:rPr>
              <w:t xml:space="preserve"> </w:t>
            </w:r>
            <w:r w:rsidR="00D9455E">
              <w:rPr>
                <w:rFonts w:ascii="Times New Roman" w:hAnsi="Times New Roman"/>
                <w:color w:val="000000"/>
                <w:sz w:val="24"/>
                <w:szCs w:val="24"/>
              </w:rPr>
              <w:t xml:space="preserve"> </w:t>
            </w:r>
          </w:p>
          <w:p w:rsidR="00C46F84" w:rsidRDefault="00390DD2" w:rsidP="00C46F84">
            <w:pPr>
              <w:spacing w:after="0" w:line="240" w:lineRule="auto"/>
              <w:ind w:firstLine="720"/>
              <w:jc w:val="both"/>
              <w:rPr>
                <w:rFonts w:ascii="Times New Roman" w:hAnsi="Times New Roman"/>
                <w:color w:val="000000"/>
                <w:sz w:val="24"/>
                <w:szCs w:val="24"/>
              </w:rPr>
            </w:pPr>
            <w:r w:rsidRPr="00390DD2">
              <w:rPr>
                <w:rFonts w:ascii="Times New Roman" w:hAnsi="Times New Roman"/>
                <w:color w:val="000000"/>
                <w:sz w:val="24"/>
                <w:szCs w:val="24"/>
              </w:rPr>
              <w:t>Regulas Nr.2019/1148 5., 6. un 8.pants skar darbības ar ierobežotajiem sprāgstvielu prekursoriem. Atbilstoši Regulas Nr.2019/1148 5.panta 1.punktam ierobežotus sprāgstvielu prekursorus nedara pieejamus plašas sabiedrības locekļiem, plašas sabiedrības locekļi tos neieved, netur īpašumā un nelieto. Savukārt minētā panta 3.punkts nosaka, ka dalībvalsts var saglabāt vai noteikt licencēšanas režīmu, ar kuru konkrētus ierobežotus sprāgstvielu prekursorus koncentrācijā, kas nepārsniedz attiecīgās augšējās robežvērtības, kuras izklāstītas I pielikuma tabulas 3.slejā, atļauj darīt pieejamus plašas sabiedrības locekļiem, tiem tos ie</w:t>
            </w:r>
            <w:r w:rsidR="00C46F84">
              <w:rPr>
                <w:rFonts w:ascii="Times New Roman" w:hAnsi="Times New Roman"/>
                <w:color w:val="000000"/>
                <w:sz w:val="24"/>
                <w:szCs w:val="24"/>
              </w:rPr>
              <w:t xml:space="preserve">vest, turēt īpašumā vai lietot. </w:t>
            </w:r>
            <w:r w:rsidRPr="00390DD2">
              <w:rPr>
                <w:rFonts w:ascii="Times New Roman" w:hAnsi="Times New Roman"/>
                <w:color w:val="000000"/>
                <w:sz w:val="24"/>
                <w:szCs w:val="24"/>
              </w:rPr>
              <w:lastRenderedPageBreak/>
              <w:t xml:space="preserve">Ņemot vērā to, ka Latvijas Republikā netika izveidots licencēšanas mehānisms, saskaņā ar kuru ierobežotus sprāgstvielu prekursorus varētu darīt pieejamus plašas sabiedrības locekļiem, jebkāda rīcība ar tiem ir aizliegta. </w:t>
            </w:r>
          </w:p>
          <w:p w:rsidR="00390DD2" w:rsidRPr="00526B45" w:rsidRDefault="00390DD2" w:rsidP="00C46F84">
            <w:pPr>
              <w:spacing w:after="0" w:line="240" w:lineRule="auto"/>
              <w:ind w:firstLine="720"/>
              <w:jc w:val="both"/>
              <w:rPr>
                <w:rFonts w:ascii="Times New Roman" w:hAnsi="Times New Roman"/>
                <w:color w:val="000000"/>
                <w:sz w:val="24"/>
                <w:szCs w:val="24"/>
              </w:rPr>
            </w:pPr>
            <w:r w:rsidRPr="00390DD2">
              <w:rPr>
                <w:rFonts w:ascii="Times New Roman" w:hAnsi="Times New Roman"/>
                <w:color w:val="000000"/>
                <w:sz w:val="24"/>
                <w:szCs w:val="24"/>
              </w:rPr>
              <w:t>Līdz ar to m</w:t>
            </w:r>
            <w:r w:rsidR="0009145F">
              <w:rPr>
                <w:rFonts w:ascii="Times New Roman" w:hAnsi="Times New Roman"/>
                <w:color w:val="000000"/>
                <w:sz w:val="24"/>
                <w:szCs w:val="24"/>
              </w:rPr>
              <w:t>inētais Regulas Nr.2019/1148 5. un 6.</w:t>
            </w:r>
            <w:r w:rsidRPr="00390DD2">
              <w:rPr>
                <w:rFonts w:ascii="Times New Roman" w:hAnsi="Times New Roman"/>
                <w:color w:val="000000"/>
                <w:sz w:val="24"/>
                <w:szCs w:val="24"/>
              </w:rPr>
              <w:t>panta re</w:t>
            </w:r>
            <w:r w:rsidR="00C46F84">
              <w:rPr>
                <w:rFonts w:ascii="Times New Roman" w:hAnsi="Times New Roman"/>
                <w:color w:val="000000"/>
                <w:sz w:val="24"/>
                <w:szCs w:val="24"/>
              </w:rPr>
              <w:t xml:space="preserve">gulējums </w:t>
            </w:r>
            <w:r w:rsidR="00BB4AC6">
              <w:rPr>
                <w:rFonts w:ascii="Times New Roman" w:hAnsi="Times New Roman"/>
                <w:color w:val="000000"/>
                <w:sz w:val="24"/>
                <w:szCs w:val="24"/>
              </w:rPr>
              <w:t xml:space="preserve">par licencēm </w:t>
            </w:r>
            <w:r w:rsidR="00C46F84">
              <w:rPr>
                <w:rFonts w:ascii="Times New Roman" w:hAnsi="Times New Roman"/>
                <w:color w:val="000000"/>
                <w:sz w:val="24"/>
                <w:szCs w:val="24"/>
              </w:rPr>
              <w:t xml:space="preserve">neattiecas uz Latviju un </w:t>
            </w:r>
            <w:r w:rsidRPr="00390DD2">
              <w:rPr>
                <w:rFonts w:ascii="Times New Roman" w:hAnsi="Times New Roman"/>
                <w:color w:val="000000"/>
                <w:sz w:val="24"/>
                <w:szCs w:val="24"/>
              </w:rPr>
              <w:t xml:space="preserve">Regulā Nr.2019/1148 noteiktajām “valsts inspekcijas iestādēm” ir kompetence par Regulas Nr.2019/1148 7.pantā noteikto informēšanu piegādes ķēdēs, kā arī par 9.pantā noteikto ziņošanu </w:t>
            </w:r>
            <w:r w:rsidRPr="00526B45">
              <w:rPr>
                <w:rFonts w:ascii="Times New Roman" w:hAnsi="Times New Roman"/>
                <w:color w:val="000000"/>
                <w:sz w:val="24"/>
                <w:szCs w:val="24"/>
              </w:rPr>
              <w:t xml:space="preserve">attiecīgajam kontaktpunktam.  </w:t>
            </w:r>
          </w:p>
          <w:p w:rsidR="00AB555B" w:rsidRPr="00526B45" w:rsidRDefault="00AB555B" w:rsidP="00BB4AC6">
            <w:pPr>
              <w:spacing w:after="0" w:line="240" w:lineRule="auto"/>
              <w:ind w:firstLine="720"/>
              <w:jc w:val="both"/>
              <w:rPr>
                <w:rFonts w:ascii="Times New Roman" w:hAnsi="Times New Roman"/>
                <w:color w:val="000000"/>
                <w:sz w:val="24"/>
                <w:szCs w:val="24"/>
              </w:rPr>
            </w:pPr>
            <w:r w:rsidRPr="00526B45">
              <w:rPr>
                <w:rFonts w:ascii="Times New Roman" w:hAnsi="Times New Roman"/>
                <w:color w:val="000000"/>
                <w:sz w:val="24"/>
                <w:szCs w:val="24"/>
              </w:rPr>
              <w:t xml:space="preserve">Ņemot vērā, ka Regulā Nr.2019/1148 noteiktā inspekcijas funkcija </w:t>
            </w:r>
            <w:r w:rsidR="005C2209" w:rsidRPr="00526B45">
              <w:rPr>
                <w:rFonts w:ascii="Times New Roman" w:hAnsi="Times New Roman"/>
                <w:color w:val="000000"/>
                <w:sz w:val="24"/>
                <w:szCs w:val="24"/>
              </w:rPr>
              <w:t>ietver sevī tiesības</w:t>
            </w:r>
            <w:r w:rsidRPr="00526B45">
              <w:rPr>
                <w:rFonts w:ascii="Times New Roman" w:hAnsi="Times New Roman"/>
                <w:color w:val="000000"/>
                <w:sz w:val="24"/>
                <w:szCs w:val="24"/>
              </w:rPr>
              <w:t xml:space="preserve"> izmeklēt</w:t>
            </w:r>
            <w:r w:rsidR="00526B45">
              <w:rPr>
                <w:rFonts w:ascii="Times New Roman" w:hAnsi="Times New Roman"/>
                <w:color w:val="000000"/>
                <w:sz w:val="24"/>
                <w:szCs w:val="24"/>
              </w:rPr>
              <w:t>, no kurām izriet tiesības</w:t>
            </w:r>
            <w:r w:rsidRPr="00526B45">
              <w:rPr>
                <w:rFonts w:ascii="Times New Roman" w:hAnsi="Times New Roman"/>
                <w:color w:val="000000"/>
                <w:sz w:val="24"/>
                <w:szCs w:val="24"/>
              </w:rPr>
              <w:t xml:space="preserve"> nepieciešamības gadījumā </w:t>
            </w:r>
            <w:r w:rsidR="005C2209" w:rsidRPr="00526B45">
              <w:rPr>
                <w:rFonts w:ascii="Times New Roman" w:hAnsi="Times New Roman"/>
                <w:color w:val="000000"/>
                <w:sz w:val="24"/>
                <w:szCs w:val="24"/>
              </w:rPr>
              <w:t xml:space="preserve">arī </w:t>
            </w:r>
            <w:r w:rsidRPr="00526B45">
              <w:rPr>
                <w:rFonts w:ascii="Times New Roman" w:hAnsi="Times New Roman"/>
                <w:color w:val="000000"/>
                <w:sz w:val="24"/>
                <w:szCs w:val="24"/>
              </w:rPr>
              <w:t>sodīt, Valsts policija ir uzskatāma par valsts inspekcijas iestādi Regulas Nr.2019/1148 11.panta izpratnē. Vienlaikus norādāms, ka Valsts drošības dienests</w:t>
            </w:r>
            <w:r w:rsidR="005C2209" w:rsidRPr="00526B45">
              <w:rPr>
                <w:rFonts w:ascii="Times New Roman" w:hAnsi="Times New Roman"/>
                <w:color w:val="000000"/>
                <w:sz w:val="24"/>
                <w:szCs w:val="24"/>
              </w:rPr>
              <w:t>, pi</w:t>
            </w:r>
            <w:r w:rsidR="000365DF" w:rsidRPr="00526B45">
              <w:rPr>
                <w:rFonts w:ascii="Times New Roman" w:hAnsi="Times New Roman"/>
                <w:color w:val="000000"/>
                <w:sz w:val="24"/>
                <w:szCs w:val="24"/>
              </w:rPr>
              <w:t>ldot</w:t>
            </w:r>
            <w:r w:rsidRPr="00526B45">
              <w:rPr>
                <w:rFonts w:ascii="Times New Roman" w:hAnsi="Times New Roman"/>
                <w:color w:val="000000"/>
                <w:sz w:val="24"/>
                <w:szCs w:val="24"/>
              </w:rPr>
              <w:t xml:space="preserve"> </w:t>
            </w:r>
            <w:r w:rsidR="000365DF" w:rsidRPr="00526B45">
              <w:rPr>
                <w:rFonts w:ascii="Times New Roman" w:hAnsi="Times New Roman"/>
                <w:sz w:val="24"/>
                <w:szCs w:val="24"/>
              </w:rPr>
              <w:t>kontaktpunkta</w:t>
            </w:r>
            <w:r w:rsidR="00526B45">
              <w:rPr>
                <w:rFonts w:ascii="Times New Roman" w:hAnsi="Times New Roman"/>
                <w:sz w:val="24"/>
                <w:szCs w:val="24"/>
              </w:rPr>
              <w:t xml:space="preserve"> funkciju</w:t>
            </w:r>
            <w:r w:rsidR="000365DF" w:rsidRPr="00526B45">
              <w:rPr>
                <w:rFonts w:ascii="Times New Roman" w:hAnsi="Times New Roman"/>
                <w:sz w:val="24"/>
                <w:szCs w:val="24"/>
              </w:rPr>
              <w:t>, kam ziņo par aizdomīgiem darījumiem ar sprāgstvielu prekursoriem un to pazušanas vai zādzības gadījumiem</w:t>
            </w:r>
            <w:r w:rsidR="000365DF" w:rsidRPr="00526B45">
              <w:rPr>
                <w:rFonts w:ascii="Times New Roman" w:hAnsi="Times New Roman"/>
                <w:color w:val="000000"/>
                <w:sz w:val="24"/>
                <w:szCs w:val="24"/>
              </w:rPr>
              <w:t xml:space="preserve">, analizē ar paziņotajiem gadījumiem saistītos riskus un nepieciešamības gadījumā sniedz atbilstošo informāciju Valsts policijai </w:t>
            </w:r>
            <w:r w:rsidR="00526B45">
              <w:rPr>
                <w:rFonts w:ascii="Times New Roman" w:hAnsi="Times New Roman"/>
                <w:color w:val="000000"/>
                <w:sz w:val="24"/>
                <w:szCs w:val="24"/>
              </w:rPr>
              <w:t>tās</w:t>
            </w:r>
            <w:r w:rsidR="000365DF" w:rsidRPr="00526B45">
              <w:rPr>
                <w:rFonts w:ascii="Times New Roman" w:hAnsi="Times New Roman"/>
                <w:color w:val="000000"/>
                <w:sz w:val="24"/>
                <w:szCs w:val="24"/>
              </w:rPr>
              <w:t xml:space="preserve"> funkciju izpildei.</w:t>
            </w:r>
          </w:p>
          <w:p w:rsidR="00E25EF1" w:rsidRDefault="00E25EF1" w:rsidP="002333C9">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Regulas Nr.2019/1148 7.panta 1.punkts paredz, ka komersants, kas</w:t>
            </w:r>
            <w:r w:rsidRPr="00E25EF1">
              <w:rPr>
                <w:rFonts w:ascii="Times New Roman" w:hAnsi="Times New Roman"/>
                <w:color w:val="000000"/>
                <w:sz w:val="24"/>
                <w:szCs w:val="24"/>
              </w:rPr>
              <w:t xml:space="preserve"> ierobežoto sprāgstvielu prekursoru dara pieejamu citam </w:t>
            </w:r>
            <w:r>
              <w:rPr>
                <w:rFonts w:ascii="Times New Roman" w:hAnsi="Times New Roman"/>
                <w:color w:val="000000"/>
                <w:sz w:val="24"/>
                <w:szCs w:val="24"/>
              </w:rPr>
              <w:t>komersantam</w:t>
            </w:r>
            <w:r w:rsidRPr="00E25EF1">
              <w:rPr>
                <w:rFonts w:ascii="Times New Roman" w:hAnsi="Times New Roman"/>
                <w:color w:val="000000"/>
                <w:sz w:val="24"/>
                <w:szCs w:val="24"/>
              </w:rPr>
              <w:t xml:space="preserve">, informē attiecīgo </w:t>
            </w:r>
            <w:r>
              <w:rPr>
                <w:rFonts w:ascii="Times New Roman" w:hAnsi="Times New Roman"/>
                <w:color w:val="000000"/>
                <w:sz w:val="24"/>
                <w:szCs w:val="24"/>
              </w:rPr>
              <w:t>komersantu</w:t>
            </w:r>
            <w:r w:rsidRPr="00E25EF1">
              <w:rPr>
                <w:rFonts w:ascii="Times New Roman" w:hAnsi="Times New Roman"/>
                <w:color w:val="000000"/>
                <w:sz w:val="24"/>
                <w:szCs w:val="24"/>
              </w:rPr>
              <w:t xml:space="preserve"> par to, ka </w:t>
            </w:r>
            <w:r>
              <w:rPr>
                <w:rFonts w:ascii="Times New Roman" w:hAnsi="Times New Roman"/>
                <w:color w:val="000000"/>
                <w:sz w:val="24"/>
                <w:szCs w:val="24"/>
              </w:rPr>
              <w:t>i</w:t>
            </w:r>
            <w:r w:rsidRPr="00E25EF1">
              <w:rPr>
                <w:rFonts w:ascii="Times New Roman" w:hAnsi="Times New Roman"/>
                <w:color w:val="000000"/>
                <w:sz w:val="24"/>
                <w:szCs w:val="24"/>
              </w:rPr>
              <w:t>erobežotus sprāgstvielu prekursorus nedara pieejamus plašas sabiedrības locekļiem.</w:t>
            </w:r>
          </w:p>
          <w:p w:rsidR="00390DD2" w:rsidRPr="00390DD2" w:rsidRDefault="00110E23" w:rsidP="002333C9">
            <w:pPr>
              <w:spacing w:after="0" w:line="240" w:lineRule="auto"/>
              <w:ind w:firstLine="720"/>
              <w:jc w:val="both"/>
              <w:rPr>
                <w:rFonts w:ascii="Times New Roman" w:hAnsi="Times New Roman"/>
                <w:color w:val="000000"/>
                <w:sz w:val="24"/>
                <w:szCs w:val="24"/>
              </w:rPr>
            </w:pPr>
            <w:r w:rsidRPr="00526B45">
              <w:rPr>
                <w:rFonts w:ascii="Times New Roman" w:hAnsi="Times New Roman"/>
                <w:color w:val="000000"/>
                <w:sz w:val="24"/>
                <w:szCs w:val="24"/>
              </w:rPr>
              <w:t>Regulas Nr.2019/1148 7.pant</w:t>
            </w:r>
            <w:r w:rsidR="00E25EF1">
              <w:rPr>
                <w:rFonts w:ascii="Times New Roman" w:hAnsi="Times New Roman"/>
                <w:color w:val="000000"/>
                <w:sz w:val="24"/>
                <w:szCs w:val="24"/>
              </w:rPr>
              <w:t>a 2.punktā</w:t>
            </w:r>
            <w:r w:rsidR="00390DD2" w:rsidRPr="00526B45">
              <w:rPr>
                <w:rFonts w:ascii="Times New Roman" w:hAnsi="Times New Roman"/>
                <w:color w:val="000000"/>
                <w:sz w:val="24"/>
                <w:szCs w:val="24"/>
              </w:rPr>
              <w:t xml:space="preserve"> ir</w:t>
            </w:r>
            <w:r w:rsidR="00390DD2" w:rsidRPr="00390DD2">
              <w:rPr>
                <w:rFonts w:ascii="Times New Roman" w:hAnsi="Times New Roman"/>
                <w:color w:val="000000"/>
                <w:sz w:val="24"/>
                <w:szCs w:val="24"/>
              </w:rPr>
              <w:t xml:space="preserve"> paredzēts, ka </w:t>
            </w:r>
            <w:r w:rsidR="00E25EF1">
              <w:rPr>
                <w:rFonts w:ascii="Times New Roman" w:hAnsi="Times New Roman"/>
                <w:color w:val="000000"/>
                <w:sz w:val="24"/>
                <w:szCs w:val="24"/>
              </w:rPr>
              <w:t>komersants</w:t>
            </w:r>
            <w:r w:rsidR="00390DD2" w:rsidRPr="00390DD2">
              <w:rPr>
                <w:rFonts w:ascii="Times New Roman" w:hAnsi="Times New Roman"/>
                <w:color w:val="000000"/>
                <w:sz w:val="24"/>
                <w:szCs w:val="24"/>
              </w:rPr>
              <w:t>, kas reglamentētos sprāgstvielu prekursorus dara pieejamus profesionālam lietotājam vai plašas sabiedrības loceklim, nodrošina un spēj uzskatāmi parādīt 11.pantā minētajām valsts inspekcijas iestādēm, ka tā personāls, kas ir iesaistīts reglamentēto sprāgstvielu prekursoru tirdzniecībā, ir:</w:t>
            </w:r>
          </w:p>
          <w:p w:rsidR="00390DD2" w:rsidRPr="00390DD2" w:rsidRDefault="00390DD2" w:rsidP="002333C9">
            <w:pPr>
              <w:spacing w:after="0" w:line="240" w:lineRule="auto"/>
              <w:ind w:firstLine="720"/>
              <w:jc w:val="both"/>
              <w:rPr>
                <w:rFonts w:ascii="Times New Roman" w:hAnsi="Times New Roman"/>
                <w:color w:val="000000"/>
                <w:sz w:val="24"/>
                <w:szCs w:val="24"/>
              </w:rPr>
            </w:pPr>
            <w:r w:rsidRPr="00390DD2">
              <w:rPr>
                <w:rFonts w:ascii="Times New Roman" w:hAnsi="Times New Roman"/>
                <w:color w:val="000000"/>
                <w:sz w:val="24"/>
                <w:szCs w:val="24"/>
              </w:rPr>
              <w:t>a)</w:t>
            </w:r>
            <w:r w:rsidRPr="00390DD2">
              <w:rPr>
                <w:rFonts w:ascii="Times New Roman" w:hAnsi="Times New Roman"/>
                <w:color w:val="000000"/>
                <w:sz w:val="24"/>
                <w:szCs w:val="24"/>
              </w:rPr>
              <w:tab/>
              <w:t xml:space="preserve"> informēts, kuri no produktiem, ko tas dara pieejamus, satur reglamentētus sprāgstvielu prekursorus;</w:t>
            </w:r>
          </w:p>
          <w:p w:rsidR="00390DD2" w:rsidRPr="00390DD2" w:rsidRDefault="00390DD2" w:rsidP="002333C9">
            <w:pPr>
              <w:spacing w:after="0" w:line="240" w:lineRule="auto"/>
              <w:ind w:firstLine="720"/>
              <w:jc w:val="both"/>
              <w:rPr>
                <w:rFonts w:ascii="Times New Roman" w:hAnsi="Times New Roman"/>
                <w:color w:val="000000"/>
                <w:sz w:val="24"/>
                <w:szCs w:val="24"/>
              </w:rPr>
            </w:pPr>
            <w:r w:rsidRPr="00390DD2">
              <w:rPr>
                <w:rFonts w:ascii="Times New Roman" w:hAnsi="Times New Roman"/>
                <w:color w:val="000000"/>
                <w:sz w:val="24"/>
                <w:szCs w:val="24"/>
              </w:rPr>
              <w:t>b)</w:t>
            </w:r>
            <w:r w:rsidRPr="00390DD2">
              <w:rPr>
                <w:rFonts w:ascii="Times New Roman" w:hAnsi="Times New Roman"/>
                <w:color w:val="000000"/>
                <w:sz w:val="24"/>
                <w:szCs w:val="24"/>
              </w:rPr>
              <w:tab/>
              <w:t xml:space="preserve">instruēts par 5.–9. punktā noteiktajiem pienākumiem. </w:t>
            </w:r>
          </w:p>
          <w:p w:rsidR="00BF33A7" w:rsidRDefault="00BF33A7" w:rsidP="00FD32ED">
            <w:pPr>
              <w:spacing w:after="0" w:line="240" w:lineRule="auto"/>
              <w:ind w:firstLine="720"/>
              <w:jc w:val="both"/>
              <w:rPr>
                <w:rFonts w:ascii="Times New Roman" w:hAnsi="Times New Roman"/>
                <w:color w:val="000000"/>
                <w:sz w:val="24"/>
                <w:szCs w:val="24"/>
              </w:rPr>
            </w:pPr>
            <w:r w:rsidRPr="00390DD2">
              <w:rPr>
                <w:rFonts w:ascii="Times New Roman" w:hAnsi="Times New Roman"/>
                <w:color w:val="000000"/>
                <w:sz w:val="24"/>
                <w:szCs w:val="24"/>
              </w:rPr>
              <w:t xml:space="preserve">Regulas Nr.2019/1148 </w:t>
            </w:r>
            <w:r>
              <w:rPr>
                <w:rFonts w:ascii="Times New Roman" w:hAnsi="Times New Roman"/>
                <w:color w:val="000000"/>
                <w:sz w:val="24"/>
                <w:szCs w:val="24"/>
              </w:rPr>
              <w:t>13.pants nosaka, ka d</w:t>
            </w:r>
            <w:r w:rsidRPr="00BF33A7">
              <w:rPr>
                <w:rFonts w:ascii="Times New Roman" w:hAnsi="Times New Roman"/>
                <w:color w:val="000000"/>
                <w:sz w:val="24"/>
                <w:szCs w:val="24"/>
              </w:rPr>
              <w:t>alībvalstis paredz noteikumus par sankcijām, kas piemērojamas par šīs regulas pārkāpumiem, un veic visus vajadzīgos pasākumus, lai nodrošinātu to īstenošanu. Paredzētās sankcijas ir iedarbīgas, samērīgas un atturošas.</w:t>
            </w:r>
          </w:p>
          <w:p w:rsidR="00F32A51" w:rsidRDefault="00F32A51" w:rsidP="00FD32ED">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Ņemot vērā minēto</w:t>
            </w:r>
            <w:r w:rsidR="00526B45">
              <w:rPr>
                <w:rFonts w:ascii="Times New Roman" w:hAnsi="Times New Roman"/>
                <w:color w:val="000000"/>
                <w:sz w:val="24"/>
                <w:szCs w:val="24"/>
              </w:rPr>
              <w:t>,</w:t>
            </w:r>
            <w:r w:rsidR="00390DD2" w:rsidRPr="00390DD2">
              <w:rPr>
                <w:rFonts w:ascii="Times New Roman" w:hAnsi="Times New Roman"/>
                <w:color w:val="000000"/>
                <w:sz w:val="24"/>
                <w:szCs w:val="24"/>
              </w:rPr>
              <w:t xml:space="preserve"> </w:t>
            </w:r>
            <w:r w:rsidR="00526B45">
              <w:rPr>
                <w:rFonts w:ascii="Times New Roman" w:hAnsi="Times New Roman"/>
                <w:color w:val="000000"/>
                <w:sz w:val="24"/>
                <w:szCs w:val="24"/>
              </w:rPr>
              <w:t>ir</w:t>
            </w:r>
            <w:r w:rsidR="00974EF7">
              <w:rPr>
                <w:rFonts w:ascii="Times New Roman" w:hAnsi="Times New Roman"/>
                <w:color w:val="000000"/>
                <w:sz w:val="24"/>
                <w:szCs w:val="24"/>
              </w:rPr>
              <w:t xml:space="preserve"> nosakāmā</w:t>
            </w:r>
            <w:r w:rsidR="00390DD2" w:rsidRPr="00390DD2">
              <w:rPr>
                <w:rFonts w:ascii="Times New Roman" w:hAnsi="Times New Roman"/>
                <w:color w:val="000000"/>
                <w:sz w:val="24"/>
                <w:szCs w:val="24"/>
              </w:rPr>
              <w:t xml:space="preserve"> administratīv</w:t>
            </w:r>
            <w:r w:rsidR="00FD32ED">
              <w:rPr>
                <w:rFonts w:ascii="Times New Roman" w:hAnsi="Times New Roman"/>
                <w:color w:val="000000"/>
                <w:sz w:val="24"/>
                <w:szCs w:val="24"/>
              </w:rPr>
              <w:t>ā</w:t>
            </w:r>
            <w:r w:rsidR="00390DD2" w:rsidRPr="00390DD2">
              <w:rPr>
                <w:rFonts w:ascii="Times New Roman" w:hAnsi="Times New Roman"/>
                <w:color w:val="000000"/>
                <w:sz w:val="24"/>
                <w:szCs w:val="24"/>
              </w:rPr>
              <w:t xml:space="preserve"> atbildīb</w:t>
            </w:r>
            <w:r w:rsidR="00FD32ED">
              <w:rPr>
                <w:rFonts w:ascii="Times New Roman" w:hAnsi="Times New Roman"/>
                <w:color w:val="000000"/>
                <w:sz w:val="24"/>
                <w:szCs w:val="24"/>
              </w:rPr>
              <w:t>a</w:t>
            </w:r>
            <w:r w:rsidR="00390DD2" w:rsidRPr="00390DD2">
              <w:rPr>
                <w:rFonts w:ascii="Times New Roman" w:hAnsi="Times New Roman"/>
                <w:color w:val="000000"/>
                <w:sz w:val="24"/>
                <w:szCs w:val="24"/>
              </w:rPr>
              <w:t xml:space="preserve"> par nodarbināto neinstruēšanu vai apmācības neveikšanu jautājumos par sprāgstvielu prekursoru tirdzniecību un ziņošanas pienākumu pārkāpumiem, vienlaikus nosakot kompetento iestādi, kas būs tiesīga veikt attiecīgā administratīvā pārkāpuma procesu.</w:t>
            </w:r>
            <w:r>
              <w:rPr>
                <w:rFonts w:ascii="Times New Roman" w:hAnsi="Times New Roman"/>
                <w:color w:val="000000"/>
                <w:sz w:val="24"/>
                <w:szCs w:val="24"/>
              </w:rPr>
              <w:t xml:space="preserve"> </w:t>
            </w:r>
          </w:p>
          <w:p w:rsidR="00B46DE4" w:rsidRDefault="00F32A51" w:rsidP="0001436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Būtībā darbinieku neinformēšanas un neinstruēšanas gadījumā komersants </w:t>
            </w:r>
            <w:r w:rsidR="00014368">
              <w:rPr>
                <w:rFonts w:ascii="Times New Roman" w:hAnsi="Times New Roman"/>
                <w:color w:val="000000"/>
                <w:sz w:val="24"/>
                <w:szCs w:val="24"/>
              </w:rPr>
              <w:t>veicina</w:t>
            </w:r>
            <w:r>
              <w:rPr>
                <w:rFonts w:ascii="Times New Roman" w:hAnsi="Times New Roman"/>
                <w:color w:val="000000"/>
                <w:sz w:val="24"/>
                <w:szCs w:val="24"/>
              </w:rPr>
              <w:t xml:space="preserve"> (</w:t>
            </w:r>
            <w:r w:rsidR="00014368">
              <w:rPr>
                <w:rFonts w:ascii="Times New Roman" w:hAnsi="Times New Roman"/>
                <w:color w:val="000000"/>
                <w:sz w:val="24"/>
                <w:szCs w:val="24"/>
              </w:rPr>
              <w:t xml:space="preserve">neuzmanības dēļ </w:t>
            </w:r>
            <w:r>
              <w:rPr>
                <w:rFonts w:ascii="Times New Roman" w:hAnsi="Times New Roman"/>
                <w:color w:val="000000"/>
                <w:sz w:val="24"/>
                <w:szCs w:val="24"/>
              </w:rPr>
              <w:t xml:space="preserve">vai ar nodomu), </w:t>
            </w:r>
            <w:r>
              <w:rPr>
                <w:rFonts w:ascii="Times New Roman" w:hAnsi="Times New Roman"/>
                <w:color w:val="000000"/>
                <w:sz w:val="24"/>
                <w:szCs w:val="24"/>
              </w:rPr>
              <w:lastRenderedPageBreak/>
              <w:t>ka tirgū</w:t>
            </w:r>
            <w:r w:rsidR="00361FEB">
              <w:rPr>
                <w:rFonts w:ascii="Times New Roman" w:hAnsi="Times New Roman"/>
                <w:color w:val="000000"/>
                <w:sz w:val="24"/>
                <w:szCs w:val="24"/>
              </w:rPr>
              <w:t xml:space="preserve"> var nonākt</w:t>
            </w:r>
            <w:r w:rsidRPr="00390DD2">
              <w:rPr>
                <w:rFonts w:ascii="Times New Roman" w:hAnsi="Times New Roman"/>
                <w:color w:val="000000"/>
                <w:sz w:val="24"/>
                <w:szCs w:val="24"/>
              </w:rPr>
              <w:t xml:space="preserve"> sprāgstvielu prekursoru</w:t>
            </w:r>
            <w:r>
              <w:rPr>
                <w:rFonts w:ascii="Times New Roman" w:hAnsi="Times New Roman"/>
                <w:color w:val="000000"/>
                <w:sz w:val="24"/>
                <w:szCs w:val="24"/>
              </w:rPr>
              <w:t xml:space="preserve"> saturošie produkti, kuru izsekošana </w:t>
            </w:r>
            <w:r w:rsidR="00014368">
              <w:rPr>
                <w:rFonts w:ascii="Times New Roman" w:hAnsi="Times New Roman"/>
                <w:color w:val="000000"/>
                <w:sz w:val="24"/>
                <w:szCs w:val="24"/>
              </w:rPr>
              <w:t xml:space="preserve">nepieciešamības gadījumā </w:t>
            </w:r>
            <w:r>
              <w:rPr>
                <w:rFonts w:ascii="Times New Roman" w:hAnsi="Times New Roman"/>
                <w:color w:val="000000"/>
                <w:sz w:val="24"/>
                <w:szCs w:val="24"/>
              </w:rPr>
              <w:t xml:space="preserve">kompetentajām iestādēm </w:t>
            </w:r>
            <w:r w:rsidR="00361FEB">
              <w:rPr>
                <w:rFonts w:ascii="Times New Roman" w:hAnsi="Times New Roman"/>
                <w:color w:val="000000"/>
                <w:sz w:val="24"/>
                <w:szCs w:val="24"/>
              </w:rPr>
              <w:t xml:space="preserve">var </w:t>
            </w:r>
            <w:r>
              <w:rPr>
                <w:rFonts w:ascii="Times New Roman" w:hAnsi="Times New Roman"/>
                <w:color w:val="000000"/>
                <w:sz w:val="24"/>
                <w:szCs w:val="24"/>
              </w:rPr>
              <w:t>nebū</w:t>
            </w:r>
            <w:r w:rsidR="00361FEB">
              <w:rPr>
                <w:rFonts w:ascii="Times New Roman" w:hAnsi="Times New Roman"/>
                <w:color w:val="000000"/>
                <w:sz w:val="24"/>
                <w:szCs w:val="24"/>
              </w:rPr>
              <w:t>t iespējama vai var būt</w:t>
            </w:r>
            <w:r>
              <w:rPr>
                <w:rFonts w:ascii="Times New Roman" w:hAnsi="Times New Roman"/>
                <w:color w:val="000000"/>
                <w:sz w:val="24"/>
                <w:szCs w:val="24"/>
              </w:rPr>
              <w:t xml:space="preserve"> </w:t>
            </w:r>
            <w:r w:rsidR="00974EF7">
              <w:rPr>
                <w:rFonts w:ascii="Times New Roman" w:hAnsi="Times New Roman"/>
                <w:color w:val="000000"/>
                <w:sz w:val="24"/>
                <w:szCs w:val="24"/>
              </w:rPr>
              <w:t>apgrūtināta</w:t>
            </w:r>
            <w:r>
              <w:rPr>
                <w:rFonts w:ascii="Times New Roman" w:hAnsi="Times New Roman"/>
                <w:color w:val="000000"/>
                <w:sz w:val="24"/>
                <w:szCs w:val="24"/>
              </w:rPr>
              <w:t>.</w:t>
            </w:r>
            <w:r w:rsidR="00014368">
              <w:rPr>
                <w:rFonts w:ascii="Times New Roman" w:hAnsi="Times New Roman"/>
                <w:color w:val="000000"/>
                <w:sz w:val="24"/>
                <w:szCs w:val="24"/>
              </w:rPr>
              <w:t xml:space="preserve"> </w:t>
            </w:r>
          </w:p>
          <w:p w:rsidR="00220799" w:rsidRDefault="00361FEB" w:rsidP="00220799">
            <w:pPr>
              <w:spacing w:after="0" w:line="240" w:lineRule="auto"/>
              <w:ind w:firstLine="720"/>
              <w:jc w:val="both"/>
              <w:rPr>
                <w:rFonts w:ascii="Times New Roman" w:hAnsi="Times New Roman"/>
                <w:color w:val="000000"/>
                <w:sz w:val="24"/>
                <w:szCs w:val="24"/>
              </w:rPr>
            </w:pPr>
            <w:r w:rsidRPr="00361FEB">
              <w:rPr>
                <w:rFonts w:ascii="Times New Roman" w:hAnsi="Times New Roman"/>
                <w:color w:val="000000"/>
                <w:sz w:val="24"/>
                <w:szCs w:val="24"/>
              </w:rPr>
              <w:t>Turklāt</w:t>
            </w:r>
            <w:r w:rsidR="00B46DE4" w:rsidRPr="00361FEB">
              <w:rPr>
                <w:rFonts w:ascii="Times New Roman" w:hAnsi="Times New Roman"/>
                <w:color w:val="000000"/>
                <w:sz w:val="24"/>
                <w:szCs w:val="24"/>
              </w:rPr>
              <w:t xml:space="preserve"> nodarbināt</w:t>
            </w:r>
            <w:r w:rsidR="00526B45">
              <w:rPr>
                <w:rFonts w:ascii="Times New Roman" w:hAnsi="Times New Roman"/>
                <w:color w:val="000000"/>
                <w:sz w:val="24"/>
                <w:szCs w:val="24"/>
              </w:rPr>
              <w:t>ai</w:t>
            </w:r>
            <w:r w:rsidR="00A3258A">
              <w:rPr>
                <w:rFonts w:ascii="Times New Roman" w:hAnsi="Times New Roman"/>
                <w:color w:val="000000"/>
                <w:sz w:val="24"/>
                <w:szCs w:val="24"/>
              </w:rPr>
              <w:t>s</w:t>
            </w:r>
            <w:r w:rsidR="00B46DE4" w:rsidRPr="00361FEB">
              <w:rPr>
                <w:rFonts w:ascii="Times New Roman" w:hAnsi="Times New Roman"/>
                <w:color w:val="000000"/>
                <w:sz w:val="24"/>
                <w:szCs w:val="24"/>
              </w:rPr>
              <w:t xml:space="preserve"> nezinot </w:t>
            </w:r>
            <w:r w:rsidR="002C6B29" w:rsidRPr="00361FEB">
              <w:rPr>
                <w:rFonts w:ascii="Times New Roman" w:hAnsi="Times New Roman"/>
                <w:color w:val="000000"/>
                <w:sz w:val="24"/>
                <w:szCs w:val="24"/>
              </w:rPr>
              <w:t>savus</w:t>
            </w:r>
            <w:r w:rsidR="00B46DE4" w:rsidRPr="00361FEB">
              <w:rPr>
                <w:rFonts w:ascii="Times New Roman" w:hAnsi="Times New Roman"/>
                <w:color w:val="000000"/>
                <w:sz w:val="24"/>
                <w:szCs w:val="24"/>
              </w:rPr>
              <w:t xml:space="preserve"> pienākum</w:t>
            </w:r>
            <w:r w:rsidR="002C6B29" w:rsidRPr="00361FEB">
              <w:rPr>
                <w:rFonts w:ascii="Times New Roman" w:hAnsi="Times New Roman"/>
                <w:color w:val="000000"/>
                <w:sz w:val="24"/>
                <w:szCs w:val="24"/>
              </w:rPr>
              <w:t>us</w:t>
            </w:r>
            <w:r w:rsidR="00B46DE4" w:rsidRPr="00361FEB">
              <w:rPr>
                <w:rFonts w:ascii="Times New Roman" w:hAnsi="Times New Roman"/>
                <w:color w:val="000000"/>
                <w:sz w:val="24"/>
                <w:szCs w:val="24"/>
              </w:rPr>
              <w:t>,</w:t>
            </w:r>
            <w:r w:rsidR="00F32A51" w:rsidRPr="00361FEB">
              <w:rPr>
                <w:rFonts w:ascii="Times New Roman" w:hAnsi="Times New Roman"/>
                <w:color w:val="000000"/>
                <w:sz w:val="24"/>
                <w:szCs w:val="24"/>
              </w:rPr>
              <w:t xml:space="preserve"> </w:t>
            </w:r>
            <w:r w:rsidR="009F648F">
              <w:rPr>
                <w:rFonts w:ascii="Times New Roman" w:hAnsi="Times New Roman"/>
                <w:color w:val="000000"/>
                <w:sz w:val="24"/>
                <w:szCs w:val="24"/>
              </w:rPr>
              <w:t>ne</w:t>
            </w:r>
            <w:r w:rsidRPr="00361FEB">
              <w:rPr>
                <w:rFonts w:ascii="Times New Roman" w:hAnsi="Times New Roman"/>
                <w:color w:val="000000"/>
                <w:sz w:val="24"/>
                <w:szCs w:val="24"/>
              </w:rPr>
              <w:t xml:space="preserve">var </w:t>
            </w:r>
            <w:r w:rsidR="00A3258A">
              <w:rPr>
                <w:rFonts w:ascii="Times New Roman" w:hAnsi="Times New Roman"/>
                <w:color w:val="000000"/>
                <w:sz w:val="24"/>
                <w:szCs w:val="24"/>
              </w:rPr>
              <w:t>nodrošināt</w:t>
            </w:r>
            <w:r w:rsidR="00F32A51" w:rsidRPr="00361FEB">
              <w:rPr>
                <w:rFonts w:ascii="Times New Roman" w:hAnsi="Times New Roman"/>
                <w:color w:val="000000"/>
                <w:sz w:val="24"/>
                <w:szCs w:val="24"/>
              </w:rPr>
              <w:t xml:space="preserve"> </w:t>
            </w:r>
            <w:r w:rsidR="00A00C3E" w:rsidRPr="00361FEB">
              <w:rPr>
                <w:rFonts w:ascii="Times New Roman" w:hAnsi="Times New Roman"/>
                <w:color w:val="000000"/>
                <w:sz w:val="24"/>
                <w:szCs w:val="24"/>
              </w:rPr>
              <w:t>pienācīg</w:t>
            </w:r>
            <w:r w:rsidR="00A3258A">
              <w:rPr>
                <w:rFonts w:ascii="Times New Roman" w:hAnsi="Times New Roman"/>
                <w:color w:val="000000"/>
                <w:sz w:val="24"/>
                <w:szCs w:val="24"/>
              </w:rPr>
              <w:t>u</w:t>
            </w:r>
            <w:r w:rsidR="00A00C3E" w:rsidRPr="00361FEB">
              <w:rPr>
                <w:rFonts w:ascii="Times New Roman" w:hAnsi="Times New Roman"/>
                <w:color w:val="000000"/>
                <w:sz w:val="24"/>
                <w:szCs w:val="24"/>
              </w:rPr>
              <w:t xml:space="preserve"> </w:t>
            </w:r>
            <w:r w:rsidR="00F32A51" w:rsidRPr="00361FEB">
              <w:rPr>
                <w:rFonts w:ascii="Times New Roman" w:hAnsi="Times New Roman"/>
                <w:color w:val="000000"/>
                <w:sz w:val="24"/>
                <w:szCs w:val="24"/>
              </w:rPr>
              <w:t>ziņošan</w:t>
            </w:r>
            <w:r w:rsidR="00A3258A">
              <w:rPr>
                <w:rFonts w:ascii="Times New Roman" w:hAnsi="Times New Roman"/>
                <w:color w:val="000000"/>
                <w:sz w:val="24"/>
                <w:szCs w:val="24"/>
              </w:rPr>
              <w:t>u</w:t>
            </w:r>
            <w:r w:rsidR="00F32A51" w:rsidRPr="00361FEB">
              <w:rPr>
                <w:rFonts w:ascii="Times New Roman" w:hAnsi="Times New Roman"/>
                <w:color w:val="000000"/>
                <w:sz w:val="24"/>
                <w:szCs w:val="24"/>
              </w:rPr>
              <w:t xml:space="preserve"> par aizdomīgiem darījumiem ar sprāgstvielu prekursoriem, to zādzību un pazušanu</w:t>
            </w:r>
            <w:r w:rsidR="00B46DE4" w:rsidRPr="00361FEB">
              <w:rPr>
                <w:rFonts w:ascii="Times New Roman" w:hAnsi="Times New Roman"/>
                <w:color w:val="000000"/>
                <w:sz w:val="24"/>
                <w:szCs w:val="24"/>
              </w:rPr>
              <w:t>.</w:t>
            </w:r>
            <w:r w:rsidR="00F32A51" w:rsidRPr="00361FEB">
              <w:rPr>
                <w:rFonts w:ascii="Times New Roman" w:hAnsi="Times New Roman"/>
                <w:color w:val="000000"/>
                <w:sz w:val="24"/>
                <w:szCs w:val="24"/>
              </w:rPr>
              <w:t xml:space="preserve"> </w:t>
            </w:r>
            <w:r w:rsidR="00B46DE4" w:rsidRPr="00361FEB">
              <w:rPr>
                <w:rFonts w:ascii="Times New Roman" w:hAnsi="Times New Roman"/>
                <w:color w:val="000000"/>
                <w:sz w:val="24"/>
                <w:szCs w:val="24"/>
              </w:rPr>
              <w:t>Tas</w:t>
            </w:r>
            <w:r w:rsidR="00F32A51" w:rsidRPr="00361FEB">
              <w:rPr>
                <w:rFonts w:ascii="Times New Roman" w:hAnsi="Times New Roman"/>
                <w:color w:val="000000"/>
                <w:sz w:val="24"/>
                <w:szCs w:val="24"/>
              </w:rPr>
              <w:t xml:space="preserve"> savukārt var novest pie </w:t>
            </w:r>
            <w:r w:rsidR="00014368" w:rsidRPr="00361FEB">
              <w:rPr>
                <w:rFonts w:ascii="Times New Roman" w:hAnsi="Times New Roman"/>
                <w:color w:val="000000"/>
                <w:sz w:val="24"/>
                <w:szCs w:val="24"/>
              </w:rPr>
              <w:t>minēto</w:t>
            </w:r>
            <w:r w:rsidR="00F32A51" w:rsidRPr="00361FEB">
              <w:rPr>
                <w:rFonts w:ascii="Times New Roman" w:hAnsi="Times New Roman"/>
                <w:color w:val="000000"/>
                <w:sz w:val="24"/>
                <w:szCs w:val="24"/>
              </w:rPr>
              <w:t xml:space="preserve"> vielu saturošo produktu</w:t>
            </w:r>
            <w:r w:rsidR="00B46DE4" w:rsidRPr="00361FEB">
              <w:rPr>
                <w:rFonts w:ascii="Times New Roman" w:hAnsi="Times New Roman"/>
                <w:color w:val="000000"/>
                <w:sz w:val="24"/>
                <w:szCs w:val="24"/>
              </w:rPr>
              <w:t xml:space="preserve"> nekontrolēto nonākšanu tirgū</w:t>
            </w:r>
            <w:r w:rsidR="00275AE3" w:rsidRPr="00361FEB">
              <w:rPr>
                <w:rFonts w:ascii="Times New Roman" w:hAnsi="Times New Roman"/>
                <w:color w:val="000000"/>
                <w:sz w:val="24"/>
                <w:szCs w:val="24"/>
              </w:rPr>
              <w:t xml:space="preserve"> un</w:t>
            </w:r>
            <w:r w:rsidR="00345187" w:rsidRPr="00361FEB">
              <w:rPr>
                <w:rFonts w:ascii="Times New Roman" w:hAnsi="Times New Roman"/>
                <w:color w:val="000000"/>
                <w:sz w:val="24"/>
                <w:szCs w:val="24"/>
              </w:rPr>
              <w:t xml:space="preserve"> to</w:t>
            </w:r>
            <w:r w:rsidR="00F32A51" w:rsidRPr="00361FEB">
              <w:rPr>
                <w:rFonts w:ascii="Times New Roman" w:hAnsi="Times New Roman"/>
                <w:color w:val="000000"/>
                <w:sz w:val="24"/>
                <w:szCs w:val="24"/>
              </w:rPr>
              <w:t xml:space="preserve"> ļaunprātīgu izmantošanu</w:t>
            </w:r>
            <w:r w:rsidR="00B46DE4" w:rsidRPr="00361FEB">
              <w:rPr>
                <w:rFonts w:ascii="Times New Roman" w:hAnsi="Times New Roman"/>
                <w:color w:val="000000"/>
                <w:sz w:val="24"/>
                <w:szCs w:val="24"/>
              </w:rPr>
              <w:t>,</w:t>
            </w:r>
            <w:r w:rsidR="00014368" w:rsidRPr="00361FEB">
              <w:rPr>
                <w:rFonts w:ascii="Times New Roman" w:hAnsi="Times New Roman"/>
                <w:color w:val="000000"/>
                <w:sz w:val="24"/>
                <w:szCs w:val="24"/>
              </w:rPr>
              <w:t xml:space="preserve"> kas var apdraudēt sabiedrības drošību</w:t>
            </w:r>
            <w:r w:rsidR="00F32A51" w:rsidRPr="00361FEB">
              <w:rPr>
                <w:rFonts w:ascii="Times New Roman" w:hAnsi="Times New Roman"/>
                <w:color w:val="000000"/>
                <w:sz w:val="24"/>
                <w:szCs w:val="24"/>
              </w:rPr>
              <w:t>.</w:t>
            </w:r>
            <w:r w:rsidR="00275AE3" w:rsidRPr="00361FEB">
              <w:rPr>
                <w:rFonts w:ascii="Times New Roman" w:hAnsi="Times New Roman"/>
                <w:color w:val="000000"/>
                <w:sz w:val="24"/>
                <w:szCs w:val="24"/>
              </w:rPr>
              <w:t xml:space="preserve"> Līdz ar to būtībā </w:t>
            </w:r>
            <w:r w:rsidR="00275AE3" w:rsidRPr="00361FEB">
              <w:rPr>
                <w:rFonts w:ascii="Times New Roman" w:eastAsia="Times New Roman" w:hAnsi="Times New Roman"/>
                <w:bCs/>
                <w:color w:val="000000"/>
                <w:sz w:val="24"/>
                <w:szCs w:val="24"/>
                <w:lang w:eastAsia="lv-LV"/>
              </w:rPr>
              <w:t xml:space="preserve">Regulā Nr.2019/1148 </w:t>
            </w:r>
            <w:r w:rsidR="00275AE3" w:rsidRPr="00361FEB">
              <w:rPr>
                <w:rFonts w:ascii="Times New Roman" w:hAnsi="Times New Roman"/>
                <w:color w:val="000000"/>
                <w:sz w:val="24"/>
                <w:szCs w:val="24"/>
              </w:rPr>
              <w:t>noteiktās informācijas nesniegšana nodarbinātajiem</w:t>
            </w:r>
            <w:r w:rsidR="00F53A62" w:rsidRPr="00361FEB">
              <w:rPr>
                <w:rFonts w:ascii="Times New Roman" w:hAnsi="Times New Roman"/>
                <w:color w:val="000000"/>
                <w:sz w:val="24"/>
                <w:szCs w:val="24"/>
              </w:rPr>
              <w:t xml:space="preserve"> par sprāgstvielu prekursoru saturošajiem produktiem </w:t>
            </w:r>
            <w:r w:rsidR="00275AE3" w:rsidRPr="00361FEB">
              <w:rPr>
                <w:rFonts w:ascii="Times New Roman" w:hAnsi="Times New Roman"/>
                <w:color w:val="000000"/>
                <w:sz w:val="24"/>
                <w:szCs w:val="24"/>
              </w:rPr>
              <w:t xml:space="preserve">un nodarbināto </w:t>
            </w:r>
            <w:r w:rsidR="002C6B29" w:rsidRPr="00361FEB">
              <w:rPr>
                <w:rFonts w:ascii="Times New Roman" w:hAnsi="Times New Roman"/>
                <w:color w:val="000000"/>
                <w:sz w:val="24"/>
                <w:szCs w:val="24"/>
              </w:rPr>
              <w:t>neinstruēšana</w:t>
            </w:r>
            <w:r w:rsidR="00275AE3" w:rsidRPr="00361FEB">
              <w:rPr>
                <w:rFonts w:ascii="Times New Roman" w:hAnsi="Times New Roman"/>
                <w:color w:val="000000"/>
                <w:sz w:val="24"/>
                <w:szCs w:val="24"/>
              </w:rPr>
              <w:t xml:space="preserve"> par</w:t>
            </w:r>
            <w:r w:rsidR="00F32A51" w:rsidRPr="00361FEB">
              <w:rPr>
                <w:rFonts w:ascii="Times New Roman" w:hAnsi="Times New Roman"/>
                <w:color w:val="000000"/>
                <w:sz w:val="24"/>
                <w:szCs w:val="24"/>
              </w:rPr>
              <w:t xml:space="preserve"> </w:t>
            </w:r>
            <w:r w:rsidR="00275AE3" w:rsidRPr="00361FEB">
              <w:rPr>
                <w:rFonts w:ascii="Times New Roman" w:eastAsia="Times New Roman" w:hAnsi="Times New Roman"/>
                <w:bCs/>
                <w:color w:val="000000"/>
                <w:sz w:val="24"/>
                <w:szCs w:val="24"/>
                <w:lang w:eastAsia="lv-LV"/>
              </w:rPr>
              <w:t xml:space="preserve">pienākumu </w:t>
            </w:r>
            <w:r w:rsidR="00F53A62" w:rsidRPr="00361FEB">
              <w:rPr>
                <w:rFonts w:ascii="Times New Roman" w:eastAsia="Times New Roman" w:hAnsi="Times New Roman"/>
                <w:bCs/>
                <w:color w:val="000000"/>
                <w:sz w:val="24"/>
                <w:szCs w:val="24"/>
                <w:lang w:eastAsia="lv-LV"/>
              </w:rPr>
              <w:t xml:space="preserve">ziņot </w:t>
            </w:r>
            <w:r w:rsidR="00275AE3" w:rsidRPr="00361FEB">
              <w:rPr>
                <w:rFonts w:ascii="Times New Roman" w:hAnsi="Times New Roman"/>
                <w:color w:val="000000"/>
                <w:sz w:val="24"/>
                <w:szCs w:val="24"/>
              </w:rPr>
              <w:t>par aizdomīgiem darījumiem ar sprāgstvielu prekursoriem, to zādzību un pazušanu</w:t>
            </w:r>
            <w:r w:rsidR="00F53A62" w:rsidRPr="00361FEB">
              <w:rPr>
                <w:rFonts w:ascii="Times New Roman" w:hAnsi="Times New Roman"/>
                <w:color w:val="000000"/>
                <w:sz w:val="24"/>
                <w:szCs w:val="24"/>
              </w:rPr>
              <w:t xml:space="preserve"> </w:t>
            </w:r>
            <w:r w:rsidR="00220799">
              <w:rPr>
                <w:rFonts w:ascii="Times New Roman" w:hAnsi="Times New Roman"/>
                <w:color w:val="000000"/>
                <w:sz w:val="24"/>
                <w:szCs w:val="24"/>
              </w:rPr>
              <w:t>var novest</w:t>
            </w:r>
            <w:r w:rsidR="00F53A62" w:rsidRPr="00361FEB">
              <w:rPr>
                <w:rFonts w:ascii="Times New Roman" w:hAnsi="Times New Roman"/>
                <w:color w:val="000000"/>
                <w:sz w:val="24"/>
                <w:szCs w:val="24"/>
              </w:rPr>
              <w:t xml:space="preserve"> pie tādām pašām sekām</w:t>
            </w:r>
            <w:r w:rsidR="00445158" w:rsidRPr="00361FEB">
              <w:rPr>
                <w:rFonts w:ascii="Times New Roman" w:hAnsi="Times New Roman"/>
                <w:color w:val="000000"/>
                <w:sz w:val="24"/>
                <w:szCs w:val="24"/>
              </w:rPr>
              <w:t>,</w:t>
            </w:r>
            <w:r w:rsidR="00F53A62" w:rsidRPr="00361FEB">
              <w:rPr>
                <w:rFonts w:ascii="Times New Roman" w:hAnsi="Times New Roman"/>
                <w:color w:val="000000"/>
                <w:sz w:val="24"/>
                <w:szCs w:val="24"/>
              </w:rPr>
              <w:t xml:space="preserve"> kas var rasties</w:t>
            </w:r>
            <w:r w:rsidR="002C6B29" w:rsidRPr="00361FEB">
              <w:rPr>
                <w:rFonts w:ascii="Times New Roman" w:hAnsi="Times New Roman"/>
                <w:color w:val="000000"/>
                <w:sz w:val="24"/>
                <w:szCs w:val="24"/>
              </w:rPr>
              <w:t xml:space="preserve"> gadījumos, kad</w:t>
            </w:r>
            <w:r w:rsidR="00F53A62" w:rsidRPr="00361FEB">
              <w:rPr>
                <w:rFonts w:ascii="Times New Roman" w:hAnsi="Times New Roman"/>
                <w:color w:val="000000"/>
                <w:sz w:val="24"/>
                <w:szCs w:val="24"/>
              </w:rPr>
              <w:t xml:space="preserve"> pa</w:t>
            </w:r>
            <w:r w:rsidR="002C6B29" w:rsidRPr="00361FEB">
              <w:rPr>
                <w:rFonts w:ascii="Times New Roman" w:hAnsi="Times New Roman"/>
                <w:color w:val="000000"/>
                <w:sz w:val="24"/>
                <w:szCs w:val="24"/>
              </w:rPr>
              <w:t>ts</w:t>
            </w:r>
            <w:r w:rsidR="00F53A62" w:rsidRPr="00361FEB">
              <w:rPr>
                <w:rFonts w:ascii="Times New Roman" w:hAnsi="Times New Roman"/>
                <w:color w:val="000000"/>
                <w:sz w:val="24"/>
                <w:szCs w:val="24"/>
              </w:rPr>
              <w:t xml:space="preserve"> komersant</w:t>
            </w:r>
            <w:r w:rsidR="002C6B29" w:rsidRPr="00361FEB">
              <w:rPr>
                <w:rFonts w:ascii="Times New Roman" w:hAnsi="Times New Roman"/>
                <w:color w:val="000000"/>
                <w:sz w:val="24"/>
                <w:szCs w:val="24"/>
              </w:rPr>
              <w:t xml:space="preserve">s nepilda </w:t>
            </w:r>
            <w:r w:rsidR="002C6B29" w:rsidRPr="00361FEB">
              <w:rPr>
                <w:rFonts w:ascii="Times New Roman" w:eastAsia="Times New Roman" w:hAnsi="Times New Roman"/>
                <w:bCs/>
                <w:color w:val="000000"/>
                <w:sz w:val="24"/>
                <w:szCs w:val="24"/>
                <w:lang w:eastAsia="lv-LV"/>
              </w:rPr>
              <w:t xml:space="preserve">Regulas Nr.2019/1148 </w:t>
            </w:r>
            <w:r w:rsidRPr="00361FEB">
              <w:rPr>
                <w:rFonts w:ascii="Times New Roman" w:eastAsia="Times New Roman" w:hAnsi="Times New Roman"/>
                <w:bCs/>
                <w:color w:val="000000"/>
                <w:sz w:val="24"/>
                <w:szCs w:val="24"/>
                <w:lang w:eastAsia="lv-LV"/>
              </w:rPr>
              <w:t>9. pantā</w:t>
            </w:r>
            <w:r w:rsidR="002C6B29" w:rsidRPr="00361FEB">
              <w:rPr>
                <w:rFonts w:ascii="Times New Roman" w:eastAsia="Times New Roman" w:hAnsi="Times New Roman"/>
                <w:bCs/>
                <w:color w:val="000000"/>
                <w:sz w:val="24"/>
                <w:szCs w:val="24"/>
                <w:lang w:eastAsia="lv-LV"/>
              </w:rPr>
              <w:t xml:space="preserve"> </w:t>
            </w:r>
            <w:r w:rsidR="002C6B29" w:rsidRPr="00361FEB">
              <w:rPr>
                <w:rFonts w:ascii="Times New Roman" w:hAnsi="Times New Roman"/>
                <w:color w:val="000000"/>
                <w:sz w:val="24"/>
                <w:szCs w:val="24"/>
              </w:rPr>
              <w:t>tam uzlikto pienākumu un</w:t>
            </w:r>
            <w:r w:rsidR="00F53A62" w:rsidRPr="00361FEB">
              <w:rPr>
                <w:rFonts w:ascii="Times New Roman" w:hAnsi="Times New Roman"/>
                <w:color w:val="000000"/>
                <w:sz w:val="24"/>
                <w:szCs w:val="24"/>
              </w:rPr>
              <w:t xml:space="preserve"> neziņo par </w:t>
            </w:r>
            <w:r w:rsidR="00445158" w:rsidRPr="00361FEB">
              <w:rPr>
                <w:rFonts w:ascii="Times New Roman" w:hAnsi="Times New Roman"/>
                <w:color w:val="000000"/>
                <w:sz w:val="24"/>
                <w:szCs w:val="24"/>
              </w:rPr>
              <w:t>aizdomīgiem darījumiem ar sprāgstvielu prekursoriem, to zādzību un pazušanu</w:t>
            </w:r>
            <w:r w:rsidRPr="00361FEB">
              <w:rPr>
                <w:rFonts w:ascii="Times New Roman" w:hAnsi="Times New Roman"/>
                <w:color w:val="000000"/>
                <w:sz w:val="24"/>
                <w:szCs w:val="24"/>
              </w:rPr>
              <w:t>.</w:t>
            </w:r>
            <w:r w:rsidR="00445158" w:rsidRPr="00361FEB">
              <w:rPr>
                <w:rFonts w:ascii="Times New Roman" w:hAnsi="Times New Roman"/>
                <w:color w:val="000000"/>
                <w:sz w:val="24"/>
                <w:szCs w:val="24"/>
              </w:rPr>
              <w:t xml:space="preserve"> </w:t>
            </w:r>
            <w:r w:rsidRPr="00361FEB">
              <w:rPr>
                <w:rFonts w:ascii="Times New Roman" w:hAnsi="Times New Roman"/>
                <w:color w:val="000000"/>
                <w:sz w:val="24"/>
                <w:szCs w:val="24"/>
              </w:rPr>
              <w:t>T</w:t>
            </w:r>
            <w:r w:rsidR="00445158" w:rsidRPr="00361FEB">
              <w:rPr>
                <w:rFonts w:ascii="Times New Roman" w:hAnsi="Times New Roman"/>
                <w:color w:val="000000"/>
                <w:sz w:val="24"/>
                <w:szCs w:val="24"/>
              </w:rPr>
              <w:t xml:space="preserve">ādēļ </w:t>
            </w:r>
            <w:r w:rsidR="00F53A62" w:rsidRPr="00361FEB">
              <w:rPr>
                <w:rFonts w:ascii="Times New Roman" w:hAnsi="Times New Roman"/>
                <w:color w:val="000000"/>
                <w:sz w:val="24"/>
                <w:szCs w:val="24"/>
              </w:rPr>
              <w:t>atbildībai piemērojamā soda ziņā</w:t>
            </w:r>
            <w:r w:rsidR="00445158" w:rsidRPr="00361FEB">
              <w:rPr>
                <w:rFonts w:ascii="Times New Roman" w:hAnsi="Times New Roman"/>
                <w:color w:val="000000"/>
                <w:sz w:val="24"/>
                <w:szCs w:val="24"/>
              </w:rPr>
              <w:t xml:space="preserve"> abos gadījumos</w:t>
            </w:r>
            <w:r w:rsidR="00F53A62" w:rsidRPr="00361FEB">
              <w:rPr>
                <w:rFonts w:ascii="Times New Roman" w:hAnsi="Times New Roman"/>
                <w:color w:val="000000"/>
                <w:sz w:val="24"/>
                <w:szCs w:val="24"/>
              </w:rPr>
              <w:t xml:space="preserve"> </w:t>
            </w:r>
            <w:r w:rsidR="002C6B29" w:rsidRPr="00361FEB">
              <w:rPr>
                <w:rFonts w:ascii="Times New Roman" w:hAnsi="Times New Roman"/>
                <w:color w:val="000000"/>
                <w:sz w:val="24"/>
                <w:szCs w:val="24"/>
              </w:rPr>
              <w:t>būtu</w:t>
            </w:r>
            <w:r w:rsidR="00F53A62" w:rsidRPr="00361FEB">
              <w:rPr>
                <w:rFonts w:ascii="Times New Roman" w:hAnsi="Times New Roman"/>
                <w:color w:val="000000"/>
                <w:sz w:val="24"/>
                <w:szCs w:val="24"/>
              </w:rPr>
              <w:t xml:space="preserve"> jābūt līdzvērtīgai </w:t>
            </w:r>
            <w:r w:rsidR="00B01C38" w:rsidRPr="00361FEB">
              <w:rPr>
                <w:rFonts w:ascii="Times New Roman" w:hAnsi="Times New Roman"/>
                <w:color w:val="000000"/>
                <w:sz w:val="24"/>
                <w:szCs w:val="24"/>
              </w:rPr>
              <w:t>(</w:t>
            </w:r>
            <w:r w:rsidR="002C6B29" w:rsidRPr="00361FEB">
              <w:rPr>
                <w:rFonts w:ascii="Times New Roman" w:hAnsi="Times New Roman"/>
                <w:color w:val="000000"/>
                <w:sz w:val="24"/>
                <w:szCs w:val="24"/>
              </w:rPr>
              <w:t xml:space="preserve">sk. </w:t>
            </w:r>
            <w:r w:rsidR="00B01C38" w:rsidRPr="00361FEB">
              <w:rPr>
                <w:rFonts w:ascii="Times New Roman" w:hAnsi="Times New Roman"/>
                <w:color w:val="000000"/>
                <w:sz w:val="24"/>
                <w:szCs w:val="24"/>
              </w:rPr>
              <w:t>Administratīvo sodu likum</w:t>
            </w:r>
            <w:r w:rsidR="009F648F">
              <w:rPr>
                <w:rFonts w:ascii="Times New Roman" w:hAnsi="Times New Roman"/>
                <w:color w:val="000000"/>
                <w:sz w:val="24"/>
                <w:szCs w:val="24"/>
              </w:rPr>
              <w:t>a</w:t>
            </w:r>
            <w:r w:rsidR="00B01C38" w:rsidRPr="00361FEB">
              <w:rPr>
                <w:rFonts w:ascii="Times New Roman" w:hAnsi="Times New Roman"/>
                <w:color w:val="000000"/>
                <w:sz w:val="24"/>
                <w:szCs w:val="24"/>
              </w:rPr>
              <w:t xml:space="preserve"> par pārkāpumiem pārvaldes, sabiedriskās kārtības un valsts valodas lietošanas jomā 3.panta pirmā daļa).</w:t>
            </w:r>
          </w:p>
          <w:p w:rsidR="00220799" w:rsidRDefault="00220799" w:rsidP="00220799">
            <w:pPr>
              <w:spacing w:after="0" w:line="240" w:lineRule="auto"/>
              <w:ind w:firstLine="720"/>
              <w:jc w:val="both"/>
              <w:rPr>
                <w:rFonts w:ascii="Times New Roman" w:hAnsi="Times New Roman"/>
                <w:color w:val="000000"/>
                <w:sz w:val="24"/>
                <w:szCs w:val="24"/>
              </w:rPr>
            </w:pPr>
            <w:r w:rsidRPr="00220799">
              <w:rPr>
                <w:rFonts w:ascii="Times New Roman" w:hAnsi="Times New Roman"/>
                <w:color w:val="000000"/>
                <w:sz w:val="24"/>
                <w:szCs w:val="24"/>
              </w:rPr>
              <w:t xml:space="preserve">Vienlaikus Regulas Nr.2019/1148 </w:t>
            </w:r>
            <w:r w:rsidR="007412E4">
              <w:rPr>
                <w:rFonts w:ascii="Times New Roman" w:hAnsi="Times New Roman"/>
                <w:color w:val="000000"/>
                <w:sz w:val="24"/>
                <w:szCs w:val="24"/>
              </w:rPr>
              <w:t>7.panta 3</w:t>
            </w:r>
            <w:r w:rsidRPr="00220799">
              <w:rPr>
                <w:rFonts w:ascii="Times New Roman" w:hAnsi="Times New Roman"/>
                <w:color w:val="000000"/>
                <w:sz w:val="24"/>
                <w:szCs w:val="24"/>
              </w:rPr>
              <w:t xml:space="preserve">.punkts paredz, ka tiešsaistes tirdzniecības vieta veic pasākumus, lai </w:t>
            </w:r>
            <w:r w:rsidR="007412E4" w:rsidRPr="007412E4">
              <w:rPr>
                <w:rFonts w:ascii="Times New Roman" w:hAnsi="Times New Roman"/>
                <w:color w:val="000000"/>
                <w:sz w:val="24"/>
                <w:szCs w:val="24"/>
              </w:rPr>
              <w:t>nodrošinātu</w:t>
            </w:r>
            <w:r w:rsidRPr="00220799">
              <w:rPr>
                <w:rFonts w:ascii="Times New Roman" w:hAnsi="Times New Roman"/>
                <w:color w:val="000000"/>
                <w:sz w:val="24"/>
                <w:szCs w:val="24"/>
              </w:rPr>
              <w:t xml:space="preserve">, ka </w:t>
            </w:r>
            <w:r w:rsidR="007412E4" w:rsidRPr="007412E4">
              <w:rPr>
                <w:rFonts w:ascii="Times New Roman" w:hAnsi="Times New Roman"/>
                <w:color w:val="000000"/>
                <w:sz w:val="24"/>
                <w:szCs w:val="24"/>
              </w:rPr>
              <w:t>tās lietotāji, ja tie dara pieejamus reglamentētos sprāgstvielu prekursorus, izmantojot tās pakalpojumus, ir informēti par saviem pienākumiem</w:t>
            </w:r>
            <w:r w:rsidRPr="00220799">
              <w:rPr>
                <w:rFonts w:ascii="Times New Roman" w:hAnsi="Times New Roman"/>
                <w:color w:val="000000"/>
                <w:sz w:val="24"/>
                <w:szCs w:val="24"/>
              </w:rPr>
              <w:t xml:space="preserve">. </w:t>
            </w:r>
            <w:r w:rsidR="007412E4">
              <w:rPr>
                <w:rFonts w:ascii="Times New Roman" w:hAnsi="Times New Roman"/>
                <w:color w:val="000000"/>
                <w:sz w:val="24"/>
                <w:szCs w:val="24"/>
              </w:rPr>
              <w:t xml:space="preserve"> </w:t>
            </w:r>
            <w:r w:rsidRPr="00220799">
              <w:rPr>
                <w:rFonts w:ascii="Times New Roman" w:hAnsi="Times New Roman"/>
                <w:color w:val="000000"/>
                <w:sz w:val="24"/>
                <w:szCs w:val="24"/>
              </w:rPr>
              <w:t>Proti, komersa</w:t>
            </w:r>
            <w:r w:rsidR="007412E4">
              <w:rPr>
                <w:rFonts w:ascii="Times New Roman" w:hAnsi="Times New Roman"/>
                <w:color w:val="000000"/>
                <w:sz w:val="24"/>
                <w:szCs w:val="24"/>
              </w:rPr>
              <w:t xml:space="preserve">ntam, kam pieder </w:t>
            </w:r>
            <w:proofErr w:type="spellStart"/>
            <w:r w:rsidR="007412E4">
              <w:rPr>
                <w:rFonts w:ascii="Times New Roman" w:hAnsi="Times New Roman"/>
                <w:color w:val="000000"/>
                <w:sz w:val="24"/>
                <w:szCs w:val="24"/>
              </w:rPr>
              <w:t>online</w:t>
            </w:r>
            <w:proofErr w:type="spellEnd"/>
            <w:r w:rsidR="007412E4">
              <w:rPr>
                <w:rFonts w:ascii="Times New Roman" w:hAnsi="Times New Roman"/>
                <w:color w:val="000000"/>
                <w:sz w:val="24"/>
                <w:szCs w:val="24"/>
              </w:rPr>
              <w:t xml:space="preserve"> platforma, </w:t>
            </w:r>
            <w:r w:rsidRPr="00220799">
              <w:rPr>
                <w:rFonts w:ascii="Times New Roman" w:hAnsi="Times New Roman"/>
                <w:color w:val="000000"/>
                <w:sz w:val="24"/>
                <w:szCs w:val="24"/>
              </w:rPr>
              <w:t xml:space="preserve">ar </w:t>
            </w:r>
            <w:r w:rsidR="007412E4">
              <w:rPr>
                <w:rFonts w:ascii="Times New Roman" w:hAnsi="Times New Roman"/>
                <w:color w:val="000000"/>
                <w:sz w:val="24"/>
                <w:szCs w:val="24"/>
              </w:rPr>
              <w:t xml:space="preserve">kuras starpniecību kāds cits komersants pārdod reglamentētos </w:t>
            </w:r>
            <w:r w:rsidR="007412E4" w:rsidRPr="007412E4">
              <w:rPr>
                <w:rFonts w:ascii="Times New Roman" w:hAnsi="Times New Roman"/>
                <w:color w:val="000000"/>
                <w:sz w:val="24"/>
                <w:szCs w:val="24"/>
              </w:rPr>
              <w:t>sprāgstvielu prekursorus</w:t>
            </w:r>
            <w:r w:rsidR="007412E4">
              <w:rPr>
                <w:rFonts w:ascii="Times New Roman" w:hAnsi="Times New Roman"/>
                <w:color w:val="000000"/>
                <w:sz w:val="24"/>
                <w:szCs w:val="24"/>
              </w:rPr>
              <w:t xml:space="preserve"> nodrošina, ka </w:t>
            </w:r>
            <w:r w:rsidR="00934FE1">
              <w:rPr>
                <w:rFonts w:ascii="Times New Roman" w:hAnsi="Times New Roman"/>
                <w:color w:val="000000"/>
                <w:sz w:val="24"/>
                <w:szCs w:val="24"/>
              </w:rPr>
              <w:t xml:space="preserve">attiecīgs </w:t>
            </w:r>
            <w:r w:rsidR="007412E4">
              <w:rPr>
                <w:rFonts w:ascii="Times New Roman" w:hAnsi="Times New Roman"/>
                <w:color w:val="000000"/>
                <w:sz w:val="24"/>
                <w:szCs w:val="24"/>
              </w:rPr>
              <w:t>pārdevējs ir informēts par saviem pienākumiem</w:t>
            </w:r>
            <w:r w:rsidR="00934FE1">
              <w:rPr>
                <w:rFonts w:ascii="Times New Roman" w:hAnsi="Times New Roman"/>
                <w:color w:val="000000"/>
                <w:sz w:val="24"/>
                <w:szCs w:val="24"/>
              </w:rPr>
              <w:t xml:space="preserve"> atbilstoši Regulas </w:t>
            </w:r>
            <w:r w:rsidR="00934FE1" w:rsidRPr="00220799">
              <w:rPr>
                <w:rFonts w:ascii="Times New Roman" w:hAnsi="Times New Roman"/>
                <w:color w:val="000000"/>
                <w:sz w:val="24"/>
                <w:szCs w:val="24"/>
              </w:rPr>
              <w:t>Nr.2019/1148</w:t>
            </w:r>
            <w:r w:rsidR="00934FE1">
              <w:rPr>
                <w:rFonts w:ascii="Times New Roman" w:hAnsi="Times New Roman"/>
                <w:color w:val="000000"/>
                <w:sz w:val="24"/>
                <w:szCs w:val="24"/>
              </w:rPr>
              <w:t xml:space="preserve"> 7.panta 1. un 2.punktam</w:t>
            </w:r>
            <w:r w:rsidRPr="00220799">
              <w:rPr>
                <w:rFonts w:ascii="Times New Roman" w:hAnsi="Times New Roman"/>
                <w:color w:val="000000"/>
                <w:sz w:val="24"/>
                <w:szCs w:val="24"/>
              </w:rPr>
              <w:t>.</w:t>
            </w:r>
            <w:r w:rsidR="00934FE1">
              <w:rPr>
                <w:rFonts w:ascii="Times New Roman" w:hAnsi="Times New Roman"/>
                <w:color w:val="000000"/>
                <w:sz w:val="24"/>
                <w:szCs w:val="24"/>
              </w:rPr>
              <w:t xml:space="preserve"> </w:t>
            </w:r>
          </w:p>
          <w:p w:rsidR="00B46DE4" w:rsidRDefault="00014368" w:rsidP="00361FEB">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Ņemot vērā minēto, </w:t>
            </w:r>
            <w:r w:rsidR="00361FEB">
              <w:rPr>
                <w:rFonts w:ascii="Times New Roman" w:hAnsi="Times New Roman"/>
                <w:color w:val="000000"/>
                <w:sz w:val="24"/>
                <w:szCs w:val="24"/>
              </w:rPr>
              <w:t xml:space="preserve">likumprojekts paredz, ka </w:t>
            </w:r>
            <w:r w:rsidR="002276E9">
              <w:rPr>
                <w:rFonts w:ascii="Times New Roman" w:hAnsi="Times New Roman"/>
                <w:color w:val="000000"/>
                <w:sz w:val="24"/>
                <w:szCs w:val="24"/>
              </w:rPr>
              <w:t>p</w:t>
            </w:r>
            <w:r w:rsidR="002276E9" w:rsidRPr="002276E9">
              <w:rPr>
                <w:rFonts w:ascii="Times New Roman" w:hAnsi="Times New Roman"/>
                <w:color w:val="000000"/>
                <w:sz w:val="24"/>
                <w:szCs w:val="24"/>
              </w:rPr>
              <w:t xml:space="preserve">ar normatīvajos aktos par sprāgstvielu prekursoru tirdzniecību un lietošanu noteiktā informēšanas un instruēšanas pienākuma nepildīšanu </w:t>
            </w:r>
            <w:r>
              <w:rPr>
                <w:rFonts w:ascii="Times New Roman" w:hAnsi="Times New Roman"/>
                <w:color w:val="000000"/>
                <w:sz w:val="24"/>
                <w:szCs w:val="24"/>
              </w:rPr>
              <w:t>f</w:t>
            </w:r>
            <w:r w:rsidR="00F32A51" w:rsidRPr="00F32A51">
              <w:rPr>
                <w:rFonts w:ascii="Times New Roman" w:hAnsi="Times New Roman"/>
                <w:color w:val="000000"/>
                <w:sz w:val="24"/>
                <w:szCs w:val="24"/>
              </w:rPr>
              <w:t>iziska</w:t>
            </w:r>
            <w:r w:rsidR="00B01C38">
              <w:rPr>
                <w:rFonts w:ascii="Times New Roman" w:hAnsi="Times New Roman"/>
                <w:color w:val="000000"/>
                <w:sz w:val="24"/>
                <w:szCs w:val="24"/>
              </w:rPr>
              <w:t>i</w:t>
            </w:r>
            <w:r w:rsidR="00F32A51" w:rsidRPr="00F32A51">
              <w:rPr>
                <w:rFonts w:ascii="Times New Roman" w:hAnsi="Times New Roman"/>
                <w:color w:val="000000"/>
                <w:sz w:val="24"/>
                <w:szCs w:val="24"/>
              </w:rPr>
              <w:t xml:space="preserve"> person</w:t>
            </w:r>
            <w:r w:rsidR="00B01C38">
              <w:rPr>
                <w:rFonts w:ascii="Times New Roman" w:hAnsi="Times New Roman"/>
                <w:color w:val="000000"/>
                <w:sz w:val="24"/>
                <w:szCs w:val="24"/>
              </w:rPr>
              <w:t>ai</w:t>
            </w:r>
            <w:r w:rsidR="00F32A51" w:rsidRPr="00F32A51">
              <w:rPr>
                <w:rFonts w:ascii="Times New Roman" w:hAnsi="Times New Roman"/>
                <w:color w:val="000000"/>
                <w:sz w:val="24"/>
                <w:szCs w:val="24"/>
              </w:rPr>
              <w:t xml:space="preserve"> </w:t>
            </w:r>
            <w:r w:rsidR="00B01C38" w:rsidRPr="00B01C38">
              <w:rPr>
                <w:rFonts w:ascii="Times New Roman" w:hAnsi="Times New Roman"/>
                <w:color w:val="000000"/>
                <w:sz w:val="24"/>
                <w:szCs w:val="24"/>
              </w:rPr>
              <w:t>piemēro naudas sodu līdz simt četrdesmit naudas soda vienībām, bet juridiskajai personai — no četrpadsmit līdz divtūkstoš astoņsimt naudas soda vienībām.</w:t>
            </w:r>
          </w:p>
          <w:p w:rsidR="00642259" w:rsidRPr="00F5308B" w:rsidRDefault="00642259" w:rsidP="00AB555B">
            <w:pPr>
              <w:spacing w:after="0" w:line="240" w:lineRule="auto"/>
              <w:ind w:firstLine="720"/>
              <w:jc w:val="both"/>
              <w:rPr>
                <w:rFonts w:ascii="Times New Roman" w:hAnsi="Times New Roman"/>
                <w:color w:val="000000"/>
                <w:sz w:val="24"/>
                <w:szCs w:val="24"/>
              </w:rPr>
            </w:pPr>
          </w:p>
        </w:tc>
      </w:tr>
      <w:tr w:rsidR="0077781C" w:rsidRPr="00487A7A" w:rsidTr="00102A09">
        <w:tc>
          <w:tcPr>
            <w:tcW w:w="515"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lastRenderedPageBreak/>
              <w:t>3.</w:t>
            </w:r>
          </w:p>
        </w:tc>
        <w:tc>
          <w:tcPr>
            <w:tcW w:w="2310"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8742BE">
              <w:rPr>
                <w:rFonts w:ascii="Times New Roman" w:hAnsi="Times New Roman"/>
                <w:sz w:val="24"/>
                <w:szCs w:val="24"/>
              </w:rPr>
              <w:t>Projekta izstrādē iesaistītās institūcijas un publiskas personas kapitālsabiedrības</w:t>
            </w:r>
          </w:p>
        </w:tc>
        <w:tc>
          <w:tcPr>
            <w:tcW w:w="6384" w:type="dxa"/>
            <w:tcBorders>
              <w:bottom w:val="single" w:sz="4" w:space="0" w:color="auto"/>
            </w:tcBorders>
          </w:tcPr>
          <w:p w:rsidR="0077781C" w:rsidRPr="00487A7A" w:rsidRDefault="00A44287" w:rsidP="00FE74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Iekšlietu ministrija</w:t>
            </w:r>
          </w:p>
        </w:tc>
      </w:tr>
      <w:tr w:rsidR="0077781C" w:rsidRPr="00487A7A" w:rsidTr="006A245D">
        <w:trPr>
          <w:trHeight w:val="1429"/>
        </w:trPr>
        <w:tc>
          <w:tcPr>
            <w:tcW w:w="515"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4.</w:t>
            </w:r>
          </w:p>
        </w:tc>
        <w:tc>
          <w:tcPr>
            <w:tcW w:w="2310"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 xml:space="preserve">Cita informācija </w:t>
            </w:r>
          </w:p>
        </w:tc>
        <w:tc>
          <w:tcPr>
            <w:tcW w:w="6384" w:type="dxa"/>
            <w:tcBorders>
              <w:bottom w:val="single" w:sz="4" w:space="0" w:color="auto"/>
            </w:tcBorders>
          </w:tcPr>
          <w:p w:rsidR="0077781C" w:rsidRPr="006A245D" w:rsidRDefault="00E122E6" w:rsidP="006A245D">
            <w:pPr>
              <w:spacing w:after="0" w:line="240" w:lineRule="auto"/>
              <w:jc w:val="both"/>
              <w:rPr>
                <w:rFonts w:ascii="Times New Roman" w:hAnsi="Times New Roman"/>
                <w:sz w:val="24"/>
                <w:szCs w:val="24"/>
              </w:rPr>
            </w:pPr>
            <w:r>
              <w:rPr>
                <w:rFonts w:ascii="Times New Roman" w:hAnsi="Times New Roman"/>
                <w:sz w:val="24"/>
                <w:szCs w:val="24"/>
              </w:rPr>
              <w:t>Nav.</w:t>
            </w:r>
          </w:p>
        </w:tc>
      </w:tr>
    </w:tbl>
    <w:p w:rsidR="00C90548" w:rsidRPr="00E86332" w:rsidRDefault="00C90548"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966"/>
      </w:tblGrid>
      <w:tr w:rsidR="00E86332" w:rsidRPr="00E86332" w:rsidTr="00102A09">
        <w:trPr>
          <w:cantSplit/>
        </w:trPr>
        <w:tc>
          <w:tcPr>
            <w:tcW w:w="5000" w:type="pct"/>
            <w:gridSpan w:val="3"/>
            <w:vAlign w:val="center"/>
            <w:hideMark/>
          </w:tcPr>
          <w:p w:rsidR="00E86332" w:rsidRPr="00E86332" w:rsidRDefault="00E86332" w:rsidP="0077781C">
            <w:pPr>
              <w:spacing w:after="0" w:line="240" w:lineRule="auto"/>
              <w:jc w:val="center"/>
              <w:rPr>
                <w:rFonts w:ascii="Times New Roman" w:hAnsi="Times New Roman"/>
                <w:b/>
                <w:bCs/>
                <w:sz w:val="24"/>
                <w:szCs w:val="24"/>
              </w:rPr>
            </w:pPr>
            <w:r w:rsidRPr="00E86332">
              <w:rPr>
                <w:rFonts w:ascii="Times New Roman" w:hAnsi="Times New Roman"/>
                <w:b/>
                <w:bCs/>
                <w:sz w:val="24"/>
                <w:szCs w:val="24"/>
              </w:rPr>
              <w:t>II. Tiesību akta projekta ietekme uz sabiedrību, tautsaimniecības attīstību un administratīvo slogu</w:t>
            </w:r>
          </w:p>
        </w:tc>
      </w:tr>
      <w:tr w:rsidR="0087521C" w:rsidRPr="00E86332" w:rsidTr="00102A09">
        <w:trPr>
          <w:cantSplit/>
        </w:trPr>
        <w:tc>
          <w:tcPr>
            <w:tcW w:w="306" w:type="pct"/>
            <w:hideMark/>
          </w:tcPr>
          <w:p w:rsidR="0087521C" w:rsidRPr="00E86332" w:rsidRDefault="0087521C" w:rsidP="0087521C">
            <w:pPr>
              <w:spacing w:after="0" w:line="240" w:lineRule="auto"/>
              <w:jc w:val="center"/>
              <w:rPr>
                <w:rFonts w:ascii="Times New Roman" w:hAnsi="Times New Roman"/>
                <w:sz w:val="24"/>
                <w:szCs w:val="24"/>
              </w:rPr>
            </w:pPr>
            <w:r w:rsidRPr="00E86332">
              <w:rPr>
                <w:rFonts w:ascii="Times New Roman" w:hAnsi="Times New Roman"/>
                <w:sz w:val="24"/>
                <w:szCs w:val="24"/>
              </w:rPr>
              <w:t>1.</w:t>
            </w:r>
          </w:p>
        </w:tc>
        <w:tc>
          <w:tcPr>
            <w:tcW w:w="1455" w:type="pct"/>
            <w:hideMark/>
          </w:tcPr>
          <w:p w:rsidR="0087521C" w:rsidRPr="00E86332" w:rsidRDefault="0087521C" w:rsidP="0087521C">
            <w:pPr>
              <w:spacing w:after="0" w:line="240" w:lineRule="auto"/>
              <w:jc w:val="both"/>
              <w:rPr>
                <w:rFonts w:ascii="Times New Roman" w:hAnsi="Times New Roman"/>
                <w:sz w:val="24"/>
                <w:szCs w:val="24"/>
              </w:rPr>
            </w:pPr>
            <w:r w:rsidRPr="00E86332">
              <w:rPr>
                <w:rFonts w:ascii="Times New Roman" w:hAnsi="Times New Roman"/>
                <w:sz w:val="24"/>
                <w:szCs w:val="24"/>
              </w:rPr>
              <w:t>Sabiedrības mērķgrupas, kuras tiesiskais regulējums ietekmē vai varētu ietekmēt</w:t>
            </w:r>
          </w:p>
        </w:tc>
        <w:tc>
          <w:tcPr>
            <w:tcW w:w="3239" w:type="pct"/>
            <w:hideMark/>
          </w:tcPr>
          <w:p w:rsidR="0087521C" w:rsidRPr="00D21CE4" w:rsidRDefault="0087521C" w:rsidP="0087521C">
            <w:pPr>
              <w:spacing w:after="0" w:line="240" w:lineRule="auto"/>
              <w:jc w:val="both"/>
              <w:rPr>
                <w:rFonts w:ascii="Times New Roman" w:hAnsi="Times New Roman"/>
                <w:sz w:val="24"/>
                <w:szCs w:val="24"/>
              </w:rPr>
            </w:pPr>
            <w:r w:rsidRPr="00D21CE4">
              <w:rPr>
                <w:rFonts w:ascii="Times New Roman" w:hAnsi="Times New Roman"/>
                <w:sz w:val="24"/>
                <w:szCs w:val="24"/>
              </w:rPr>
              <w:t>Projekts attiecas uz atsevišķu personu loku, kuri saistīti ar sprāgstvielu prekursoru tirdzniecību un lietošanu.</w:t>
            </w:r>
          </w:p>
        </w:tc>
      </w:tr>
      <w:tr w:rsidR="0087521C" w:rsidRPr="00E86332" w:rsidTr="0087521C">
        <w:trPr>
          <w:cantSplit/>
        </w:trPr>
        <w:tc>
          <w:tcPr>
            <w:tcW w:w="306" w:type="pct"/>
            <w:hideMark/>
          </w:tcPr>
          <w:p w:rsidR="0087521C" w:rsidRPr="00E86332" w:rsidRDefault="0087521C" w:rsidP="0087521C">
            <w:pPr>
              <w:spacing w:after="0" w:line="240" w:lineRule="auto"/>
              <w:jc w:val="center"/>
              <w:rPr>
                <w:rFonts w:ascii="Times New Roman" w:hAnsi="Times New Roman"/>
                <w:sz w:val="24"/>
                <w:szCs w:val="24"/>
              </w:rPr>
            </w:pPr>
            <w:r w:rsidRPr="00E86332">
              <w:rPr>
                <w:rFonts w:ascii="Times New Roman" w:hAnsi="Times New Roman"/>
                <w:sz w:val="24"/>
                <w:szCs w:val="24"/>
              </w:rPr>
              <w:t>2.</w:t>
            </w:r>
          </w:p>
        </w:tc>
        <w:tc>
          <w:tcPr>
            <w:tcW w:w="1455" w:type="pct"/>
            <w:hideMark/>
          </w:tcPr>
          <w:p w:rsidR="0087521C" w:rsidRPr="00E86332" w:rsidRDefault="0087521C" w:rsidP="0087521C">
            <w:pPr>
              <w:spacing w:after="0" w:line="240" w:lineRule="auto"/>
              <w:jc w:val="both"/>
              <w:rPr>
                <w:rFonts w:ascii="Times New Roman" w:hAnsi="Times New Roman"/>
                <w:sz w:val="24"/>
                <w:szCs w:val="24"/>
              </w:rPr>
            </w:pPr>
            <w:r w:rsidRPr="00E86332">
              <w:rPr>
                <w:rFonts w:ascii="Times New Roman" w:hAnsi="Times New Roman"/>
                <w:sz w:val="24"/>
                <w:szCs w:val="24"/>
              </w:rPr>
              <w:t>Tiesiskā regulējuma ietekme uz tautsaimniecību un administratīvo slogu</w:t>
            </w:r>
          </w:p>
        </w:tc>
        <w:tc>
          <w:tcPr>
            <w:tcW w:w="3239" w:type="pct"/>
          </w:tcPr>
          <w:p w:rsidR="0087521C" w:rsidRPr="00D21CE4" w:rsidRDefault="0087521C" w:rsidP="0087521C">
            <w:pPr>
              <w:spacing w:after="0" w:line="240" w:lineRule="auto"/>
              <w:jc w:val="both"/>
              <w:rPr>
                <w:rFonts w:ascii="Times New Roman" w:eastAsia="Times New Roman" w:hAnsi="Times New Roman"/>
                <w:sz w:val="24"/>
                <w:szCs w:val="24"/>
                <w:lang w:eastAsia="lv-LV"/>
              </w:rPr>
            </w:pPr>
            <w:r w:rsidRPr="00D21CE4">
              <w:rPr>
                <w:rFonts w:ascii="Times New Roman" w:eastAsia="Times New Roman" w:hAnsi="Times New Roman"/>
                <w:sz w:val="24"/>
                <w:szCs w:val="24"/>
                <w:lang w:bidi="lo-LA"/>
              </w:rPr>
              <w:t>Projekts šo jomu neskar</w:t>
            </w:r>
            <w:r w:rsidRPr="00D21CE4">
              <w:rPr>
                <w:rFonts w:ascii="Times New Roman" w:eastAsia="Times New Roman" w:hAnsi="Times New Roman"/>
                <w:sz w:val="24"/>
                <w:szCs w:val="24"/>
                <w:lang w:eastAsia="lv-LV"/>
              </w:rPr>
              <w:t xml:space="preserve">. </w:t>
            </w:r>
            <w:r w:rsidRPr="00D21CE4">
              <w:rPr>
                <w:rFonts w:ascii="Times New Roman" w:hAnsi="Times New Roman"/>
                <w:sz w:val="24"/>
                <w:szCs w:val="24"/>
              </w:rPr>
              <w:t xml:space="preserve"> </w:t>
            </w:r>
          </w:p>
        </w:tc>
      </w:tr>
      <w:tr w:rsidR="0087521C" w:rsidRPr="00E86332" w:rsidTr="0087521C">
        <w:trPr>
          <w:cantSplit/>
        </w:trPr>
        <w:tc>
          <w:tcPr>
            <w:tcW w:w="306" w:type="pct"/>
            <w:hideMark/>
          </w:tcPr>
          <w:p w:rsidR="0087521C" w:rsidRPr="00E86332" w:rsidRDefault="0087521C" w:rsidP="0087521C">
            <w:pPr>
              <w:spacing w:after="0" w:line="240" w:lineRule="auto"/>
              <w:jc w:val="center"/>
              <w:rPr>
                <w:rFonts w:ascii="Times New Roman" w:hAnsi="Times New Roman"/>
                <w:sz w:val="24"/>
                <w:szCs w:val="24"/>
              </w:rPr>
            </w:pPr>
            <w:r w:rsidRPr="00E86332">
              <w:rPr>
                <w:rFonts w:ascii="Times New Roman" w:hAnsi="Times New Roman"/>
                <w:sz w:val="24"/>
                <w:szCs w:val="24"/>
              </w:rPr>
              <w:t>3.</w:t>
            </w:r>
          </w:p>
        </w:tc>
        <w:tc>
          <w:tcPr>
            <w:tcW w:w="1455" w:type="pct"/>
            <w:hideMark/>
          </w:tcPr>
          <w:p w:rsidR="0087521C" w:rsidRPr="00E86332" w:rsidRDefault="0087521C" w:rsidP="0087521C">
            <w:pPr>
              <w:spacing w:after="0" w:line="240" w:lineRule="auto"/>
              <w:jc w:val="both"/>
              <w:rPr>
                <w:rFonts w:ascii="Times New Roman" w:hAnsi="Times New Roman"/>
                <w:sz w:val="24"/>
                <w:szCs w:val="24"/>
              </w:rPr>
            </w:pPr>
            <w:r w:rsidRPr="00E86332">
              <w:rPr>
                <w:rFonts w:ascii="Times New Roman" w:hAnsi="Times New Roman"/>
                <w:sz w:val="24"/>
                <w:szCs w:val="24"/>
              </w:rPr>
              <w:t>Administratīvo izmaksu monetārs novērtējums</w:t>
            </w:r>
          </w:p>
        </w:tc>
        <w:tc>
          <w:tcPr>
            <w:tcW w:w="3239" w:type="pct"/>
          </w:tcPr>
          <w:p w:rsidR="0087521C" w:rsidRPr="00D21CE4" w:rsidRDefault="0087521C" w:rsidP="0087521C">
            <w:pPr>
              <w:spacing w:after="0" w:line="240" w:lineRule="auto"/>
              <w:jc w:val="both"/>
              <w:rPr>
                <w:rFonts w:ascii="Times New Roman" w:eastAsia="Times New Roman" w:hAnsi="Times New Roman"/>
                <w:sz w:val="24"/>
                <w:szCs w:val="24"/>
                <w:lang w:eastAsia="lv-LV"/>
              </w:rPr>
            </w:pPr>
            <w:r w:rsidRPr="00D21CE4">
              <w:rPr>
                <w:rFonts w:ascii="Times New Roman" w:eastAsia="Times New Roman" w:hAnsi="Times New Roman"/>
                <w:sz w:val="24"/>
                <w:szCs w:val="24"/>
                <w:lang w:bidi="lo-LA"/>
              </w:rPr>
              <w:t>Projekts šo jomu neskar</w:t>
            </w:r>
            <w:r w:rsidRPr="00D21CE4">
              <w:rPr>
                <w:rFonts w:ascii="Times New Roman" w:eastAsia="Times New Roman" w:hAnsi="Times New Roman"/>
                <w:sz w:val="24"/>
                <w:szCs w:val="24"/>
                <w:lang w:eastAsia="lv-LV"/>
              </w:rPr>
              <w:t>.</w:t>
            </w:r>
          </w:p>
        </w:tc>
      </w:tr>
      <w:tr w:rsidR="0087521C" w:rsidRPr="00E86332" w:rsidTr="0087521C">
        <w:trPr>
          <w:cantSplit/>
        </w:trPr>
        <w:tc>
          <w:tcPr>
            <w:tcW w:w="306" w:type="pct"/>
            <w:hideMark/>
          </w:tcPr>
          <w:p w:rsidR="0087521C" w:rsidRPr="00E86332" w:rsidRDefault="0087521C" w:rsidP="0087521C">
            <w:pPr>
              <w:spacing w:after="0" w:line="240" w:lineRule="auto"/>
              <w:jc w:val="center"/>
              <w:rPr>
                <w:rFonts w:ascii="Times New Roman" w:hAnsi="Times New Roman"/>
                <w:sz w:val="24"/>
                <w:szCs w:val="24"/>
              </w:rPr>
            </w:pPr>
            <w:r w:rsidRPr="00E86332">
              <w:rPr>
                <w:rFonts w:ascii="Times New Roman" w:hAnsi="Times New Roman"/>
                <w:sz w:val="24"/>
                <w:szCs w:val="24"/>
              </w:rPr>
              <w:t>4.</w:t>
            </w:r>
          </w:p>
        </w:tc>
        <w:tc>
          <w:tcPr>
            <w:tcW w:w="1455" w:type="pct"/>
            <w:hideMark/>
          </w:tcPr>
          <w:p w:rsidR="0087521C" w:rsidRPr="00E86332" w:rsidRDefault="0087521C" w:rsidP="0087521C">
            <w:pPr>
              <w:spacing w:after="0" w:line="240" w:lineRule="auto"/>
              <w:jc w:val="both"/>
              <w:rPr>
                <w:rFonts w:ascii="Times New Roman" w:hAnsi="Times New Roman"/>
                <w:sz w:val="24"/>
                <w:szCs w:val="24"/>
              </w:rPr>
            </w:pPr>
            <w:r w:rsidRPr="00E86332">
              <w:rPr>
                <w:rFonts w:ascii="Times New Roman" w:hAnsi="Times New Roman"/>
                <w:sz w:val="24"/>
                <w:szCs w:val="24"/>
              </w:rPr>
              <w:t>Atbilstības izmaksu monetārs novērtējums</w:t>
            </w:r>
          </w:p>
        </w:tc>
        <w:tc>
          <w:tcPr>
            <w:tcW w:w="3239" w:type="pct"/>
          </w:tcPr>
          <w:p w:rsidR="0087521C" w:rsidRPr="00D21CE4" w:rsidRDefault="0087521C" w:rsidP="0087521C">
            <w:pPr>
              <w:spacing w:after="0" w:line="240" w:lineRule="auto"/>
              <w:rPr>
                <w:rFonts w:ascii="Times New Roman" w:eastAsia="Times New Roman" w:hAnsi="Times New Roman"/>
                <w:sz w:val="24"/>
                <w:szCs w:val="24"/>
                <w:lang w:eastAsia="lv-LV"/>
              </w:rPr>
            </w:pPr>
            <w:r w:rsidRPr="00D21CE4">
              <w:rPr>
                <w:rFonts w:ascii="Times New Roman" w:eastAsia="Times New Roman" w:hAnsi="Times New Roman"/>
                <w:sz w:val="24"/>
                <w:szCs w:val="24"/>
                <w:lang w:bidi="lo-LA"/>
              </w:rPr>
              <w:t>Projekts šo jomu neskar</w:t>
            </w:r>
            <w:r w:rsidRPr="00D21CE4">
              <w:rPr>
                <w:rFonts w:ascii="Times New Roman" w:eastAsia="Times New Roman" w:hAnsi="Times New Roman"/>
                <w:sz w:val="24"/>
                <w:szCs w:val="24"/>
                <w:lang w:eastAsia="lv-LV"/>
              </w:rPr>
              <w:t>.</w:t>
            </w:r>
          </w:p>
        </w:tc>
      </w:tr>
      <w:tr w:rsidR="0087521C" w:rsidRPr="00E86332" w:rsidTr="0087521C">
        <w:trPr>
          <w:cantSplit/>
        </w:trPr>
        <w:tc>
          <w:tcPr>
            <w:tcW w:w="306" w:type="pct"/>
            <w:hideMark/>
          </w:tcPr>
          <w:p w:rsidR="0087521C" w:rsidRPr="00E86332" w:rsidRDefault="0087521C" w:rsidP="0087521C">
            <w:pPr>
              <w:spacing w:after="0" w:line="240" w:lineRule="auto"/>
              <w:jc w:val="center"/>
              <w:rPr>
                <w:rFonts w:ascii="Times New Roman" w:hAnsi="Times New Roman"/>
                <w:sz w:val="24"/>
                <w:szCs w:val="24"/>
              </w:rPr>
            </w:pPr>
            <w:r w:rsidRPr="00E86332">
              <w:rPr>
                <w:rFonts w:ascii="Times New Roman" w:hAnsi="Times New Roman"/>
                <w:sz w:val="24"/>
                <w:szCs w:val="24"/>
              </w:rPr>
              <w:t>5.</w:t>
            </w:r>
          </w:p>
        </w:tc>
        <w:tc>
          <w:tcPr>
            <w:tcW w:w="1455" w:type="pct"/>
            <w:hideMark/>
          </w:tcPr>
          <w:p w:rsidR="0087521C" w:rsidRPr="00E86332" w:rsidRDefault="0087521C" w:rsidP="0087521C">
            <w:pPr>
              <w:spacing w:after="0" w:line="240" w:lineRule="auto"/>
              <w:jc w:val="both"/>
              <w:rPr>
                <w:rFonts w:ascii="Times New Roman" w:hAnsi="Times New Roman"/>
                <w:sz w:val="24"/>
                <w:szCs w:val="24"/>
              </w:rPr>
            </w:pPr>
            <w:r w:rsidRPr="00E86332">
              <w:rPr>
                <w:rFonts w:ascii="Times New Roman" w:hAnsi="Times New Roman"/>
                <w:sz w:val="24"/>
                <w:szCs w:val="24"/>
              </w:rPr>
              <w:t>Cita informācija</w:t>
            </w:r>
          </w:p>
        </w:tc>
        <w:tc>
          <w:tcPr>
            <w:tcW w:w="3239" w:type="pct"/>
          </w:tcPr>
          <w:p w:rsidR="0087521C" w:rsidRPr="00D21CE4" w:rsidRDefault="0087521C" w:rsidP="0087521C">
            <w:pPr>
              <w:spacing w:after="0" w:line="240" w:lineRule="auto"/>
              <w:rPr>
                <w:rFonts w:ascii="Times New Roman" w:eastAsia="Times New Roman" w:hAnsi="Times New Roman"/>
                <w:sz w:val="24"/>
                <w:szCs w:val="24"/>
                <w:lang w:eastAsia="lv-LV"/>
              </w:rPr>
            </w:pPr>
            <w:r w:rsidRPr="00D21CE4">
              <w:rPr>
                <w:rFonts w:ascii="Times New Roman" w:eastAsia="Times New Roman" w:hAnsi="Times New Roman"/>
                <w:sz w:val="24"/>
                <w:szCs w:val="24"/>
                <w:lang w:eastAsia="lv-LV"/>
              </w:rPr>
              <w:t>Nav.</w:t>
            </w:r>
          </w:p>
        </w:tc>
      </w:tr>
    </w:tbl>
    <w:p w:rsidR="00600DB5" w:rsidRDefault="00600DB5" w:rsidP="00CD03B2">
      <w:pPr>
        <w:pStyle w:val="Title"/>
        <w:tabs>
          <w:tab w:val="left" w:pos="1605"/>
        </w:tabs>
        <w:jc w:val="both"/>
        <w:rPr>
          <w:sz w:val="24"/>
          <w:szCs w:val="24"/>
        </w:rPr>
      </w:pPr>
    </w:p>
    <w:tbl>
      <w:tblPr>
        <w:tblW w:w="511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0"/>
        <w:gridCol w:w="1592"/>
        <w:gridCol w:w="1074"/>
        <w:gridCol w:w="1073"/>
        <w:gridCol w:w="941"/>
        <w:gridCol w:w="940"/>
        <w:gridCol w:w="940"/>
        <w:gridCol w:w="940"/>
        <w:gridCol w:w="995"/>
        <w:gridCol w:w="203"/>
      </w:tblGrid>
      <w:tr w:rsidR="006474E4" w:rsidRPr="00FE7429" w:rsidTr="006474E4">
        <w:trPr>
          <w:gridAfter w:val="1"/>
          <w:wAfter w:w="203" w:type="dxa"/>
          <w:cantSplit/>
        </w:trPr>
        <w:tc>
          <w:tcPr>
            <w:tcW w:w="9065" w:type="dxa"/>
            <w:gridSpan w:val="9"/>
            <w:shd w:val="clear" w:color="auto" w:fill="auto"/>
            <w:vAlign w:val="center"/>
            <w:hideMark/>
          </w:tcPr>
          <w:p w:rsidR="006474E4" w:rsidRPr="00FE7429" w:rsidRDefault="006474E4" w:rsidP="00121355">
            <w:pPr>
              <w:jc w:val="center"/>
              <w:rPr>
                <w:rFonts w:ascii="Times New Roman" w:hAnsi="Times New Roman"/>
                <w:b/>
                <w:bCs/>
                <w:sz w:val="24"/>
                <w:szCs w:val="24"/>
              </w:rPr>
            </w:pPr>
            <w:r w:rsidRPr="00FE7429">
              <w:rPr>
                <w:rFonts w:ascii="Times New Roman" w:hAnsi="Times New Roman"/>
                <w:b/>
                <w:bCs/>
                <w:sz w:val="24"/>
                <w:szCs w:val="24"/>
              </w:rPr>
              <w:t>III. Tiesību akta projekta ietekme uz valsts budžetu un pašvaldību budžetiem</w:t>
            </w:r>
          </w:p>
        </w:tc>
      </w:tr>
      <w:tr w:rsidR="006474E4" w:rsidRPr="00FE7429" w:rsidTr="006474E4">
        <w:trPr>
          <w:gridAfter w:val="1"/>
          <w:wAfter w:w="203" w:type="dxa"/>
          <w:cantSplit/>
        </w:trPr>
        <w:tc>
          <w:tcPr>
            <w:tcW w:w="2162" w:type="dxa"/>
            <w:gridSpan w:val="2"/>
            <w:vMerge w:val="restart"/>
            <w:shd w:val="clear" w:color="auto" w:fill="FFFFFF"/>
            <w:vAlign w:val="center"/>
          </w:tcPr>
          <w:p w:rsidR="006474E4" w:rsidRPr="00FE7429" w:rsidRDefault="006474E4" w:rsidP="00121355">
            <w:pPr>
              <w:jc w:val="center"/>
              <w:rPr>
                <w:rFonts w:ascii="Times New Roman" w:hAnsi="Times New Roman"/>
                <w:bCs/>
                <w:sz w:val="24"/>
                <w:szCs w:val="24"/>
              </w:rPr>
            </w:pPr>
            <w:r w:rsidRPr="00FE7429">
              <w:rPr>
                <w:rFonts w:ascii="Times New Roman" w:hAnsi="Times New Roman"/>
                <w:bCs/>
                <w:sz w:val="24"/>
                <w:szCs w:val="24"/>
              </w:rPr>
              <w:t>Rādītāji</w:t>
            </w:r>
          </w:p>
        </w:tc>
        <w:tc>
          <w:tcPr>
            <w:tcW w:w="2147" w:type="dxa"/>
            <w:gridSpan w:val="2"/>
            <w:vMerge w:val="restart"/>
            <w:shd w:val="clear" w:color="auto" w:fill="FFFFFF"/>
            <w:vAlign w:val="center"/>
            <w:hideMark/>
          </w:tcPr>
          <w:p w:rsidR="006474E4" w:rsidRPr="00FE7429" w:rsidRDefault="006474E4" w:rsidP="00121355">
            <w:pPr>
              <w:jc w:val="center"/>
              <w:rPr>
                <w:rFonts w:ascii="Times New Roman" w:hAnsi="Times New Roman"/>
                <w:bCs/>
                <w:sz w:val="24"/>
                <w:szCs w:val="24"/>
              </w:rPr>
            </w:pPr>
            <w:r w:rsidRPr="00FE7429">
              <w:rPr>
                <w:rFonts w:ascii="Times New Roman" w:hAnsi="Times New Roman"/>
                <w:bCs/>
                <w:sz w:val="24"/>
                <w:szCs w:val="24"/>
              </w:rPr>
              <w:t>n-gads</w:t>
            </w:r>
          </w:p>
        </w:tc>
        <w:tc>
          <w:tcPr>
            <w:tcW w:w="4756" w:type="dxa"/>
            <w:gridSpan w:val="5"/>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Turpmākie trīs gadi (</w:t>
            </w:r>
            <w:proofErr w:type="spellStart"/>
            <w:r w:rsidRPr="00FE7429">
              <w:rPr>
                <w:rFonts w:ascii="Times New Roman" w:hAnsi="Times New Roman"/>
                <w:i/>
                <w:iCs/>
                <w:sz w:val="24"/>
                <w:szCs w:val="24"/>
              </w:rPr>
              <w:t>euro</w:t>
            </w:r>
            <w:proofErr w:type="spellEnd"/>
            <w:r w:rsidRPr="00FE7429">
              <w:rPr>
                <w:rFonts w:ascii="Times New Roman" w:hAnsi="Times New Roman"/>
                <w:sz w:val="24"/>
                <w:szCs w:val="24"/>
              </w:rPr>
              <w:t>)</w:t>
            </w:r>
          </w:p>
        </w:tc>
      </w:tr>
      <w:tr w:rsidR="006474E4" w:rsidRPr="00FE7429" w:rsidTr="006474E4">
        <w:trPr>
          <w:gridAfter w:val="1"/>
          <w:wAfter w:w="203" w:type="dxa"/>
          <w:cantSplit/>
        </w:trPr>
        <w:tc>
          <w:tcPr>
            <w:tcW w:w="2162" w:type="dxa"/>
            <w:gridSpan w:val="2"/>
            <w:vMerge/>
            <w:shd w:val="clear" w:color="auto" w:fill="auto"/>
            <w:vAlign w:val="center"/>
            <w:hideMark/>
          </w:tcPr>
          <w:p w:rsidR="006474E4" w:rsidRPr="00FE7429" w:rsidRDefault="006474E4" w:rsidP="00121355">
            <w:pPr>
              <w:jc w:val="center"/>
              <w:rPr>
                <w:rFonts w:ascii="Times New Roman" w:hAnsi="Times New Roman"/>
                <w:bCs/>
                <w:sz w:val="24"/>
                <w:szCs w:val="24"/>
              </w:rPr>
            </w:pPr>
          </w:p>
        </w:tc>
        <w:tc>
          <w:tcPr>
            <w:tcW w:w="2147" w:type="dxa"/>
            <w:gridSpan w:val="2"/>
            <w:vMerge/>
            <w:shd w:val="clear" w:color="auto" w:fill="auto"/>
            <w:vAlign w:val="center"/>
            <w:hideMark/>
          </w:tcPr>
          <w:p w:rsidR="006474E4" w:rsidRPr="00FE7429" w:rsidRDefault="006474E4" w:rsidP="00121355">
            <w:pPr>
              <w:jc w:val="center"/>
              <w:rPr>
                <w:rFonts w:ascii="Times New Roman" w:hAnsi="Times New Roman"/>
                <w:bCs/>
                <w:sz w:val="24"/>
                <w:szCs w:val="24"/>
              </w:rPr>
            </w:pPr>
          </w:p>
        </w:tc>
        <w:tc>
          <w:tcPr>
            <w:tcW w:w="1881" w:type="dxa"/>
            <w:gridSpan w:val="2"/>
            <w:shd w:val="clear" w:color="auto" w:fill="FFFFFF"/>
            <w:vAlign w:val="center"/>
            <w:hideMark/>
          </w:tcPr>
          <w:p w:rsidR="006474E4" w:rsidRPr="00FE7429" w:rsidRDefault="006474E4" w:rsidP="00121355">
            <w:pPr>
              <w:jc w:val="center"/>
              <w:rPr>
                <w:rFonts w:ascii="Times New Roman" w:hAnsi="Times New Roman"/>
                <w:bCs/>
                <w:sz w:val="24"/>
                <w:szCs w:val="24"/>
              </w:rPr>
            </w:pPr>
            <w:r w:rsidRPr="00FE7429">
              <w:rPr>
                <w:rFonts w:ascii="Times New Roman" w:hAnsi="Times New Roman"/>
                <w:bCs/>
                <w:sz w:val="24"/>
                <w:szCs w:val="24"/>
              </w:rPr>
              <w:t>n+1</w:t>
            </w:r>
          </w:p>
        </w:tc>
        <w:tc>
          <w:tcPr>
            <w:tcW w:w="1880" w:type="dxa"/>
            <w:gridSpan w:val="2"/>
            <w:shd w:val="clear" w:color="auto" w:fill="FFFFFF"/>
            <w:vAlign w:val="center"/>
            <w:hideMark/>
          </w:tcPr>
          <w:p w:rsidR="006474E4" w:rsidRPr="00FE7429" w:rsidRDefault="006474E4" w:rsidP="00121355">
            <w:pPr>
              <w:jc w:val="center"/>
              <w:rPr>
                <w:rFonts w:ascii="Times New Roman" w:hAnsi="Times New Roman"/>
                <w:bCs/>
                <w:sz w:val="24"/>
                <w:szCs w:val="24"/>
              </w:rPr>
            </w:pPr>
            <w:r w:rsidRPr="00FE7429">
              <w:rPr>
                <w:rFonts w:ascii="Times New Roman" w:hAnsi="Times New Roman"/>
                <w:bCs/>
                <w:sz w:val="24"/>
                <w:szCs w:val="24"/>
              </w:rPr>
              <w:t>n+2</w:t>
            </w:r>
          </w:p>
        </w:tc>
        <w:tc>
          <w:tcPr>
            <w:tcW w:w="995" w:type="dxa"/>
            <w:shd w:val="clear" w:color="auto" w:fill="FFFFFF"/>
            <w:vAlign w:val="center"/>
            <w:hideMark/>
          </w:tcPr>
          <w:p w:rsidR="006474E4" w:rsidRPr="00FE7429" w:rsidRDefault="006474E4" w:rsidP="00121355">
            <w:pPr>
              <w:jc w:val="center"/>
              <w:rPr>
                <w:rFonts w:ascii="Times New Roman" w:hAnsi="Times New Roman"/>
                <w:bCs/>
                <w:sz w:val="24"/>
                <w:szCs w:val="24"/>
              </w:rPr>
            </w:pPr>
            <w:r w:rsidRPr="00FE7429">
              <w:rPr>
                <w:rFonts w:ascii="Times New Roman" w:hAnsi="Times New Roman"/>
                <w:bCs/>
                <w:sz w:val="24"/>
                <w:szCs w:val="24"/>
              </w:rPr>
              <w:t>n+3</w:t>
            </w:r>
          </w:p>
        </w:tc>
      </w:tr>
      <w:tr w:rsidR="006474E4" w:rsidRPr="00FE7429" w:rsidTr="006474E4">
        <w:trPr>
          <w:gridAfter w:val="1"/>
          <w:wAfter w:w="203" w:type="dxa"/>
          <w:cantSplit/>
        </w:trPr>
        <w:tc>
          <w:tcPr>
            <w:tcW w:w="2162" w:type="dxa"/>
            <w:gridSpan w:val="2"/>
            <w:vMerge/>
            <w:shd w:val="clear" w:color="auto" w:fill="auto"/>
            <w:vAlign w:val="center"/>
            <w:hideMark/>
          </w:tcPr>
          <w:p w:rsidR="006474E4" w:rsidRPr="00FE7429" w:rsidRDefault="006474E4" w:rsidP="00121355">
            <w:pPr>
              <w:jc w:val="center"/>
              <w:rPr>
                <w:rFonts w:ascii="Times New Roman" w:hAnsi="Times New Roman"/>
                <w:b/>
                <w:bCs/>
                <w:sz w:val="24"/>
                <w:szCs w:val="24"/>
              </w:rPr>
            </w:pPr>
          </w:p>
        </w:tc>
        <w:tc>
          <w:tcPr>
            <w:tcW w:w="1074"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saskaņā ar valsts budžetu kārtējam gadam</w:t>
            </w:r>
          </w:p>
        </w:tc>
        <w:tc>
          <w:tcPr>
            <w:tcW w:w="1073"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izmaiņas kārtējā gadā, salīdzinot ar valsts budžetu kārtējam gadam</w:t>
            </w:r>
          </w:p>
        </w:tc>
        <w:tc>
          <w:tcPr>
            <w:tcW w:w="941"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saskaņā ar vidēja termiņa budžeta ietvaru</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izmaiņas, salīdzinot ar vidēja termiņa budžeta ietvaru n+1 gadam</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saskaņā ar vidēja termiņa budžeta ietvaru</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izmaiņas, salīdzinot ar vidēja termiņa budžeta ietvaru n+2 gadam</w:t>
            </w:r>
          </w:p>
        </w:tc>
        <w:tc>
          <w:tcPr>
            <w:tcW w:w="995"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 xml:space="preserve">izmaiņas, salīdzinot ar vidēja termiņa budžeta ietvaru </w:t>
            </w:r>
            <w:r w:rsidRPr="00FE7429">
              <w:rPr>
                <w:rFonts w:ascii="Times New Roman" w:hAnsi="Times New Roman"/>
                <w:sz w:val="24"/>
                <w:szCs w:val="24"/>
              </w:rPr>
              <w:br/>
              <w:t>n+2 gadam</w:t>
            </w:r>
          </w:p>
        </w:tc>
      </w:tr>
      <w:tr w:rsidR="006474E4" w:rsidRPr="00FE7429" w:rsidTr="006474E4">
        <w:trPr>
          <w:gridAfter w:val="1"/>
          <w:wAfter w:w="203" w:type="dxa"/>
          <w:cantSplit/>
        </w:trPr>
        <w:tc>
          <w:tcPr>
            <w:tcW w:w="2162" w:type="dxa"/>
            <w:gridSpan w:val="2"/>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1</w:t>
            </w:r>
          </w:p>
        </w:tc>
        <w:tc>
          <w:tcPr>
            <w:tcW w:w="1074"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2</w:t>
            </w:r>
          </w:p>
        </w:tc>
        <w:tc>
          <w:tcPr>
            <w:tcW w:w="1073"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3</w:t>
            </w:r>
          </w:p>
        </w:tc>
        <w:tc>
          <w:tcPr>
            <w:tcW w:w="941"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4</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5</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6</w:t>
            </w: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7</w:t>
            </w:r>
          </w:p>
        </w:tc>
        <w:tc>
          <w:tcPr>
            <w:tcW w:w="995" w:type="dxa"/>
            <w:shd w:val="clear" w:color="auto" w:fill="FFFFFF"/>
            <w:vAlign w:val="center"/>
            <w:hideMark/>
          </w:tcPr>
          <w:p w:rsidR="006474E4" w:rsidRPr="00FE7429" w:rsidRDefault="006474E4" w:rsidP="00121355">
            <w:pPr>
              <w:jc w:val="center"/>
              <w:rPr>
                <w:rFonts w:ascii="Times New Roman" w:hAnsi="Times New Roman"/>
                <w:sz w:val="24"/>
                <w:szCs w:val="24"/>
              </w:rPr>
            </w:pPr>
            <w:r w:rsidRPr="00FE7429">
              <w:rPr>
                <w:rFonts w:ascii="Times New Roman" w:hAnsi="Times New Roman"/>
                <w:sz w:val="24"/>
                <w:szCs w:val="24"/>
              </w:rPr>
              <w:t>8</w:t>
            </w:r>
          </w:p>
        </w:tc>
      </w:tr>
      <w:tr w:rsidR="006474E4" w:rsidRPr="00FE7429" w:rsidTr="006474E4">
        <w:trPr>
          <w:gridAfter w:val="1"/>
          <w:wAfter w:w="203" w:type="dxa"/>
          <w:cantSplit/>
        </w:trPr>
        <w:tc>
          <w:tcPr>
            <w:tcW w:w="2162" w:type="dxa"/>
            <w:gridSpan w:val="2"/>
            <w:shd w:val="clear" w:color="auto" w:fill="FFFFFF"/>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1. Budžeta ieņēmumi</w:t>
            </w:r>
          </w:p>
        </w:tc>
        <w:tc>
          <w:tcPr>
            <w:tcW w:w="1074"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FFFFFF"/>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FFFFFF"/>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1.1. valsts pamatbudžets, tai skaitā ieņēmumi no maksas pakalpojumiem un citi pašu ieņēmumi</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lastRenderedPageBreak/>
              <w:t>1.2. valsts speciālais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1.3. pašvaldību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2. Budžeta izdevumi</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2.1. valsts pamatbudžets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2.2. valsts speciālais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2.3. pašvaldību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3. Finansiālā ietekme</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3.1. valsts pamatbudžets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3.2. speciālais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3.3. pašvaldību budžets</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4. Finanšu līdzekļi papildu izdevumu finansēšanai (kompensējošu izdevumu samazinājumu norāda ar "+" zīmi)</w:t>
            </w:r>
          </w:p>
        </w:tc>
        <w:tc>
          <w:tcPr>
            <w:tcW w:w="1074"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5. Precizēta finansiālā ietekme</w:t>
            </w:r>
          </w:p>
        </w:tc>
        <w:tc>
          <w:tcPr>
            <w:tcW w:w="1074" w:type="dxa"/>
            <w:vMerge w:val="restart"/>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vMerge w:val="restart"/>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vMerge w:val="restart"/>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5.1. valsts pamatbudžets</w:t>
            </w:r>
          </w:p>
        </w:tc>
        <w:tc>
          <w:tcPr>
            <w:tcW w:w="1074"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lastRenderedPageBreak/>
              <w:t>5.2. speciālais budžets</w:t>
            </w:r>
          </w:p>
        </w:tc>
        <w:tc>
          <w:tcPr>
            <w:tcW w:w="1074"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5.3. pašvaldību budžets</w:t>
            </w:r>
          </w:p>
        </w:tc>
        <w:tc>
          <w:tcPr>
            <w:tcW w:w="1074"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1073"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1"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vMerge/>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40" w:type="dxa"/>
            <w:shd w:val="clear" w:color="auto" w:fill="auto"/>
            <w:vAlign w:val="center"/>
            <w:hideMark/>
          </w:tcPr>
          <w:p w:rsidR="006474E4" w:rsidRPr="00FE7429" w:rsidRDefault="006474E4" w:rsidP="00121355">
            <w:pPr>
              <w:jc w:val="center"/>
              <w:rPr>
                <w:rFonts w:ascii="Times New Roman" w:hAnsi="Times New Roman"/>
                <w:sz w:val="24"/>
                <w:szCs w:val="24"/>
              </w:rPr>
            </w:pPr>
          </w:p>
        </w:tc>
        <w:tc>
          <w:tcPr>
            <w:tcW w:w="995" w:type="dxa"/>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6. Detalizēts ieņēmumu un izdevumu aprēķins (ja nepieciešams, detalizētu ieņēmumu un izdevumu aprēķinu var pievienot anotācijas pielikumā)</w:t>
            </w:r>
          </w:p>
        </w:tc>
        <w:tc>
          <w:tcPr>
            <w:tcW w:w="6903" w:type="dxa"/>
            <w:gridSpan w:val="7"/>
            <w:vMerge w:val="restart"/>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6.1. detalizēts ieņēmumu aprēķins</w:t>
            </w:r>
          </w:p>
        </w:tc>
        <w:tc>
          <w:tcPr>
            <w:tcW w:w="6903" w:type="dxa"/>
            <w:gridSpan w:val="7"/>
            <w:vMerge/>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6.2. detalizēts izdevumu aprēķins</w:t>
            </w:r>
          </w:p>
        </w:tc>
        <w:tc>
          <w:tcPr>
            <w:tcW w:w="6903" w:type="dxa"/>
            <w:gridSpan w:val="7"/>
            <w:vMerge/>
            <w:shd w:val="clear" w:color="auto" w:fill="auto"/>
            <w:vAlign w:val="center"/>
            <w:hideMark/>
          </w:tcPr>
          <w:p w:rsidR="006474E4" w:rsidRPr="00FE7429" w:rsidRDefault="006474E4" w:rsidP="00121355">
            <w:pPr>
              <w:jc w:val="cente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7. Amata vietu skaita izmaiņas</w:t>
            </w:r>
          </w:p>
        </w:tc>
        <w:tc>
          <w:tcPr>
            <w:tcW w:w="6903" w:type="dxa"/>
            <w:gridSpan w:val="7"/>
            <w:shd w:val="clear" w:color="auto" w:fill="auto"/>
          </w:tcPr>
          <w:p w:rsidR="006474E4" w:rsidRPr="00FE7429" w:rsidRDefault="006474E4" w:rsidP="00121355">
            <w:pPr>
              <w:rPr>
                <w:rFonts w:ascii="Times New Roman" w:hAnsi="Times New Roman"/>
                <w:sz w:val="24"/>
                <w:szCs w:val="24"/>
              </w:rPr>
            </w:pPr>
          </w:p>
        </w:tc>
      </w:tr>
      <w:tr w:rsidR="006474E4" w:rsidRPr="00FE7429" w:rsidTr="006474E4">
        <w:trPr>
          <w:gridAfter w:val="1"/>
          <w:wAfter w:w="203" w:type="dxa"/>
          <w:cantSplit/>
        </w:trPr>
        <w:tc>
          <w:tcPr>
            <w:tcW w:w="2162" w:type="dxa"/>
            <w:gridSpan w:val="2"/>
            <w:shd w:val="clear" w:color="auto" w:fill="auto"/>
            <w:hideMark/>
          </w:tcPr>
          <w:p w:rsidR="006474E4" w:rsidRPr="00FE7429" w:rsidRDefault="006474E4" w:rsidP="00121355">
            <w:pPr>
              <w:rPr>
                <w:rFonts w:ascii="Times New Roman" w:hAnsi="Times New Roman"/>
                <w:sz w:val="24"/>
                <w:szCs w:val="24"/>
              </w:rPr>
            </w:pPr>
            <w:r w:rsidRPr="00FE7429">
              <w:rPr>
                <w:rFonts w:ascii="Times New Roman" w:hAnsi="Times New Roman"/>
                <w:sz w:val="24"/>
                <w:szCs w:val="24"/>
              </w:rPr>
              <w:t>8. Cita informācija</w:t>
            </w:r>
          </w:p>
        </w:tc>
        <w:tc>
          <w:tcPr>
            <w:tcW w:w="6903" w:type="dxa"/>
            <w:gridSpan w:val="7"/>
            <w:shd w:val="clear" w:color="auto" w:fill="auto"/>
          </w:tcPr>
          <w:p w:rsidR="006474E4" w:rsidRPr="00FE7429" w:rsidRDefault="006474E4" w:rsidP="00121355">
            <w:pPr>
              <w:rPr>
                <w:rFonts w:ascii="Times New Roman" w:hAnsi="Times New Roman"/>
                <w:sz w:val="24"/>
                <w:szCs w:val="24"/>
              </w:rPr>
            </w:pPr>
          </w:p>
        </w:tc>
      </w:tr>
      <w:tr w:rsidR="00FE7429" w:rsidRPr="00FE7429" w:rsidTr="006474E4">
        <w:tblPrEx>
          <w:tblCellMar>
            <w:top w:w="30" w:type="dxa"/>
            <w:left w:w="30" w:type="dxa"/>
            <w:bottom w:w="30" w:type="dxa"/>
            <w:right w:w="30" w:type="dxa"/>
          </w:tblCellMar>
        </w:tblPrEx>
        <w:trPr>
          <w:cantSplit/>
        </w:trPr>
        <w:tc>
          <w:tcPr>
            <w:tcW w:w="9268" w:type="dxa"/>
            <w:gridSpan w:val="10"/>
            <w:vAlign w:val="center"/>
            <w:hideMark/>
          </w:tcPr>
          <w:p w:rsidR="00FE7429" w:rsidRPr="00FE7429" w:rsidRDefault="00FE7429" w:rsidP="0059408C">
            <w:pPr>
              <w:jc w:val="center"/>
              <w:rPr>
                <w:rFonts w:ascii="Times New Roman" w:hAnsi="Times New Roman"/>
                <w:b/>
                <w:bCs/>
                <w:sz w:val="24"/>
                <w:szCs w:val="24"/>
              </w:rPr>
            </w:pPr>
            <w:r w:rsidRPr="00FE7429">
              <w:rPr>
                <w:rFonts w:ascii="Times New Roman" w:hAnsi="Times New Roman"/>
                <w:b/>
                <w:bCs/>
                <w:sz w:val="24"/>
                <w:szCs w:val="24"/>
              </w:rPr>
              <w:t>IV. Tiesību akta projekta ietekme uz spēkā esošo tiesību normu sistēmu</w:t>
            </w:r>
          </w:p>
        </w:tc>
      </w:tr>
      <w:tr w:rsidR="0087521C" w:rsidRPr="00FE7429" w:rsidTr="006474E4">
        <w:tblPrEx>
          <w:tblCellMar>
            <w:top w:w="30" w:type="dxa"/>
            <w:left w:w="30" w:type="dxa"/>
            <w:bottom w:w="30" w:type="dxa"/>
            <w:right w:w="30" w:type="dxa"/>
          </w:tblCellMar>
        </w:tblPrEx>
        <w:trPr>
          <w:cantSplit/>
        </w:trPr>
        <w:tc>
          <w:tcPr>
            <w:tcW w:w="570" w:type="dxa"/>
            <w:hideMark/>
          </w:tcPr>
          <w:p w:rsidR="0087521C" w:rsidRPr="00FE7429" w:rsidRDefault="0087521C" w:rsidP="0087521C">
            <w:pPr>
              <w:jc w:val="center"/>
              <w:rPr>
                <w:rFonts w:ascii="Times New Roman" w:hAnsi="Times New Roman"/>
                <w:sz w:val="24"/>
                <w:szCs w:val="24"/>
              </w:rPr>
            </w:pPr>
            <w:r w:rsidRPr="00FE7429">
              <w:rPr>
                <w:rFonts w:ascii="Times New Roman" w:hAnsi="Times New Roman"/>
                <w:sz w:val="24"/>
                <w:szCs w:val="24"/>
              </w:rPr>
              <w:t>1.</w:t>
            </w:r>
          </w:p>
        </w:tc>
        <w:tc>
          <w:tcPr>
            <w:tcW w:w="2666" w:type="dxa"/>
            <w:gridSpan w:val="2"/>
            <w:hideMark/>
          </w:tcPr>
          <w:p w:rsidR="0087521C" w:rsidRPr="00FE7429" w:rsidRDefault="0087521C" w:rsidP="0087521C">
            <w:pPr>
              <w:rPr>
                <w:rFonts w:ascii="Times New Roman" w:hAnsi="Times New Roman"/>
                <w:sz w:val="24"/>
                <w:szCs w:val="24"/>
              </w:rPr>
            </w:pPr>
            <w:r w:rsidRPr="00FE7429">
              <w:rPr>
                <w:rFonts w:ascii="Times New Roman" w:hAnsi="Times New Roman"/>
                <w:sz w:val="24"/>
                <w:szCs w:val="24"/>
              </w:rPr>
              <w:t>Saistītie tiesību aktu projekti</w:t>
            </w:r>
          </w:p>
        </w:tc>
        <w:tc>
          <w:tcPr>
            <w:tcW w:w="6032" w:type="dxa"/>
            <w:gridSpan w:val="7"/>
          </w:tcPr>
          <w:p w:rsidR="0087521C" w:rsidRPr="00D21CE4" w:rsidRDefault="0087521C" w:rsidP="0087521C">
            <w:pPr>
              <w:spacing w:after="0" w:line="240" w:lineRule="auto"/>
              <w:ind w:right="134"/>
              <w:jc w:val="both"/>
              <w:rPr>
                <w:rFonts w:ascii="Times New Roman" w:eastAsia="Times New Roman" w:hAnsi="Times New Roman"/>
                <w:sz w:val="24"/>
                <w:szCs w:val="24"/>
                <w:lang w:eastAsia="lv-LV"/>
              </w:rPr>
            </w:pPr>
            <w:r w:rsidRPr="00D21CE4">
              <w:rPr>
                <w:rFonts w:ascii="Times New Roman" w:hAnsi="Times New Roman"/>
                <w:sz w:val="24"/>
                <w:szCs w:val="24"/>
              </w:rPr>
              <w:t>Projekts šo jomu neskar</w:t>
            </w:r>
            <w:r>
              <w:rPr>
                <w:rFonts w:ascii="Times New Roman" w:hAnsi="Times New Roman"/>
                <w:sz w:val="24"/>
                <w:szCs w:val="24"/>
              </w:rPr>
              <w:t>.</w:t>
            </w:r>
          </w:p>
        </w:tc>
      </w:tr>
      <w:tr w:rsidR="0087521C" w:rsidRPr="00FE7429" w:rsidTr="006474E4">
        <w:tblPrEx>
          <w:tblCellMar>
            <w:top w:w="30" w:type="dxa"/>
            <w:left w:w="30" w:type="dxa"/>
            <w:bottom w:w="30" w:type="dxa"/>
            <w:right w:w="30" w:type="dxa"/>
          </w:tblCellMar>
        </w:tblPrEx>
        <w:trPr>
          <w:cantSplit/>
        </w:trPr>
        <w:tc>
          <w:tcPr>
            <w:tcW w:w="570" w:type="dxa"/>
            <w:hideMark/>
          </w:tcPr>
          <w:p w:rsidR="0087521C" w:rsidRPr="00FE7429" w:rsidRDefault="0087521C" w:rsidP="0087521C">
            <w:pPr>
              <w:jc w:val="center"/>
              <w:rPr>
                <w:rFonts w:ascii="Times New Roman" w:hAnsi="Times New Roman"/>
                <w:sz w:val="24"/>
                <w:szCs w:val="24"/>
              </w:rPr>
            </w:pPr>
            <w:r w:rsidRPr="00FE7429">
              <w:rPr>
                <w:rFonts w:ascii="Times New Roman" w:hAnsi="Times New Roman"/>
                <w:sz w:val="24"/>
                <w:szCs w:val="24"/>
              </w:rPr>
              <w:t>2.</w:t>
            </w:r>
          </w:p>
        </w:tc>
        <w:tc>
          <w:tcPr>
            <w:tcW w:w="2666" w:type="dxa"/>
            <w:gridSpan w:val="2"/>
            <w:hideMark/>
          </w:tcPr>
          <w:p w:rsidR="0087521C" w:rsidRPr="00FE7429" w:rsidRDefault="0087521C" w:rsidP="0087521C">
            <w:pPr>
              <w:rPr>
                <w:rFonts w:ascii="Times New Roman" w:hAnsi="Times New Roman"/>
                <w:sz w:val="24"/>
                <w:szCs w:val="24"/>
              </w:rPr>
            </w:pPr>
            <w:r w:rsidRPr="00FE7429">
              <w:rPr>
                <w:rFonts w:ascii="Times New Roman" w:hAnsi="Times New Roman"/>
                <w:sz w:val="24"/>
                <w:szCs w:val="24"/>
              </w:rPr>
              <w:t>Atbildīgā institūcija</w:t>
            </w:r>
          </w:p>
        </w:tc>
        <w:tc>
          <w:tcPr>
            <w:tcW w:w="6032" w:type="dxa"/>
            <w:gridSpan w:val="7"/>
          </w:tcPr>
          <w:p w:rsidR="0087521C" w:rsidRPr="00D21CE4" w:rsidRDefault="0087521C" w:rsidP="0087521C">
            <w:pPr>
              <w:spacing w:after="0" w:line="240" w:lineRule="auto"/>
              <w:rPr>
                <w:rFonts w:ascii="Times New Roman" w:eastAsia="Times New Roman" w:hAnsi="Times New Roman"/>
                <w:sz w:val="24"/>
                <w:szCs w:val="24"/>
                <w:lang w:eastAsia="lv-LV"/>
              </w:rPr>
            </w:pPr>
            <w:r w:rsidRPr="00D21CE4">
              <w:rPr>
                <w:rFonts w:ascii="Times New Roman" w:eastAsia="Times New Roman" w:hAnsi="Times New Roman"/>
                <w:sz w:val="24"/>
                <w:szCs w:val="24"/>
                <w:lang w:eastAsia="lv-LV"/>
              </w:rPr>
              <w:t>Iekšlietu ministrija.</w:t>
            </w:r>
          </w:p>
        </w:tc>
      </w:tr>
      <w:tr w:rsidR="0087521C" w:rsidRPr="00FE7429" w:rsidTr="006474E4">
        <w:tblPrEx>
          <w:tblCellMar>
            <w:top w:w="30" w:type="dxa"/>
            <w:left w:w="30" w:type="dxa"/>
            <w:bottom w:w="30" w:type="dxa"/>
            <w:right w:w="30" w:type="dxa"/>
          </w:tblCellMar>
        </w:tblPrEx>
        <w:trPr>
          <w:cantSplit/>
        </w:trPr>
        <w:tc>
          <w:tcPr>
            <w:tcW w:w="570" w:type="dxa"/>
            <w:hideMark/>
          </w:tcPr>
          <w:p w:rsidR="0087521C" w:rsidRPr="00FE7429" w:rsidRDefault="0087521C" w:rsidP="0087521C">
            <w:pPr>
              <w:jc w:val="center"/>
              <w:rPr>
                <w:rFonts w:ascii="Times New Roman" w:hAnsi="Times New Roman"/>
                <w:sz w:val="24"/>
                <w:szCs w:val="24"/>
              </w:rPr>
            </w:pPr>
            <w:r w:rsidRPr="00FE7429">
              <w:rPr>
                <w:rFonts w:ascii="Times New Roman" w:hAnsi="Times New Roman"/>
                <w:sz w:val="24"/>
                <w:szCs w:val="24"/>
              </w:rPr>
              <w:t>3.</w:t>
            </w:r>
          </w:p>
        </w:tc>
        <w:tc>
          <w:tcPr>
            <w:tcW w:w="2666" w:type="dxa"/>
            <w:gridSpan w:val="2"/>
            <w:hideMark/>
          </w:tcPr>
          <w:p w:rsidR="0087521C" w:rsidRPr="00FE7429" w:rsidRDefault="0087521C" w:rsidP="0087521C">
            <w:pPr>
              <w:rPr>
                <w:rFonts w:ascii="Times New Roman" w:hAnsi="Times New Roman"/>
                <w:sz w:val="24"/>
                <w:szCs w:val="24"/>
              </w:rPr>
            </w:pPr>
            <w:r w:rsidRPr="00FE7429">
              <w:rPr>
                <w:rFonts w:ascii="Times New Roman" w:hAnsi="Times New Roman"/>
                <w:sz w:val="24"/>
                <w:szCs w:val="24"/>
              </w:rPr>
              <w:t>Cita informācija</w:t>
            </w:r>
          </w:p>
        </w:tc>
        <w:tc>
          <w:tcPr>
            <w:tcW w:w="6032" w:type="dxa"/>
            <w:gridSpan w:val="7"/>
          </w:tcPr>
          <w:p w:rsidR="0087521C" w:rsidRPr="00DA7279" w:rsidRDefault="00A3258A" w:rsidP="00974EF7">
            <w:pPr>
              <w:spacing w:after="0" w:line="240" w:lineRule="auto"/>
              <w:jc w:val="both"/>
              <w:rPr>
                <w:rFonts w:ascii="Times New Roman" w:hAnsi="Times New Roman"/>
                <w:sz w:val="24"/>
                <w:szCs w:val="24"/>
              </w:rPr>
            </w:pPr>
            <w:r>
              <w:rPr>
                <w:rFonts w:ascii="Times New Roman" w:hAnsi="Times New Roman"/>
                <w:sz w:val="24"/>
                <w:szCs w:val="24"/>
              </w:rPr>
              <w:t>Nav.</w:t>
            </w:r>
          </w:p>
        </w:tc>
      </w:tr>
    </w:tbl>
    <w:p w:rsidR="0087521C" w:rsidRDefault="0087521C" w:rsidP="00CD03B2">
      <w:pPr>
        <w:pStyle w:val="Title"/>
        <w:tabs>
          <w:tab w:val="left" w:pos="1605"/>
        </w:tabs>
        <w:jc w:val="both"/>
        <w:rPr>
          <w:sz w:val="24"/>
          <w:szCs w:val="24"/>
        </w:rPr>
      </w:pPr>
    </w:p>
    <w:p w:rsidR="00DA7279" w:rsidRPr="00FE7429" w:rsidRDefault="00DA7279" w:rsidP="00CD03B2">
      <w:pPr>
        <w:pStyle w:val="Title"/>
        <w:tabs>
          <w:tab w:val="left" w:pos="1605"/>
        </w:tabs>
        <w:jc w:val="both"/>
        <w:rPr>
          <w:sz w:val="24"/>
          <w:szCs w:val="24"/>
        </w:rPr>
      </w:pPr>
    </w:p>
    <w:tbl>
      <w:tblPr>
        <w:tblW w:w="51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1798"/>
        <w:gridCol w:w="1321"/>
        <w:gridCol w:w="1278"/>
        <w:gridCol w:w="1983"/>
        <w:gridCol w:w="2412"/>
      </w:tblGrid>
      <w:tr w:rsidR="0087521C" w:rsidRPr="00D21CE4" w:rsidTr="0087521C">
        <w:trPr>
          <w:cantSplit/>
          <w:trHeight w:val="32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7521C" w:rsidRPr="0087521C" w:rsidRDefault="0087521C" w:rsidP="00923AF3">
            <w:pPr>
              <w:spacing w:after="0" w:line="240" w:lineRule="auto"/>
              <w:jc w:val="center"/>
              <w:rPr>
                <w:rFonts w:ascii="Times New Roman" w:hAnsi="Times New Roman"/>
                <w:b/>
                <w:bCs/>
                <w:sz w:val="24"/>
                <w:szCs w:val="24"/>
              </w:rPr>
            </w:pPr>
            <w:r w:rsidRPr="0087521C">
              <w:rPr>
                <w:rFonts w:ascii="Times New Roman" w:hAnsi="Times New Roman"/>
                <w:b/>
                <w:bCs/>
                <w:sz w:val="24"/>
                <w:szCs w:val="24"/>
              </w:rPr>
              <w:t>V. Tiesību akta projekta atbilstība Latvijas Republikas starptautiskajām saistībām</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c>
          <w:tcPr>
            <w:tcW w:w="301" w:type="pct"/>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ind w:left="57"/>
              <w:rPr>
                <w:rFonts w:ascii="Times New Roman" w:hAnsi="Times New Roman"/>
                <w:sz w:val="24"/>
                <w:szCs w:val="24"/>
              </w:rPr>
            </w:pPr>
            <w:r w:rsidRPr="00D21CE4">
              <w:rPr>
                <w:rFonts w:ascii="Times New Roman" w:hAnsi="Times New Roman"/>
                <w:sz w:val="24"/>
                <w:szCs w:val="24"/>
              </w:rPr>
              <w:t>1.</w:t>
            </w:r>
          </w:p>
        </w:tc>
        <w:tc>
          <w:tcPr>
            <w:tcW w:w="1667" w:type="pct"/>
            <w:gridSpan w:val="2"/>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rPr>
                <w:rFonts w:ascii="Times New Roman" w:hAnsi="Times New Roman"/>
                <w:sz w:val="24"/>
                <w:szCs w:val="24"/>
              </w:rPr>
            </w:pPr>
            <w:r w:rsidRPr="00D21CE4">
              <w:rPr>
                <w:rFonts w:ascii="Times New Roman" w:hAnsi="Times New Roman"/>
                <w:sz w:val="24"/>
                <w:szCs w:val="24"/>
              </w:rPr>
              <w:t>Saistības pret Eiropas Savienību</w:t>
            </w:r>
          </w:p>
        </w:tc>
        <w:tc>
          <w:tcPr>
            <w:tcW w:w="3032" w:type="pct"/>
            <w:gridSpan w:val="3"/>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jc w:val="both"/>
              <w:rPr>
                <w:rFonts w:ascii="Times New Roman" w:eastAsia="Times New Roman" w:hAnsi="Times New Roman"/>
                <w:sz w:val="24"/>
                <w:szCs w:val="24"/>
                <w:lang w:eastAsia="lv-LV"/>
              </w:rPr>
            </w:pPr>
            <w:r w:rsidRPr="00D21CE4">
              <w:rPr>
                <w:rFonts w:ascii="Times New Roman" w:hAnsi="Times New Roman"/>
                <w:iCs/>
                <w:sz w:val="24"/>
                <w:szCs w:val="24"/>
              </w:rPr>
              <w:t>Projekts atbilst saistībām pret Eiropas Savienību.</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c>
          <w:tcPr>
            <w:tcW w:w="301" w:type="pct"/>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ind w:left="57"/>
              <w:rPr>
                <w:rFonts w:ascii="Times New Roman" w:hAnsi="Times New Roman"/>
                <w:sz w:val="24"/>
                <w:szCs w:val="24"/>
              </w:rPr>
            </w:pPr>
            <w:r w:rsidRPr="00D21CE4">
              <w:rPr>
                <w:rFonts w:ascii="Times New Roman" w:hAnsi="Times New Roman"/>
                <w:sz w:val="24"/>
                <w:szCs w:val="24"/>
              </w:rPr>
              <w:t>2.</w:t>
            </w:r>
          </w:p>
        </w:tc>
        <w:tc>
          <w:tcPr>
            <w:tcW w:w="1667" w:type="pct"/>
            <w:gridSpan w:val="2"/>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rPr>
                <w:rFonts w:ascii="Times New Roman" w:hAnsi="Times New Roman"/>
                <w:sz w:val="24"/>
                <w:szCs w:val="24"/>
              </w:rPr>
            </w:pPr>
            <w:r w:rsidRPr="00D21CE4">
              <w:rPr>
                <w:rFonts w:ascii="Times New Roman" w:hAnsi="Times New Roman"/>
                <w:sz w:val="24"/>
                <w:szCs w:val="24"/>
              </w:rPr>
              <w:t>Citas starptautiskās saistības</w:t>
            </w:r>
          </w:p>
        </w:tc>
        <w:tc>
          <w:tcPr>
            <w:tcW w:w="3032" w:type="pct"/>
            <w:gridSpan w:val="3"/>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rPr>
                <w:rFonts w:ascii="Times New Roman" w:hAnsi="Times New Roman"/>
                <w:i/>
                <w:sz w:val="24"/>
                <w:szCs w:val="24"/>
              </w:rPr>
            </w:pPr>
            <w:r w:rsidRPr="00D21CE4">
              <w:rPr>
                <w:rFonts w:ascii="Times New Roman" w:hAnsi="Times New Roman"/>
                <w:sz w:val="24"/>
                <w:szCs w:val="24"/>
              </w:rPr>
              <w:t>Projekts šo jomu neskar</w:t>
            </w:r>
            <w:r w:rsidR="00E122E6">
              <w:rPr>
                <w:rFonts w:ascii="Times New Roman" w:hAnsi="Times New Roman"/>
                <w:sz w:val="24"/>
                <w:szCs w:val="24"/>
              </w:rPr>
              <w:t>.</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c>
          <w:tcPr>
            <w:tcW w:w="301" w:type="pct"/>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ind w:left="57"/>
              <w:rPr>
                <w:rFonts w:ascii="Times New Roman" w:hAnsi="Times New Roman"/>
                <w:sz w:val="24"/>
                <w:szCs w:val="24"/>
              </w:rPr>
            </w:pPr>
            <w:r w:rsidRPr="00D21CE4">
              <w:rPr>
                <w:rFonts w:ascii="Times New Roman" w:hAnsi="Times New Roman"/>
                <w:sz w:val="24"/>
                <w:szCs w:val="24"/>
              </w:rPr>
              <w:lastRenderedPageBreak/>
              <w:t>3.</w:t>
            </w:r>
          </w:p>
        </w:tc>
        <w:tc>
          <w:tcPr>
            <w:tcW w:w="1667" w:type="pct"/>
            <w:gridSpan w:val="2"/>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rPr>
                <w:rFonts w:ascii="Times New Roman" w:hAnsi="Times New Roman"/>
                <w:sz w:val="24"/>
                <w:szCs w:val="24"/>
              </w:rPr>
            </w:pPr>
            <w:r w:rsidRPr="00D21CE4">
              <w:rPr>
                <w:rFonts w:ascii="Times New Roman" w:hAnsi="Times New Roman"/>
                <w:sz w:val="24"/>
                <w:szCs w:val="24"/>
              </w:rPr>
              <w:t>Cita informācija</w:t>
            </w:r>
          </w:p>
        </w:tc>
        <w:tc>
          <w:tcPr>
            <w:tcW w:w="3032" w:type="pct"/>
            <w:gridSpan w:val="3"/>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jc w:val="both"/>
              <w:rPr>
                <w:rFonts w:ascii="Times New Roman" w:hAnsi="Times New Roman"/>
                <w:sz w:val="24"/>
                <w:szCs w:val="24"/>
              </w:rPr>
            </w:pPr>
            <w:r w:rsidRPr="00D21CE4">
              <w:rPr>
                <w:rFonts w:ascii="Times New Roman" w:hAnsi="Times New Roman"/>
                <w:sz w:val="24"/>
                <w:szCs w:val="24"/>
              </w:rPr>
              <w:t>Nav</w:t>
            </w:r>
            <w:r w:rsidR="00A3258A">
              <w:rPr>
                <w:rFonts w:ascii="Times New Roman" w:hAnsi="Times New Roman"/>
                <w:sz w:val="24"/>
                <w:szCs w:val="24"/>
              </w:rPr>
              <w:t>.</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709"/>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87521C" w:rsidRPr="00BB1ECD" w:rsidRDefault="0087521C" w:rsidP="00923AF3">
            <w:pPr>
              <w:spacing w:after="0" w:line="240" w:lineRule="auto"/>
              <w:ind w:left="57"/>
              <w:jc w:val="center"/>
              <w:rPr>
                <w:rFonts w:ascii="Times New Roman" w:eastAsia="Times New Roman" w:hAnsi="Times New Roman"/>
                <w:b/>
                <w:sz w:val="24"/>
                <w:szCs w:val="24"/>
              </w:rPr>
            </w:pPr>
            <w:r w:rsidRPr="00BB1ECD">
              <w:rPr>
                <w:rFonts w:ascii="Times New Roman" w:eastAsia="Times New Roman" w:hAnsi="Times New Roman"/>
                <w:b/>
                <w:sz w:val="24"/>
                <w:szCs w:val="24"/>
              </w:rPr>
              <w:t>1.tabula</w:t>
            </w:r>
          </w:p>
          <w:p w:rsidR="0087521C" w:rsidRPr="00BB1ECD" w:rsidRDefault="0087521C" w:rsidP="00923AF3">
            <w:pPr>
              <w:spacing w:after="0" w:line="240" w:lineRule="auto"/>
              <w:ind w:left="57"/>
              <w:jc w:val="center"/>
              <w:rPr>
                <w:rFonts w:ascii="Times New Roman" w:eastAsia="Times New Roman" w:hAnsi="Times New Roman"/>
                <w:sz w:val="24"/>
                <w:szCs w:val="24"/>
              </w:rPr>
            </w:pPr>
            <w:r w:rsidRPr="00BB1ECD">
              <w:rPr>
                <w:rFonts w:ascii="Times New Roman" w:eastAsia="Times New Roman" w:hAnsi="Times New Roman"/>
                <w:b/>
                <w:sz w:val="24"/>
                <w:szCs w:val="24"/>
              </w:rPr>
              <w:t>Tiesību akta projekta atbilstība ES tiesību aktiem</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1377"/>
        </w:trPr>
        <w:tc>
          <w:tcPr>
            <w:tcW w:w="1262" w:type="pct"/>
            <w:gridSpan w:val="2"/>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z w:val="24"/>
                <w:szCs w:val="24"/>
              </w:rPr>
            </w:pPr>
            <w:r w:rsidRPr="00BB1ECD">
              <w:rPr>
                <w:rFonts w:ascii="Times New Roman" w:eastAsia="Times New Roman" w:hAnsi="Times New Roman"/>
                <w:sz w:val="24"/>
                <w:szCs w:val="24"/>
              </w:rPr>
              <w:t>Attiecīgā ES tiesību akta datums, numurs un nosaukums</w:t>
            </w:r>
          </w:p>
        </w:tc>
        <w:tc>
          <w:tcPr>
            <w:tcW w:w="3738" w:type="pct"/>
            <w:gridSpan w:val="4"/>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jc w:val="both"/>
              <w:rPr>
                <w:rFonts w:ascii="Times New Roman" w:eastAsia="Times New Roman" w:hAnsi="Times New Roman"/>
                <w:sz w:val="24"/>
                <w:szCs w:val="24"/>
                <w:lang w:eastAsia="lv-LV"/>
              </w:rPr>
            </w:pPr>
            <w:r w:rsidRPr="00BB1ECD">
              <w:rPr>
                <w:rFonts w:ascii="Times New Roman" w:hAnsi="Times New Roman"/>
                <w:sz w:val="24"/>
                <w:szCs w:val="24"/>
              </w:rPr>
              <w:t xml:space="preserve">Eiropas Parlamenta un Padomes 2019. gada 20. jūnija Regula (ES) Nr. </w:t>
            </w:r>
            <w:r w:rsidRPr="00BB1ECD">
              <w:rPr>
                <w:rStyle w:val="Hyperlink"/>
                <w:rFonts w:ascii="Times New Roman" w:hAnsi="Times New Roman"/>
                <w:color w:val="auto"/>
                <w:sz w:val="24"/>
                <w:szCs w:val="24"/>
                <w:u w:val="none"/>
              </w:rPr>
              <w:t>2019/1148</w:t>
            </w:r>
            <w:r w:rsidRPr="00BB1ECD">
              <w:rPr>
                <w:rFonts w:ascii="Times New Roman" w:hAnsi="Times New Roman"/>
                <w:sz w:val="24"/>
                <w:szCs w:val="24"/>
              </w:rPr>
              <w:t xml:space="preserve"> par sprāgstvielu prekursoru tirdzniecību un lietošanu</w:t>
            </w:r>
            <w:r w:rsidRPr="00BB1ECD">
              <w:rPr>
                <w:rFonts w:ascii="Times New Roman" w:hAnsi="Times New Roman"/>
                <w:sz w:val="24"/>
                <w:szCs w:val="24"/>
                <w:shd w:val="clear" w:color="auto" w:fill="FFFFFF"/>
              </w:rPr>
              <w:t>, ar ko groza Regulu (EK) Nr. 1907/2006 un atceļ Regulu (ES) Nr. 98/2013</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378"/>
        </w:trPr>
        <w:tc>
          <w:tcPr>
            <w:tcW w:w="1262" w:type="pct"/>
            <w:gridSpan w:val="2"/>
            <w:tcBorders>
              <w:top w:val="outset" w:sz="6" w:space="0" w:color="auto"/>
              <w:left w:val="outset" w:sz="6" w:space="0" w:color="auto"/>
              <w:bottom w:val="outset" w:sz="6" w:space="0" w:color="auto"/>
              <w:right w:val="outset" w:sz="6" w:space="0" w:color="auto"/>
            </w:tcBorders>
            <w:vAlign w:val="center"/>
            <w:hideMark/>
          </w:tcPr>
          <w:p w:rsidR="0087521C" w:rsidRPr="00BB1ECD" w:rsidRDefault="0087521C" w:rsidP="00923AF3">
            <w:pPr>
              <w:spacing w:after="0" w:line="240" w:lineRule="auto"/>
              <w:ind w:left="57"/>
              <w:jc w:val="center"/>
              <w:rPr>
                <w:rFonts w:ascii="Times New Roman" w:eastAsia="Times New Roman" w:hAnsi="Times New Roman"/>
                <w:sz w:val="24"/>
                <w:szCs w:val="24"/>
              </w:rPr>
            </w:pPr>
            <w:r w:rsidRPr="00BB1ECD">
              <w:rPr>
                <w:rFonts w:ascii="Times New Roman" w:eastAsia="Times New Roman" w:hAnsi="Times New Roman"/>
                <w:sz w:val="24"/>
                <w:szCs w:val="24"/>
              </w:rPr>
              <w:t>A</w:t>
            </w:r>
          </w:p>
        </w:tc>
        <w:tc>
          <w:tcPr>
            <w:tcW w:w="1389" w:type="pct"/>
            <w:gridSpan w:val="2"/>
            <w:tcBorders>
              <w:top w:val="outset" w:sz="6" w:space="0" w:color="auto"/>
              <w:left w:val="outset" w:sz="6" w:space="0" w:color="auto"/>
              <w:bottom w:val="outset" w:sz="6" w:space="0" w:color="auto"/>
              <w:right w:val="outset" w:sz="6" w:space="0" w:color="auto"/>
            </w:tcBorders>
            <w:vAlign w:val="center"/>
            <w:hideMark/>
          </w:tcPr>
          <w:p w:rsidR="0087521C" w:rsidRPr="00BB1ECD" w:rsidRDefault="0087521C" w:rsidP="00923AF3">
            <w:pPr>
              <w:spacing w:after="0" w:line="240" w:lineRule="auto"/>
              <w:ind w:left="57"/>
              <w:jc w:val="center"/>
              <w:rPr>
                <w:rFonts w:ascii="Times New Roman" w:eastAsia="Times New Roman" w:hAnsi="Times New Roman"/>
                <w:sz w:val="24"/>
                <w:szCs w:val="24"/>
              </w:rPr>
            </w:pPr>
            <w:r w:rsidRPr="00BB1ECD">
              <w:rPr>
                <w:rFonts w:ascii="Times New Roman" w:eastAsia="Times New Roman" w:hAnsi="Times New Roman"/>
                <w:sz w:val="24"/>
                <w:szCs w:val="24"/>
              </w:rPr>
              <w:t>B</w:t>
            </w:r>
          </w:p>
        </w:tc>
        <w:tc>
          <w:tcPr>
            <w:tcW w:w="1060" w:type="pct"/>
            <w:tcBorders>
              <w:top w:val="outset" w:sz="6" w:space="0" w:color="auto"/>
              <w:left w:val="outset" w:sz="6" w:space="0" w:color="auto"/>
              <w:bottom w:val="outset" w:sz="6" w:space="0" w:color="auto"/>
              <w:right w:val="outset" w:sz="6" w:space="0" w:color="auto"/>
            </w:tcBorders>
            <w:vAlign w:val="center"/>
            <w:hideMark/>
          </w:tcPr>
          <w:p w:rsidR="0087521C" w:rsidRPr="00BB1ECD" w:rsidRDefault="0087521C" w:rsidP="00923AF3">
            <w:pPr>
              <w:spacing w:after="0" w:line="240" w:lineRule="auto"/>
              <w:ind w:left="57"/>
              <w:jc w:val="center"/>
              <w:rPr>
                <w:rFonts w:ascii="Times New Roman" w:eastAsia="Times New Roman" w:hAnsi="Times New Roman"/>
                <w:sz w:val="24"/>
                <w:szCs w:val="24"/>
              </w:rPr>
            </w:pPr>
            <w:r w:rsidRPr="00BB1ECD">
              <w:rPr>
                <w:rFonts w:ascii="Times New Roman" w:eastAsia="Times New Roman" w:hAnsi="Times New Roman"/>
                <w:sz w:val="24"/>
                <w:szCs w:val="24"/>
              </w:rPr>
              <w:t>C</w:t>
            </w:r>
          </w:p>
        </w:tc>
        <w:tc>
          <w:tcPr>
            <w:tcW w:w="1289" w:type="pct"/>
            <w:tcBorders>
              <w:top w:val="outset" w:sz="6" w:space="0" w:color="auto"/>
              <w:left w:val="outset" w:sz="6" w:space="0" w:color="auto"/>
              <w:bottom w:val="outset" w:sz="6" w:space="0" w:color="auto"/>
              <w:right w:val="outset" w:sz="6" w:space="0" w:color="auto"/>
            </w:tcBorders>
            <w:vAlign w:val="center"/>
            <w:hideMark/>
          </w:tcPr>
          <w:p w:rsidR="0087521C" w:rsidRPr="00BB1ECD" w:rsidRDefault="0087521C" w:rsidP="00923AF3">
            <w:pPr>
              <w:spacing w:after="0" w:line="240" w:lineRule="auto"/>
              <w:ind w:left="57"/>
              <w:jc w:val="center"/>
              <w:rPr>
                <w:rFonts w:ascii="Times New Roman" w:eastAsia="Times New Roman" w:hAnsi="Times New Roman"/>
                <w:sz w:val="24"/>
                <w:szCs w:val="24"/>
              </w:rPr>
            </w:pPr>
            <w:r w:rsidRPr="00BB1ECD">
              <w:rPr>
                <w:rFonts w:ascii="Times New Roman" w:eastAsia="Times New Roman" w:hAnsi="Times New Roman"/>
                <w:sz w:val="24"/>
                <w:szCs w:val="24"/>
              </w:rPr>
              <w:t>D</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1829"/>
        </w:trPr>
        <w:tc>
          <w:tcPr>
            <w:tcW w:w="1262" w:type="pct"/>
            <w:gridSpan w:val="2"/>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Attiecīgā ES tiesību akta panta numurs (uzskaitot katru tiesību akta vienību – pantu, daļu, punktu, apakšpunktu)</w:t>
            </w:r>
          </w:p>
        </w:tc>
        <w:tc>
          <w:tcPr>
            <w:tcW w:w="1389" w:type="pct"/>
            <w:gridSpan w:val="2"/>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Projekta vienība, kas pārņem vai ievieš katru šīs tabulas A ailē minēto ES tiesību akta vienību, vai tiesību akts, kur attiecīgā ES tiesību akta vienība pārņemta vai ieviesta</w:t>
            </w:r>
          </w:p>
        </w:tc>
        <w:tc>
          <w:tcPr>
            <w:tcW w:w="1060" w:type="pct"/>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Informācija par to, vai šīs tabulas A ailē minētās ES tiesību akta vienības tiek pārņemtas vai ieviestas pilnībā vai daļēji.</w:t>
            </w:r>
          </w:p>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Ja attiecīgā ES tiesību akta vienība tiek pārņemta vai ieviesta daļēji, sniedz attiecīgu skaidrojumu, kā arī precīzi norāda, kad un kādā veidā ES tiesību akta vienība tiks pārņemta vai ieviesta pilnībā.</w:t>
            </w:r>
          </w:p>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Norāda institūciju, kas ir atbildīga par šo saistību izpildi pilnībā</w:t>
            </w:r>
          </w:p>
        </w:tc>
        <w:tc>
          <w:tcPr>
            <w:tcW w:w="1289" w:type="pct"/>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z w:val="24"/>
                <w:szCs w:val="24"/>
              </w:rPr>
            </w:pPr>
            <w:r w:rsidRPr="00BB1ECD">
              <w:rPr>
                <w:rFonts w:ascii="Times New Roman" w:eastAsia="Times New Roman" w:hAnsi="Times New Roman"/>
                <w:spacing w:val="-3"/>
                <w:sz w:val="24"/>
                <w:szCs w:val="24"/>
              </w:rPr>
              <w:t xml:space="preserve">Informācija par to, vai šīs </w:t>
            </w:r>
            <w:r w:rsidRPr="00BB1ECD">
              <w:rPr>
                <w:rFonts w:ascii="Times New Roman" w:eastAsia="Times New Roman" w:hAnsi="Times New Roman"/>
                <w:sz w:val="24"/>
                <w:szCs w:val="24"/>
              </w:rPr>
              <w:t>tabulas B ailē minētās projekta vienības paredz stingrākas prasības nekā šīs tabulas A ailē minētās ES tiesību akta vienības.</w:t>
            </w:r>
          </w:p>
          <w:p w:rsidR="0087521C" w:rsidRPr="00BB1ECD" w:rsidRDefault="0087521C" w:rsidP="00923AF3">
            <w:pPr>
              <w:spacing w:after="0" w:line="240" w:lineRule="auto"/>
              <w:ind w:right="108"/>
              <w:rPr>
                <w:rFonts w:ascii="Times New Roman" w:eastAsia="Times New Roman" w:hAnsi="Times New Roman"/>
                <w:sz w:val="24"/>
                <w:szCs w:val="24"/>
              </w:rPr>
            </w:pPr>
            <w:r w:rsidRPr="00BB1ECD">
              <w:rPr>
                <w:rFonts w:ascii="Times New Roman" w:eastAsia="Times New Roman" w:hAnsi="Times New Roman"/>
                <w:sz w:val="24"/>
                <w:szCs w:val="24"/>
              </w:rPr>
              <w:t>Ja projekts satur stingrākas prasības nekā attiecīgais ES tiesību akts, norāda pamatojumu un samērīgumu.</w:t>
            </w:r>
          </w:p>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z w:val="24"/>
                <w:szCs w:val="24"/>
              </w:rPr>
              <w:t>Norāda iespējamās alternatīvas (t.sk. alternatīvas, kas neparedz tiesiskā regulējuma izstrādi) – kādos gadījumos būtu iespējams izvairīties no stingrāku prasību</w:t>
            </w:r>
            <w:r w:rsidRPr="00BB1ECD">
              <w:rPr>
                <w:rFonts w:ascii="Times New Roman" w:eastAsia="Times New Roman" w:hAnsi="Times New Roman"/>
                <w:spacing w:val="-3"/>
                <w:sz w:val="24"/>
                <w:szCs w:val="24"/>
              </w:rPr>
              <w:t xml:space="preserve"> noteikšanas, nekā paredzēts attiecīgajos ES tiesību aktos</w:t>
            </w:r>
          </w:p>
        </w:tc>
      </w:tr>
      <w:tr w:rsidR="0087521C" w:rsidRPr="00D21CE4" w:rsidTr="00BB1EC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522"/>
        </w:trPr>
        <w:tc>
          <w:tcPr>
            <w:tcW w:w="1262" w:type="pct"/>
            <w:gridSpan w:val="2"/>
            <w:tcBorders>
              <w:top w:val="outset" w:sz="6" w:space="0" w:color="auto"/>
              <w:left w:val="outset" w:sz="6" w:space="0" w:color="auto"/>
              <w:bottom w:val="outset" w:sz="6" w:space="0" w:color="auto"/>
              <w:right w:val="outset" w:sz="6" w:space="0" w:color="auto"/>
            </w:tcBorders>
          </w:tcPr>
          <w:p w:rsidR="0087521C" w:rsidRPr="00BB1ECD" w:rsidRDefault="0087521C" w:rsidP="00923AF3">
            <w:pPr>
              <w:spacing w:after="0" w:line="240" w:lineRule="auto"/>
              <w:ind w:right="108"/>
              <w:rPr>
                <w:rFonts w:ascii="Times New Roman" w:eastAsia="Times New Roman" w:hAnsi="Times New Roman"/>
                <w:bCs/>
                <w:sz w:val="24"/>
                <w:szCs w:val="24"/>
                <w:lang w:eastAsia="lv-LV"/>
              </w:rPr>
            </w:pPr>
            <w:r w:rsidRPr="00BB1ECD">
              <w:rPr>
                <w:rFonts w:ascii="Times New Roman" w:eastAsia="Times New Roman" w:hAnsi="Times New Roman"/>
                <w:bCs/>
                <w:sz w:val="24"/>
                <w:szCs w:val="24"/>
                <w:lang w:eastAsia="lv-LV"/>
              </w:rPr>
              <w:t xml:space="preserve">Regulas </w:t>
            </w:r>
            <w:r w:rsidRPr="00BB1ECD">
              <w:rPr>
                <w:rStyle w:val="Hyperlink"/>
                <w:rFonts w:ascii="Times New Roman" w:eastAsia="Times New Roman" w:hAnsi="Times New Roman"/>
                <w:bCs/>
                <w:color w:val="auto"/>
                <w:sz w:val="24"/>
                <w:szCs w:val="24"/>
                <w:u w:val="none"/>
                <w:lang w:eastAsia="lv-LV"/>
              </w:rPr>
              <w:t>2019/1148</w:t>
            </w:r>
          </w:p>
          <w:p w:rsidR="0087521C" w:rsidRDefault="00BB1ECD" w:rsidP="00BB1ECD">
            <w:pPr>
              <w:spacing w:after="0" w:line="240" w:lineRule="auto"/>
              <w:ind w:right="108"/>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7</w:t>
            </w:r>
            <w:r w:rsidR="0087521C" w:rsidRPr="00BB1ECD">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panta </w:t>
            </w:r>
            <w:r w:rsidR="00D26CF7">
              <w:rPr>
                <w:rFonts w:ascii="Times New Roman" w:eastAsia="Times New Roman" w:hAnsi="Times New Roman"/>
                <w:bCs/>
                <w:sz w:val="24"/>
                <w:szCs w:val="24"/>
                <w:lang w:eastAsia="lv-LV"/>
              </w:rPr>
              <w:t xml:space="preserve">1., </w:t>
            </w:r>
            <w:r>
              <w:rPr>
                <w:rFonts w:ascii="Times New Roman" w:eastAsia="Times New Roman" w:hAnsi="Times New Roman"/>
                <w:bCs/>
                <w:sz w:val="24"/>
                <w:szCs w:val="24"/>
                <w:lang w:eastAsia="lv-LV"/>
              </w:rPr>
              <w:t>2</w:t>
            </w:r>
            <w:r w:rsidR="0087521C" w:rsidRPr="00BB1ECD">
              <w:rPr>
                <w:rFonts w:ascii="Times New Roman" w:eastAsia="Times New Roman" w:hAnsi="Times New Roman"/>
                <w:bCs/>
                <w:sz w:val="24"/>
                <w:szCs w:val="24"/>
                <w:lang w:eastAsia="lv-LV"/>
              </w:rPr>
              <w:t>.</w:t>
            </w:r>
            <w:r w:rsidR="00A3258A">
              <w:rPr>
                <w:rFonts w:ascii="Times New Roman" w:eastAsia="Times New Roman" w:hAnsi="Times New Roman"/>
                <w:bCs/>
                <w:sz w:val="24"/>
                <w:szCs w:val="24"/>
                <w:lang w:eastAsia="lv-LV"/>
              </w:rPr>
              <w:t>, 3.</w:t>
            </w:r>
            <w:r w:rsidR="0087521C" w:rsidRPr="00BB1ECD">
              <w:rPr>
                <w:rFonts w:ascii="Times New Roman" w:eastAsia="Times New Roman" w:hAnsi="Times New Roman"/>
                <w:bCs/>
                <w:sz w:val="24"/>
                <w:szCs w:val="24"/>
                <w:lang w:eastAsia="lv-LV"/>
              </w:rPr>
              <w:t>punkts</w:t>
            </w:r>
            <w:r w:rsidR="00A3258A">
              <w:rPr>
                <w:rFonts w:ascii="Times New Roman" w:eastAsia="Times New Roman" w:hAnsi="Times New Roman"/>
                <w:bCs/>
                <w:sz w:val="24"/>
                <w:szCs w:val="24"/>
                <w:lang w:eastAsia="lv-LV"/>
              </w:rPr>
              <w:t>,</w:t>
            </w:r>
          </w:p>
          <w:p w:rsidR="00A3258A" w:rsidRPr="00BB1ECD" w:rsidRDefault="00A3258A" w:rsidP="00BB1ECD">
            <w:pPr>
              <w:spacing w:after="0" w:line="240" w:lineRule="auto"/>
              <w:ind w:right="108"/>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13.pants</w:t>
            </w:r>
          </w:p>
        </w:tc>
        <w:tc>
          <w:tcPr>
            <w:tcW w:w="1389" w:type="pct"/>
            <w:gridSpan w:val="2"/>
            <w:tcBorders>
              <w:top w:val="outset" w:sz="6" w:space="0" w:color="auto"/>
              <w:left w:val="outset" w:sz="6" w:space="0" w:color="auto"/>
              <w:bottom w:val="outset" w:sz="6" w:space="0" w:color="auto"/>
              <w:right w:val="outset" w:sz="6" w:space="0" w:color="auto"/>
            </w:tcBorders>
          </w:tcPr>
          <w:p w:rsidR="0087521C" w:rsidRPr="00BB1ECD" w:rsidRDefault="00A3258A" w:rsidP="00923AF3">
            <w:pPr>
              <w:spacing w:after="0" w:line="240" w:lineRule="auto"/>
              <w:ind w:right="108"/>
              <w:rPr>
                <w:rFonts w:ascii="Times New Roman" w:eastAsia="Times New Roman" w:hAnsi="Times New Roman"/>
                <w:spacing w:val="-3"/>
                <w:sz w:val="24"/>
                <w:szCs w:val="24"/>
              </w:rPr>
            </w:pPr>
            <w:r>
              <w:rPr>
                <w:rFonts w:ascii="Times New Roman" w:eastAsia="Times New Roman" w:hAnsi="Times New Roman"/>
                <w:spacing w:val="-3"/>
                <w:sz w:val="24"/>
                <w:szCs w:val="24"/>
              </w:rPr>
              <w:t>1</w:t>
            </w:r>
            <w:r w:rsidR="0097604D">
              <w:rPr>
                <w:rFonts w:ascii="Times New Roman" w:eastAsia="Times New Roman" w:hAnsi="Times New Roman"/>
                <w:spacing w:val="-3"/>
                <w:sz w:val="24"/>
                <w:szCs w:val="24"/>
              </w:rPr>
              <w:t>.pants</w:t>
            </w:r>
          </w:p>
        </w:tc>
        <w:tc>
          <w:tcPr>
            <w:tcW w:w="1060" w:type="pct"/>
            <w:tcBorders>
              <w:top w:val="outset" w:sz="6" w:space="0" w:color="auto"/>
              <w:left w:val="outset" w:sz="6" w:space="0" w:color="auto"/>
              <w:bottom w:val="outset" w:sz="6" w:space="0" w:color="auto"/>
              <w:right w:val="outset" w:sz="6" w:space="0" w:color="auto"/>
            </w:tcBorders>
          </w:tcPr>
          <w:p w:rsidR="0087521C" w:rsidRPr="00BB1ECD" w:rsidRDefault="0087521C" w:rsidP="00BB1ECD">
            <w:pPr>
              <w:spacing w:after="0" w:line="240" w:lineRule="auto"/>
              <w:ind w:right="108"/>
              <w:rPr>
                <w:rFonts w:ascii="Times New Roman" w:eastAsia="Times New Roman" w:hAnsi="Times New Roman"/>
                <w:spacing w:val="-2"/>
                <w:sz w:val="24"/>
                <w:szCs w:val="24"/>
              </w:rPr>
            </w:pPr>
            <w:r w:rsidRPr="00BB1ECD">
              <w:rPr>
                <w:rFonts w:ascii="Times New Roman" w:hAnsi="Times New Roman"/>
                <w:sz w:val="24"/>
                <w:szCs w:val="24"/>
              </w:rPr>
              <w:t>Regulas Nr.</w:t>
            </w:r>
            <w:r w:rsidRPr="00BB1ECD">
              <w:rPr>
                <w:rFonts w:ascii="Times New Roman" w:hAnsi="Times New Roman"/>
                <w:iCs/>
                <w:sz w:val="24"/>
                <w:szCs w:val="24"/>
              </w:rPr>
              <w:t xml:space="preserve"> 2019/1148 </w:t>
            </w:r>
            <w:r w:rsidR="00BB1ECD">
              <w:rPr>
                <w:rFonts w:ascii="Times New Roman" w:hAnsi="Times New Roman"/>
                <w:iCs/>
                <w:sz w:val="24"/>
                <w:szCs w:val="24"/>
              </w:rPr>
              <w:t>7</w:t>
            </w:r>
            <w:r w:rsidRPr="00BB1ECD">
              <w:rPr>
                <w:rFonts w:ascii="Times New Roman" w:hAnsi="Times New Roman"/>
                <w:sz w:val="24"/>
                <w:szCs w:val="24"/>
              </w:rPr>
              <w:t xml:space="preserve">.panta </w:t>
            </w:r>
            <w:r w:rsidR="00D26CF7">
              <w:rPr>
                <w:rFonts w:ascii="Times New Roman" w:hAnsi="Times New Roman"/>
                <w:sz w:val="24"/>
                <w:szCs w:val="24"/>
              </w:rPr>
              <w:t xml:space="preserve">1., </w:t>
            </w:r>
            <w:r w:rsidR="00BB1ECD">
              <w:rPr>
                <w:rFonts w:ascii="Times New Roman" w:hAnsi="Times New Roman"/>
                <w:sz w:val="24"/>
                <w:szCs w:val="24"/>
              </w:rPr>
              <w:t>2</w:t>
            </w:r>
            <w:r w:rsidRPr="00BB1ECD">
              <w:rPr>
                <w:rFonts w:ascii="Times New Roman" w:hAnsi="Times New Roman"/>
                <w:sz w:val="24"/>
                <w:szCs w:val="24"/>
              </w:rPr>
              <w:t>.</w:t>
            </w:r>
            <w:r w:rsidR="00A3258A">
              <w:rPr>
                <w:rFonts w:ascii="Times New Roman" w:hAnsi="Times New Roman"/>
                <w:sz w:val="24"/>
                <w:szCs w:val="24"/>
              </w:rPr>
              <w:t xml:space="preserve"> un 3.</w:t>
            </w:r>
            <w:r w:rsidRPr="00BB1ECD">
              <w:rPr>
                <w:rFonts w:ascii="Times New Roman" w:hAnsi="Times New Roman"/>
                <w:sz w:val="24"/>
                <w:szCs w:val="24"/>
              </w:rPr>
              <w:t>punkta</w:t>
            </w:r>
            <w:r w:rsidR="0059771D">
              <w:rPr>
                <w:rFonts w:ascii="Times New Roman" w:hAnsi="Times New Roman"/>
                <w:sz w:val="24"/>
                <w:szCs w:val="24"/>
              </w:rPr>
              <w:t>, 13.panta</w:t>
            </w:r>
            <w:r w:rsidRPr="00BB1ECD">
              <w:rPr>
                <w:rFonts w:ascii="Times New Roman" w:hAnsi="Times New Roman"/>
                <w:sz w:val="24"/>
                <w:szCs w:val="24"/>
              </w:rPr>
              <w:t xml:space="preserve"> īstenošana tiks nodrošināta pilnībā</w:t>
            </w:r>
          </w:p>
        </w:tc>
        <w:tc>
          <w:tcPr>
            <w:tcW w:w="1289" w:type="pct"/>
            <w:tcBorders>
              <w:top w:val="outset" w:sz="6" w:space="0" w:color="auto"/>
              <w:left w:val="outset" w:sz="6" w:space="0" w:color="auto"/>
              <w:bottom w:val="outset" w:sz="6" w:space="0" w:color="auto"/>
              <w:right w:val="outset" w:sz="6" w:space="0" w:color="auto"/>
            </w:tcBorders>
          </w:tcPr>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Projekts nesatur stingrākas prasības nekā attiecīgais ES tiesību akts.</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281"/>
        </w:trPr>
        <w:tc>
          <w:tcPr>
            <w:tcW w:w="1262" w:type="pct"/>
            <w:gridSpan w:val="2"/>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 xml:space="preserve">Kā ir izmantota ES tiesību aktā paredzētā rīcības brīvība </w:t>
            </w:r>
            <w:r w:rsidRPr="00BB1ECD">
              <w:rPr>
                <w:rFonts w:ascii="Times New Roman" w:eastAsia="Times New Roman" w:hAnsi="Times New Roman"/>
                <w:spacing w:val="-3"/>
                <w:sz w:val="24"/>
                <w:szCs w:val="24"/>
              </w:rPr>
              <w:lastRenderedPageBreak/>
              <w:t>dalībvalstij pārņemt vai ieviest noteiktas ES tiesību akta normas?</w:t>
            </w:r>
          </w:p>
          <w:p w:rsidR="0087521C" w:rsidRPr="00BB1ECD" w:rsidRDefault="0087521C" w:rsidP="00923AF3">
            <w:pPr>
              <w:spacing w:after="0" w:line="240" w:lineRule="auto"/>
              <w:ind w:right="108"/>
              <w:rPr>
                <w:rFonts w:ascii="Times New Roman" w:eastAsia="Times New Roman" w:hAnsi="Times New Roman"/>
                <w:spacing w:val="-3"/>
                <w:sz w:val="24"/>
                <w:szCs w:val="24"/>
              </w:rPr>
            </w:pPr>
            <w:r w:rsidRPr="00BB1ECD">
              <w:rPr>
                <w:rFonts w:ascii="Times New Roman" w:eastAsia="Times New Roman" w:hAnsi="Times New Roman"/>
                <w:spacing w:val="-3"/>
                <w:sz w:val="24"/>
                <w:szCs w:val="24"/>
              </w:rPr>
              <w:t>Kādēļ?</w:t>
            </w:r>
          </w:p>
        </w:tc>
        <w:tc>
          <w:tcPr>
            <w:tcW w:w="3738" w:type="pct"/>
            <w:gridSpan w:val="4"/>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left="57"/>
              <w:rPr>
                <w:rFonts w:ascii="Times New Roman" w:eastAsia="Times New Roman" w:hAnsi="Times New Roman"/>
                <w:sz w:val="24"/>
                <w:szCs w:val="24"/>
              </w:rPr>
            </w:pPr>
            <w:r w:rsidRPr="00BB1ECD">
              <w:rPr>
                <w:rFonts w:ascii="Times New Roman" w:eastAsia="Times New Roman" w:hAnsi="Times New Roman"/>
                <w:sz w:val="24"/>
                <w:szCs w:val="24"/>
              </w:rPr>
              <w:lastRenderedPageBreak/>
              <w:t>Projekts šo jomu neskar</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913"/>
        </w:trPr>
        <w:tc>
          <w:tcPr>
            <w:tcW w:w="1262" w:type="pct"/>
            <w:gridSpan w:val="2"/>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left="57"/>
              <w:rPr>
                <w:rFonts w:ascii="Times New Roman" w:eastAsia="Times New Roman" w:hAnsi="Times New Roman"/>
                <w:spacing w:val="-3"/>
                <w:sz w:val="24"/>
                <w:szCs w:val="24"/>
              </w:rPr>
            </w:pPr>
            <w:r w:rsidRPr="00BB1ECD">
              <w:rPr>
                <w:rFonts w:ascii="Times New Roman" w:eastAsia="Times New Roman" w:hAnsi="Times New Roman"/>
                <w:spacing w:val="-4"/>
                <w:sz w:val="24"/>
                <w:szCs w:val="24"/>
              </w:rPr>
              <w:t xml:space="preserve">Saistības sniegt paziņojumu ES institūcijām un ES dalībvalstīm atbilstoši normatīvajiem aktiem, kas regulē informācijas sniegšanu par tehnisko noteikumu, valsts atbalsta piešķiršanas un finanšu noteikumu (attiecībā uz </w:t>
            </w:r>
            <w:proofErr w:type="spellStart"/>
            <w:r w:rsidRPr="00BB1ECD">
              <w:rPr>
                <w:rFonts w:ascii="Times New Roman" w:eastAsia="Times New Roman" w:hAnsi="Times New Roman"/>
                <w:spacing w:val="-4"/>
                <w:sz w:val="24"/>
                <w:szCs w:val="24"/>
              </w:rPr>
              <w:t>monetāropolitiku</w:t>
            </w:r>
            <w:proofErr w:type="spellEnd"/>
            <w:r w:rsidRPr="00BB1ECD">
              <w:rPr>
                <w:rFonts w:ascii="Times New Roman" w:eastAsia="Times New Roman" w:hAnsi="Times New Roman"/>
                <w:spacing w:val="-4"/>
                <w:sz w:val="24"/>
                <w:szCs w:val="24"/>
              </w:rPr>
              <w:t>) projektiem</w:t>
            </w:r>
          </w:p>
        </w:tc>
        <w:tc>
          <w:tcPr>
            <w:tcW w:w="3738" w:type="pct"/>
            <w:gridSpan w:val="4"/>
            <w:tcBorders>
              <w:top w:val="outset" w:sz="6" w:space="0" w:color="auto"/>
              <w:left w:val="outset" w:sz="6" w:space="0" w:color="auto"/>
              <w:bottom w:val="outset" w:sz="6" w:space="0" w:color="auto"/>
              <w:right w:val="outset" w:sz="6" w:space="0" w:color="auto"/>
            </w:tcBorders>
            <w:hideMark/>
          </w:tcPr>
          <w:p w:rsidR="0087521C" w:rsidRPr="00BB1ECD" w:rsidRDefault="0087521C" w:rsidP="00923AF3">
            <w:pPr>
              <w:spacing w:after="0" w:line="240" w:lineRule="auto"/>
              <w:ind w:left="57"/>
              <w:rPr>
                <w:rFonts w:ascii="Times New Roman" w:eastAsia="Times New Roman" w:hAnsi="Times New Roman"/>
                <w:sz w:val="24"/>
                <w:szCs w:val="24"/>
              </w:rPr>
            </w:pPr>
            <w:r w:rsidRPr="00BB1ECD">
              <w:rPr>
                <w:rFonts w:ascii="Times New Roman" w:eastAsia="Times New Roman" w:hAnsi="Times New Roman"/>
                <w:sz w:val="24"/>
                <w:szCs w:val="24"/>
              </w:rPr>
              <w:t>Projekts šo jomu neskar</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432"/>
        </w:trPr>
        <w:tc>
          <w:tcPr>
            <w:tcW w:w="1262" w:type="pct"/>
            <w:gridSpan w:val="2"/>
            <w:tcBorders>
              <w:top w:val="outset" w:sz="6" w:space="0" w:color="auto"/>
              <w:left w:val="outset" w:sz="6" w:space="0" w:color="auto"/>
              <w:bottom w:val="outset" w:sz="6" w:space="0" w:color="auto"/>
              <w:right w:val="outset" w:sz="6" w:space="0" w:color="auto"/>
            </w:tcBorders>
            <w:hideMark/>
          </w:tcPr>
          <w:p w:rsidR="0087521C" w:rsidRPr="00D21CE4" w:rsidRDefault="0087521C" w:rsidP="00923AF3">
            <w:pPr>
              <w:spacing w:after="0" w:line="240" w:lineRule="auto"/>
              <w:ind w:left="57"/>
              <w:rPr>
                <w:rFonts w:ascii="Times New Roman" w:eastAsia="Times New Roman" w:hAnsi="Times New Roman"/>
                <w:sz w:val="24"/>
                <w:szCs w:val="24"/>
              </w:rPr>
            </w:pPr>
            <w:r w:rsidRPr="00D21CE4">
              <w:rPr>
                <w:rFonts w:ascii="Times New Roman" w:eastAsia="Times New Roman" w:hAnsi="Times New Roman"/>
                <w:sz w:val="24"/>
                <w:szCs w:val="24"/>
              </w:rPr>
              <w:t>Cita informācija</w:t>
            </w:r>
          </w:p>
        </w:tc>
        <w:tc>
          <w:tcPr>
            <w:tcW w:w="3738" w:type="pct"/>
            <w:gridSpan w:val="4"/>
            <w:tcBorders>
              <w:top w:val="outset" w:sz="6" w:space="0" w:color="auto"/>
              <w:left w:val="outset" w:sz="6" w:space="0" w:color="auto"/>
              <w:bottom w:val="outset" w:sz="6" w:space="0" w:color="auto"/>
              <w:right w:val="outset" w:sz="6" w:space="0" w:color="auto"/>
            </w:tcBorders>
            <w:hideMark/>
          </w:tcPr>
          <w:p w:rsidR="0087521C" w:rsidRPr="00D21CE4" w:rsidRDefault="00BB1ECD" w:rsidP="00923AF3">
            <w:pPr>
              <w:spacing w:after="0" w:line="240" w:lineRule="auto"/>
              <w:jc w:val="both"/>
              <w:rPr>
                <w:rFonts w:ascii="Times New Roman" w:eastAsia="Times New Roman" w:hAnsi="Times New Roman"/>
                <w:sz w:val="24"/>
                <w:szCs w:val="24"/>
              </w:rPr>
            </w:pPr>
            <w:r>
              <w:rPr>
                <w:rFonts w:ascii="Times New Roman" w:hAnsi="Times New Roman"/>
                <w:iCs/>
                <w:sz w:val="24"/>
                <w:szCs w:val="24"/>
              </w:rPr>
              <w:t xml:space="preserve">Nav. </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579"/>
        </w:trPr>
        <w:tc>
          <w:tcPr>
            <w:tcW w:w="5000" w:type="pct"/>
            <w:gridSpan w:val="6"/>
            <w:tcBorders>
              <w:top w:val="outset" w:sz="6" w:space="0" w:color="auto"/>
              <w:left w:val="outset" w:sz="6" w:space="0" w:color="auto"/>
              <w:bottom w:val="outset" w:sz="6" w:space="0" w:color="auto"/>
              <w:right w:val="outset" w:sz="6" w:space="0" w:color="auto"/>
            </w:tcBorders>
          </w:tcPr>
          <w:p w:rsidR="0087521C" w:rsidRPr="00D21CE4" w:rsidRDefault="0087521C" w:rsidP="00923AF3">
            <w:pPr>
              <w:spacing w:after="0" w:line="240" w:lineRule="auto"/>
              <w:jc w:val="center"/>
              <w:rPr>
                <w:rFonts w:ascii="Times New Roman" w:eastAsia="Times New Roman" w:hAnsi="Times New Roman"/>
                <w:sz w:val="24"/>
                <w:szCs w:val="24"/>
              </w:rPr>
            </w:pPr>
            <w:r w:rsidRPr="00D21CE4">
              <w:rPr>
                <w:rFonts w:ascii="Times New Roman" w:hAnsi="Times New Roman"/>
                <w:b/>
                <w:bCs/>
                <w:sz w:val="24"/>
                <w:szCs w:val="24"/>
                <w:shd w:val="clear" w:color="auto" w:fill="FFFFFF"/>
              </w:rPr>
              <w:t>2. tabula</w:t>
            </w:r>
            <w:r w:rsidRPr="00D21CE4">
              <w:rPr>
                <w:rFonts w:ascii="Times New Roman" w:hAnsi="Times New Roman"/>
                <w:b/>
                <w:bCs/>
                <w:sz w:val="24"/>
                <w:szCs w:val="24"/>
              </w:rPr>
              <w:br/>
            </w:r>
            <w:r w:rsidRPr="00D21CE4">
              <w:rPr>
                <w:rFonts w:ascii="Times New Roman" w:hAnsi="Times New Roman"/>
                <w:b/>
                <w:bCs/>
                <w:sz w:val="24"/>
                <w:szCs w:val="24"/>
                <w:shd w:val="clear" w:color="auto" w:fill="FFFFFF"/>
              </w:rPr>
              <w:t>Ar tiesību akta projektu izpildītās vai uzņemtās saistības, kas izriet no starptautiskajiem tiesību aktiem vai starptautiskas institūcijas vai organizācijas dokumentiem.</w:t>
            </w:r>
            <w:r w:rsidRPr="00D21CE4">
              <w:rPr>
                <w:rFonts w:ascii="Times New Roman" w:hAnsi="Times New Roman"/>
                <w:b/>
                <w:bCs/>
                <w:sz w:val="24"/>
                <w:szCs w:val="24"/>
              </w:rPr>
              <w:br/>
            </w:r>
            <w:r w:rsidRPr="00D21CE4">
              <w:rPr>
                <w:rFonts w:ascii="Times New Roman" w:hAnsi="Times New Roman"/>
                <w:b/>
                <w:bCs/>
                <w:sz w:val="24"/>
                <w:szCs w:val="24"/>
                <w:shd w:val="clear" w:color="auto" w:fill="FFFFFF"/>
              </w:rPr>
              <w:t>Pasākumi šo saistību izpildei.</w:t>
            </w:r>
          </w:p>
        </w:tc>
      </w:tr>
      <w:tr w:rsidR="0087521C" w:rsidRPr="00D21CE4" w:rsidTr="008752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PrEx>
        <w:trPr>
          <w:trHeight w:val="367"/>
        </w:trPr>
        <w:tc>
          <w:tcPr>
            <w:tcW w:w="5000" w:type="pct"/>
            <w:gridSpan w:val="6"/>
            <w:tcBorders>
              <w:top w:val="outset" w:sz="6" w:space="0" w:color="auto"/>
              <w:left w:val="outset" w:sz="6" w:space="0" w:color="auto"/>
              <w:bottom w:val="outset" w:sz="6" w:space="0" w:color="auto"/>
              <w:right w:val="outset" w:sz="6" w:space="0" w:color="auto"/>
            </w:tcBorders>
          </w:tcPr>
          <w:p w:rsidR="0087521C" w:rsidRPr="00D21CE4" w:rsidRDefault="0087521C" w:rsidP="00923AF3">
            <w:pPr>
              <w:spacing w:after="0" w:line="240" w:lineRule="auto"/>
              <w:jc w:val="center"/>
              <w:rPr>
                <w:rFonts w:ascii="Times New Roman" w:hAnsi="Times New Roman"/>
                <w:b/>
                <w:bCs/>
                <w:sz w:val="24"/>
                <w:szCs w:val="24"/>
                <w:shd w:val="clear" w:color="auto" w:fill="FFFFFF"/>
              </w:rPr>
            </w:pPr>
            <w:r w:rsidRPr="00D21CE4">
              <w:rPr>
                <w:rFonts w:ascii="Times New Roman" w:hAnsi="Times New Roman"/>
                <w:bCs/>
                <w:sz w:val="24"/>
                <w:szCs w:val="24"/>
              </w:rPr>
              <w:t>Projekts šo jomu neskar</w:t>
            </w:r>
            <w:r w:rsidR="00E122E6">
              <w:rPr>
                <w:rFonts w:ascii="Times New Roman" w:hAnsi="Times New Roman"/>
                <w:bCs/>
                <w:sz w:val="24"/>
                <w:szCs w:val="24"/>
              </w:rPr>
              <w:t>.</w:t>
            </w:r>
          </w:p>
        </w:tc>
      </w:tr>
    </w:tbl>
    <w:p w:rsidR="00426FFF" w:rsidRDefault="00426FFF" w:rsidP="00E86332">
      <w:pPr>
        <w:pStyle w:val="Title"/>
        <w:jc w:val="both"/>
        <w:rPr>
          <w:sz w:val="24"/>
          <w:szCs w:val="24"/>
        </w:rPr>
      </w:pPr>
    </w:p>
    <w:tbl>
      <w:tblPr>
        <w:tblW w:w="51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680"/>
        <w:gridCol w:w="6113"/>
      </w:tblGrid>
      <w:tr w:rsidR="00DA7279" w:rsidRPr="00BB1ECD" w:rsidTr="009428BA">
        <w:trPr>
          <w:cantSplit/>
          <w:trHeight w:val="323"/>
        </w:trPr>
        <w:tc>
          <w:tcPr>
            <w:tcW w:w="5000" w:type="pct"/>
            <w:gridSpan w:val="3"/>
            <w:vAlign w:val="center"/>
            <w:hideMark/>
          </w:tcPr>
          <w:p w:rsidR="00DA7279" w:rsidRPr="00BB1ECD" w:rsidRDefault="00DA7279" w:rsidP="009428BA">
            <w:pPr>
              <w:spacing w:after="0" w:line="240" w:lineRule="auto"/>
              <w:jc w:val="center"/>
              <w:rPr>
                <w:rFonts w:ascii="Times New Roman" w:hAnsi="Times New Roman"/>
                <w:b/>
                <w:bCs/>
                <w:sz w:val="24"/>
                <w:szCs w:val="24"/>
              </w:rPr>
            </w:pPr>
            <w:r w:rsidRPr="00BB1ECD">
              <w:rPr>
                <w:rFonts w:ascii="Times New Roman" w:hAnsi="Times New Roman"/>
                <w:b/>
                <w:bCs/>
                <w:sz w:val="24"/>
                <w:szCs w:val="24"/>
              </w:rPr>
              <w:t>VI. Sabiedrības līdzdalība un komunikācijas aktivitātes</w:t>
            </w:r>
          </w:p>
        </w:tc>
      </w:tr>
      <w:tr w:rsidR="00DA7279" w:rsidRPr="00BB1ECD" w:rsidTr="009428BA">
        <w:trPr>
          <w:cantSplit/>
        </w:trPr>
        <w:tc>
          <w:tcPr>
            <w:tcW w:w="301" w:type="pct"/>
            <w:hideMark/>
          </w:tcPr>
          <w:p w:rsidR="00DA7279" w:rsidRPr="00E86332" w:rsidRDefault="00DA7279" w:rsidP="009428BA">
            <w:pPr>
              <w:spacing w:after="0" w:line="240" w:lineRule="auto"/>
              <w:jc w:val="both"/>
              <w:rPr>
                <w:rFonts w:ascii="Times New Roman" w:hAnsi="Times New Roman"/>
                <w:sz w:val="24"/>
                <w:szCs w:val="24"/>
              </w:rPr>
            </w:pPr>
            <w:r w:rsidRPr="00E86332">
              <w:rPr>
                <w:rFonts w:ascii="Times New Roman" w:hAnsi="Times New Roman"/>
                <w:sz w:val="24"/>
                <w:szCs w:val="24"/>
              </w:rPr>
              <w:t>1.</w:t>
            </w:r>
          </w:p>
        </w:tc>
        <w:tc>
          <w:tcPr>
            <w:tcW w:w="1432" w:type="pct"/>
            <w:hideMark/>
          </w:tcPr>
          <w:p w:rsidR="00DA7279" w:rsidRPr="00BB1ECD" w:rsidRDefault="00DA7279" w:rsidP="009428BA">
            <w:pPr>
              <w:spacing w:after="0" w:line="240" w:lineRule="auto"/>
              <w:jc w:val="both"/>
              <w:rPr>
                <w:rFonts w:ascii="Times New Roman" w:hAnsi="Times New Roman"/>
                <w:sz w:val="24"/>
                <w:szCs w:val="24"/>
              </w:rPr>
            </w:pPr>
            <w:r w:rsidRPr="00BB1ECD">
              <w:rPr>
                <w:rFonts w:ascii="Times New Roman" w:hAnsi="Times New Roman"/>
                <w:sz w:val="24"/>
                <w:szCs w:val="24"/>
              </w:rPr>
              <w:t>Plānotās sabiedrības līdzdalības un komunikācijas aktivitātes saistībā ar projektu</w:t>
            </w:r>
          </w:p>
        </w:tc>
        <w:tc>
          <w:tcPr>
            <w:tcW w:w="3267" w:type="pct"/>
            <w:hideMark/>
          </w:tcPr>
          <w:p w:rsidR="00DA7279" w:rsidRPr="00D26CF7" w:rsidRDefault="00D26CF7" w:rsidP="009428BA">
            <w:pPr>
              <w:autoSpaceDE w:val="0"/>
              <w:autoSpaceDN w:val="0"/>
              <w:adjustRightInd w:val="0"/>
              <w:spacing w:after="0" w:line="240" w:lineRule="auto"/>
              <w:jc w:val="both"/>
              <w:rPr>
                <w:rFonts w:ascii="Times New Roman" w:hAnsi="Times New Roman"/>
                <w:sz w:val="24"/>
                <w:szCs w:val="24"/>
              </w:rPr>
            </w:pPr>
            <w:r w:rsidRPr="00D26CF7">
              <w:rPr>
                <w:rFonts w:ascii="Times New Roman" w:hAnsi="Times New Roman"/>
                <w:sz w:val="24"/>
                <w:szCs w:val="24"/>
              </w:rPr>
              <w:t>Atbilstoši Ministru kabineta 2009. gada 25. augusta noteikumiem Nr. 970 "Sabiedrības līdzdalības kārtība attīstības plānošanas procesā", lai informētu sabiedrību par Ministru kabineta noteikumu projektu un dotu iespēju izteikt viedokli, informācija par Ministru kabineta noteikumu projektu ievietota Iekšlietu ministrijas un Valsts kancelejas tīmekļa vietnē</w:t>
            </w:r>
            <w:r w:rsidR="00DA7279" w:rsidRPr="00D26CF7">
              <w:rPr>
                <w:rFonts w:ascii="Times New Roman" w:hAnsi="Times New Roman"/>
                <w:sz w:val="24"/>
                <w:szCs w:val="24"/>
              </w:rPr>
              <w:t>.</w:t>
            </w:r>
          </w:p>
        </w:tc>
      </w:tr>
      <w:tr w:rsidR="00DA7279" w:rsidRPr="00BB1ECD" w:rsidTr="009428BA">
        <w:trPr>
          <w:cantSplit/>
        </w:trPr>
        <w:tc>
          <w:tcPr>
            <w:tcW w:w="301" w:type="pct"/>
            <w:hideMark/>
          </w:tcPr>
          <w:p w:rsidR="00DA7279" w:rsidRPr="00E86332" w:rsidRDefault="00DA7279" w:rsidP="009428BA">
            <w:pPr>
              <w:spacing w:after="0" w:line="240" w:lineRule="auto"/>
              <w:jc w:val="both"/>
              <w:rPr>
                <w:rFonts w:ascii="Times New Roman" w:hAnsi="Times New Roman"/>
                <w:sz w:val="24"/>
                <w:szCs w:val="24"/>
              </w:rPr>
            </w:pPr>
            <w:r w:rsidRPr="00E86332">
              <w:rPr>
                <w:rFonts w:ascii="Times New Roman" w:hAnsi="Times New Roman"/>
                <w:sz w:val="24"/>
                <w:szCs w:val="24"/>
              </w:rPr>
              <w:t>2.</w:t>
            </w:r>
          </w:p>
        </w:tc>
        <w:tc>
          <w:tcPr>
            <w:tcW w:w="1432" w:type="pct"/>
            <w:hideMark/>
          </w:tcPr>
          <w:p w:rsidR="00DA7279" w:rsidRPr="00BB1ECD" w:rsidRDefault="00DA7279" w:rsidP="009428BA">
            <w:pPr>
              <w:spacing w:after="0" w:line="240" w:lineRule="auto"/>
              <w:jc w:val="both"/>
              <w:rPr>
                <w:rFonts w:ascii="Times New Roman" w:hAnsi="Times New Roman"/>
                <w:sz w:val="24"/>
                <w:szCs w:val="24"/>
              </w:rPr>
            </w:pPr>
            <w:r w:rsidRPr="00BB1ECD">
              <w:rPr>
                <w:rFonts w:ascii="Times New Roman" w:hAnsi="Times New Roman"/>
                <w:sz w:val="24"/>
                <w:szCs w:val="24"/>
              </w:rPr>
              <w:t>Sabiedrības līdzdalība projekta izstrādē</w:t>
            </w:r>
          </w:p>
        </w:tc>
        <w:tc>
          <w:tcPr>
            <w:tcW w:w="3267" w:type="pct"/>
          </w:tcPr>
          <w:p w:rsidR="00DA7279" w:rsidRPr="00D26CF7" w:rsidRDefault="00D26CF7" w:rsidP="00D26CF7">
            <w:pPr>
              <w:pStyle w:val="NoSpacing"/>
              <w:ind w:right="27"/>
              <w:jc w:val="both"/>
              <w:rPr>
                <w:rFonts w:ascii="Times New Roman" w:eastAsia="Times New Roman" w:hAnsi="Times New Roman"/>
                <w:sz w:val="24"/>
                <w:szCs w:val="24"/>
                <w:lang w:val="lv-LV"/>
              </w:rPr>
            </w:pPr>
            <w:r w:rsidRPr="00D26CF7">
              <w:rPr>
                <w:rFonts w:ascii="Times New Roman" w:hAnsi="Times New Roman"/>
                <w:sz w:val="24"/>
                <w:szCs w:val="24"/>
                <w:lang w:val="lv-LV"/>
              </w:rPr>
              <w:t>Lai nodrošinātu efektīvu, atklātu, ietverošu, savlaicīgu un atbildīgu sabiedrības līdzdalību un sabiedrības pārstāvjiem nodrošinātu iespēju rakstiski sniegt viedokli par Ministru kabineta noteikumu projektu</w:t>
            </w:r>
            <w:r w:rsidRPr="00D26CF7">
              <w:rPr>
                <w:rFonts w:ascii="Times New Roman" w:hAnsi="Times New Roman"/>
                <w:iCs/>
                <w:sz w:val="24"/>
                <w:szCs w:val="24"/>
                <w:lang w:val="lv-LV"/>
              </w:rPr>
              <w:t xml:space="preserve"> tā izstrādes stadijā, </w:t>
            </w:r>
            <w:r w:rsidRPr="00D26CF7">
              <w:rPr>
                <w:rFonts w:ascii="Times New Roman" w:hAnsi="Times New Roman"/>
                <w:sz w:val="24"/>
                <w:szCs w:val="24"/>
                <w:lang w:val="lv-LV"/>
              </w:rPr>
              <w:t xml:space="preserve">2020. gada </w:t>
            </w:r>
            <w:r>
              <w:rPr>
                <w:rFonts w:ascii="Times New Roman" w:hAnsi="Times New Roman"/>
                <w:sz w:val="24"/>
                <w:szCs w:val="24"/>
                <w:lang w:val="lv-LV"/>
              </w:rPr>
              <w:t>_.septembrī</w:t>
            </w:r>
            <w:r w:rsidRPr="00D26CF7">
              <w:rPr>
                <w:rFonts w:ascii="Times New Roman" w:hAnsi="Times New Roman"/>
                <w:sz w:val="24"/>
                <w:szCs w:val="24"/>
                <w:lang w:val="lv-LV"/>
              </w:rPr>
              <w:t xml:space="preserve"> informācija par Ministru kabineta noteikumu projektu ievietota Iekšlietu ministrijas tīmekļa vietnē (</w:t>
            </w:r>
            <w:r>
              <w:rPr>
                <w:rFonts w:ascii="Times New Roman" w:hAnsi="Times New Roman"/>
                <w:sz w:val="24"/>
                <w:szCs w:val="24"/>
                <w:lang w:val="lv-LV"/>
              </w:rPr>
              <w:t>______)</w:t>
            </w:r>
            <w:r w:rsidRPr="00D26CF7">
              <w:rPr>
                <w:rStyle w:val="Hyperlink"/>
                <w:rFonts w:ascii="Times New Roman" w:hAnsi="Times New Roman"/>
                <w:sz w:val="24"/>
                <w:szCs w:val="24"/>
                <w:lang w:val="lv-LV"/>
              </w:rPr>
              <w:t xml:space="preserve">, </w:t>
            </w:r>
            <w:r w:rsidRPr="00D26CF7">
              <w:rPr>
                <w:rFonts w:ascii="Times New Roman" w:hAnsi="Times New Roman"/>
                <w:sz w:val="24"/>
                <w:szCs w:val="24"/>
                <w:lang w:val="lv-LV"/>
              </w:rPr>
              <w:t xml:space="preserve">aicinot sabiedrību viedokļus par Ministru kabineta noteikumu projektu sniegt līdz 2020. gada </w:t>
            </w:r>
            <w:r>
              <w:rPr>
                <w:rFonts w:ascii="Times New Roman" w:hAnsi="Times New Roman"/>
                <w:sz w:val="24"/>
                <w:szCs w:val="24"/>
                <w:lang w:val="lv-LV"/>
              </w:rPr>
              <w:t>_.oktobrim</w:t>
            </w:r>
            <w:r w:rsidRPr="00D26CF7">
              <w:rPr>
                <w:rFonts w:ascii="Times New Roman" w:hAnsi="Times New Roman"/>
                <w:sz w:val="24"/>
                <w:szCs w:val="24"/>
                <w:lang w:val="lv-LV"/>
              </w:rPr>
              <w:t xml:space="preserve">. Vienlaikus </w:t>
            </w:r>
            <w:r w:rsidRPr="00D26CF7">
              <w:rPr>
                <w:rFonts w:ascii="Times New Roman" w:hAnsi="Times New Roman"/>
                <w:iCs/>
                <w:sz w:val="24"/>
                <w:szCs w:val="24"/>
                <w:lang w:val="lv-LV"/>
              </w:rPr>
              <w:t xml:space="preserve">Iekšlietu ministrija, izpildot Ministru kabineta 2009.gada 25.augusta noteikumu Nr.970 “Sabiedrības līdzdalības kārtība attīstības plānošanas procesā” 14.punktu, projektu  </w:t>
            </w:r>
            <w:r w:rsidRPr="00D26CF7">
              <w:rPr>
                <w:rFonts w:ascii="Times New Roman" w:hAnsi="Times New Roman"/>
                <w:sz w:val="24"/>
                <w:szCs w:val="24"/>
                <w:lang w:val="lv-LV"/>
              </w:rPr>
              <w:t xml:space="preserve">2020. gada </w:t>
            </w:r>
            <w:r>
              <w:rPr>
                <w:rFonts w:ascii="Times New Roman" w:hAnsi="Times New Roman"/>
                <w:sz w:val="24"/>
                <w:szCs w:val="24"/>
                <w:lang w:val="lv-LV"/>
              </w:rPr>
              <w:t>_.septembrī</w:t>
            </w:r>
            <w:r w:rsidRPr="00D26CF7">
              <w:rPr>
                <w:rFonts w:ascii="Times New Roman" w:hAnsi="Times New Roman"/>
                <w:sz w:val="24"/>
                <w:szCs w:val="24"/>
                <w:lang w:val="lv-LV"/>
              </w:rPr>
              <w:t xml:space="preserve"> </w:t>
            </w:r>
            <w:r w:rsidRPr="00D26CF7">
              <w:rPr>
                <w:rFonts w:ascii="Times New Roman" w:hAnsi="Times New Roman"/>
                <w:iCs/>
                <w:sz w:val="24"/>
                <w:szCs w:val="24"/>
                <w:lang w:val="lv-LV"/>
              </w:rPr>
              <w:t>nosūtīja Valsts kancelejai</w:t>
            </w:r>
            <w:r w:rsidRPr="00D26CF7">
              <w:rPr>
                <w:rFonts w:ascii="Times New Roman" w:hAnsi="Times New Roman"/>
                <w:sz w:val="24"/>
                <w:szCs w:val="24"/>
                <w:lang w:val="lv-LV"/>
              </w:rPr>
              <w:t xml:space="preserve"> publicēšanai tās tīmekļa vietnē (</w:t>
            </w:r>
            <w:r>
              <w:rPr>
                <w:rFonts w:ascii="Times New Roman" w:hAnsi="Times New Roman"/>
                <w:sz w:val="24"/>
                <w:szCs w:val="24"/>
                <w:lang w:val="lv-LV"/>
              </w:rPr>
              <w:t>____________________</w:t>
            </w:r>
            <w:r w:rsidRPr="00D26CF7">
              <w:rPr>
                <w:rStyle w:val="Hyperlink"/>
                <w:rFonts w:ascii="Times New Roman" w:hAnsi="Times New Roman"/>
                <w:sz w:val="24"/>
                <w:szCs w:val="24"/>
                <w:lang w:val="lv-LV"/>
              </w:rPr>
              <w:t>)</w:t>
            </w:r>
            <w:r w:rsidRPr="00D26CF7">
              <w:rPr>
                <w:rFonts w:ascii="Times New Roman" w:hAnsi="Times New Roman"/>
                <w:sz w:val="24"/>
                <w:szCs w:val="24"/>
                <w:lang w:val="lv-LV"/>
              </w:rPr>
              <w:t>.</w:t>
            </w:r>
          </w:p>
        </w:tc>
      </w:tr>
      <w:tr w:rsidR="00DA7279" w:rsidRPr="00BB1ECD" w:rsidTr="009428BA">
        <w:trPr>
          <w:cantSplit/>
        </w:trPr>
        <w:tc>
          <w:tcPr>
            <w:tcW w:w="301" w:type="pct"/>
            <w:hideMark/>
          </w:tcPr>
          <w:p w:rsidR="00DA7279" w:rsidRPr="00E86332" w:rsidRDefault="00DA7279" w:rsidP="009428BA">
            <w:pPr>
              <w:spacing w:after="0" w:line="240" w:lineRule="auto"/>
              <w:jc w:val="both"/>
              <w:rPr>
                <w:rFonts w:ascii="Times New Roman" w:hAnsi="Times New Roman"/>
                <w:sz w:val="24"/>
                <w:szCs w:val="24"/>
              </w:rPr>
            </w:pPr>
            <w:r w:rsidRPr="00E86332">
              <w:rPr>
                <w:rFonts w:ascii="Times New Roman" w:hAnsi="Times New Roman"/>
                <w:sz w:val="24"/>
                <w:szCs w:val="24"/>
              </w:rPr>
              <w:lastRenderedPageBreak/>
              <w:t>3.</w:t>
            </w:r>
          </w:p>
        </w:tc>
        <w:tc>
          <w:tcPr>
            <w:tcW w:w="1432" w:type="pct"/>
            <w:hideMark/>
          </w:tcPr>
          <w:p w:rsidR="00DA7279" w:rsidRPr="00BB1ECD" w:rsidRDefault="00DA7279" w:rsidP="009428BA">
            <w:pPr>
              <w:spacing w:after="0" w:line="240" w:lineRule="auto"/>
              <w:jc w:val="both"/>
              <w:rPr>
                <w:rFonts w:ascii="Times New Roman" w:hAnsi="Times New Roman"/>
                <w:sz w:val="24"/>
                <w:szCs w:val="24"/>
              </w:rPr>
            </w:pPr>
            <w:r w:rsidRPr="00BB1ECD">
              <w:rPr>
                <w:rFonts w:ascii="Times New Roman" w:hAnsi="Times New Roman"/>
                <w:sz w:val="24"/>
                <w:szCs w:val="24"/>
              </w:rPr>
              <w:t>Sabiedrības līdzdalības rezultāti</w:t>
            </w:r>
          </w:p>
        </w:tc>
        <w:tc>
          <w:tcPr>
            <w:tcW w:w="3267" w:type="pct"/>
          </w:tcPr>
          <w:p w:rsidR="00DA7279" w:rsidRPr="00D26CF7" w:rsidRDefault="00D26CF7" w:rsidP="009428BA">
            <w:pPr>
              <w:pStyle w:val="NoSpacing"/>
              <w:ind w:right="27"/>
              <w:jc w:val="both"/>
              <w:rPr>
                <w:rFonts w:ascii="Times New Roman" w:eastAsia="Times New Roman" w:hAnsi="Times New Roman"/>
                <w:i/>
                <w:sz w:val="24"/>
                <w:szCs w:val="24"/>
                <w:lang w:val="lv-LV"/>
              </w:rPr>
            </w:pPr>
            <w:r>
              <w:rPr>
                <w:rFonts w:ascii="Times New Roman" w:hAnsi="Times New Roman"/>
                <w:i/>
                <w:sz w:val="24"/>
                <w:szCs w:val="24"/>
                <w:lang w:val="lv-LV"/>
              </w:rPr>
              <w:t>Informācija tiks norādīta atbilstoši sabiedrības līdzdalības rezultātiem.</w:t>
            </w:r>
          </w:p>
        </w:tc>
      </w:tr>
      <w:tr w:rsidR="00DA7279" w:rsidRPr="00BB1ECD" w:rsidTr="009428BA">
        <w:trPr>
          <w:cantSplit/>
        </w:trPr>
        <w:tc>
          <w:tcPr>
            <w:tcW w:w="301" w:type="pct"/>
            <w:hideMark/>
          </w:tcPr>
          <w:p w:rsidR="00DA7279" w:rsidRPr="00E86332" w:rsidRDefault="00DA7279" w:rsidP="009428BA">
            <w:pPr>
              <w:spacing w:after="0" w:line="240" w:lineRule="auto"/>
              <w:jc w:val="both"/>
              <w:rPr>
                <w:rFonts w:ascii="Times New Roman" w:hAnsi="Times New Roman"/>
                <w:sz w:val="24"/>
                <w:szCs w:val="24"/>
              </w:rPr>
            </w:pPr>
            <w:r w:rsidRPr="00E86332">
              <w:rPr>
                <w:rFonts w:ascii="Times New Roman" w:hAnsi="Times New Roman"/>
                <w:sz w:val="24"/>
                <w:szCs w:val="24"/>
              </w:rPr>
              <w:t>4.</w:t>
            </w:r>
          </w:p>
        </w:tc>
        <w:tc>
          <w:tcPr>
            <w:tcW w:w="1432" w:type="pct"/>
            <w:hideMark/>
          </w:tcPr>
          <w:p w:rsidR="00DA7279" w:rsidRPr="00BB1ECD" w:rsidRDefault="00DA7279" w:rsidP="009428BA">
            <w:pPr>
              <w:spacing w:after="0" w:line="240" w:lineRule="auto"/>
              <w:jc w:val="both"/>
              <w:rPr>
                <w:rFonts w:ascii="Times New Roman" w:hAnsi="Times New Roman"/>
                <w:sz w:val="24"/>
                <w:szCs w:val="24"/>
              </w:rPr>
            </w:pPr>
            <w:r w:rsidRPr="00BB1ECD">
              <w:rPr>
                <w:rFonts w:ascii="Times New Roman" w:hAnsi="Times New Roman"/>
                <w:sz w:val="24"/>
                <w:szCs w:val="24"/>
              </w:rPr>
              <w:t>Cita informācija</w:t>
            </w:r>
          </w:p>
        </w:tc>
        <w:tc>
          <w:tcPr>
            <w:tcW w:w="3267" w:type="pct"/>
            <w:hideMark/>
          </w:tcPr>
          <w:p w:rsidR="00DA7279" w:rsidRPr="00BB1ECD" w:rsidRDefault="00DA7279" w:rsidP="009428BA">
            <w:pPr>
              <w:spacing w:after="0" w:line="240" w:lineRule="auto"/>
              <w:jc w:val="both"/>
              <w:rPr>
                <w:rFonts w:ascii="Times New Roman" w:hAnsi="Times New Roman"/>
                <w:sz w:val="24"/>
                <w:szCs w:val="24"/>
              </w:rPr>
            </w:pPr>
            <w:r w:rsidRPr="00BB1ECD">
              <w:rPr>
                <w:rFonts w:ascii="Times New Roman" w:hAnsi="Times New Roman"/>
                <w:sz w:val="24"/>
                <w:szCs w:val="24"/>
              </w:rPr>
              <w:t>Nav.</w:t>
            </w:r>
          </w:p>
        </w:tc>
      </w:tr>
    </w:tbl>
    <w:p w:rsidR="00DA7279" w:rsidRPr="00E86332" w:rsidRDefault="00DA7279"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966"/>
      </w:tblGrid>
      <w:tr w:rsidR="00426FFF" w:rsidRPr="00E86332" w:rsidTr="00533840">
        <w:trPr>
          <w:cantSplit/>
          <w:trHeight w:val="443"/>
        </w:trPr>
        <w:tc>
          <w:tcPr>
            <w:tcW w:w="5000" w:type="pct"/>
            <w:gridSpan w:val="3"/>
            <w:vAlign w:val="center"/>
            <w:hideMark/>
          </w:tcPr>
          <w:p w:rsidR="00426FFF" w:rsidRPr="00E86332" w:rsidRDefault="00426FFF" w:rsidP="005D05FC">
            <w:pPr>
              <w:spacing w:after="0" w:line="240" w:lineRule="auto"/>
              <w:jc w:val="center"/>
              <w:rPr>
                <w:rFonts w:ascii="Times New Roman" w:hAnsi="Times New Roman"/>
                <w:b/>
                <w:bCs/>
                <w:sz w:val="24"/>
                <w:szCs w:val="24"/>
              </w:rPr>
            </w:pPr>
            <w:r w:rsidRPr="00E86332">
              <w:rPr>
                <w:rFonts w:ascii="Times New Roman" w:hAnsi="Times New Roman"/>
                <w:b/>
                <w:bCs/>
                <w:sz w:val="24"/>
                <w:szCs w:val="24"/>
              </w:rPr>
              <w:t>VII. Tiesību akta projekta izpildes nodrošināšana un tās ietekme uz institūcijām</w:t>
            </w:r>
          </w:p>
        </w:tc>
      </w:tr>
      <w:tr w:rsidR="00464086" w:rsidRPr="00E86332" w:rsidTr="00533840">
        <w:trPr>
          <w:cantSplit/>
        </w:trPr>
        <w:tc>
          <w:tcPr>
            <w:tcW w:w="306"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1.</w:t>
            </w:r>
          </w:p>
        </w:tc>
        <w:tc>
          <w:tcPr>
            <w:tcW w:w="1455" w:type="pct"/>
            <w:hideMark/>
          </w:tcPr>
          <w:p w:rsidR="00464086" w:rsidRPr="009D74B8" w:rsidRDefault="00464086" w:rsidP="00E86332">
            <w:pPr>
              <w:spacing w:after="0" w:line="240" w:lineRule="auto"/>
              <w:jc w:val="both"/>
              <w:rPr>
                <w:rFonts w:ascii="Times New Roman" w:hAnsi="Times New Roman"/>
                <w:sz w:val="24"/>
                <w:szCs w:val="24"/>
              </w:rPr>
            </w:pPr>
            <w:r w:rsidRPr="009D74B8">
              <w:rPr>
                <w:rFonts w:ascii="Times New Roman" w:hAnsi="Times New Roman"/>
                <w:sz w:val="24"/>
                <w:szCs w:val="24"/>
              </w:rPr>
              <w:t>Projekta izpildē iesaistītās institūcijas</w:t>
            </w:r>
          </w:p>
        </w:tc>
        <w:tc>
          <w:tcPr>
            <w:tcW w:w="3239" w:type="pct"/>
            <w:hideMark/>
          </w:tcPr>
          <w:p w:rsidR="00464086" w:rsidRPr="009D74B8" w:rsidRDefault="00E122E6" w:rsidP="00A44287">
            <w:pPr>
              <w:spacing w:after="0" w:line="240" w:lineRule="auto"/>
              <w:jc w:val="both"/>
              <w:rPr>
                <w:rFonts w:ascii="Times New Roman" w:hAnsi="Times New Roman"/>
                <w:sz w:val="24"/>
                <w:szCs w:val="24"/>
              </w:rPr>
            </w:pPr>
            <w:r w:rsidRPr="009D74B8">
              <w:rPr>
                <w:rFonts w:ascii="Times New Roman" w:hAnsi="Times New Roman"/>
                <w:sz w:val="24"/>
                <w:szCs w:val="24"/>
              </w:rPr>
              <w:t>Valsts policija</w:t>
            </w:r>
          </w:p>
        </w:tc>
      </w:tr>
      <w:tr w:rsidR="00464086" w:rsidRPr="00E86332" w:rsidTr="00533840">
        <w:trPr>
          <w:cantSplit/>
        </w:trPr>
        <w:tc>
          <w:tcPr>
            <w:tcW w:w="306"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2.</w:t>
            </w:r>
          </w:p>
        </w:tc>
        <w:tc>
          <w:tcPr>
            <w:tcW w:w="1455"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Projekta izpildes ietekme uz pārvaldes funkcijām un institucionālo struktūru.</w:t>
            </w:r>
            <w:r w:rsidRPr="00E86332">
              <w:rPr>
                <w:rFonts w:ascii="Times New Roman" w:hAnsi="Times New Roman"/>
                <w:sz w:val="24"/>
                <w:szCs w:val="24"/>
              </w:rPr>
              <w:br/>
              <w:t>Jaunu institūciju izveide, esošu institūciju likvidācija vai reorganizācija, to ietekme uz institūcijas cilvēkresursiem</w:t>
            </w:r>
          </w:p>
        </w:tc>
        <w:tc>
          <w:tcPr>
            <w:tcW w:w="3239" w:type="pct"/>
            <w:hideMark/>
          </w:tcPr>
          <w:p w:rsidR="00464086" w:rsidRPr="00E86332" w:rsidRDefault="005D05FC" w:rsidP="00E86332">
            <w:pPr>
              <w:spacing w:after="0" w:line="240" w:lineRule="auto"/>
              <w:jc w:val="both"/>
              <w:rPr>
                <w:rFonts w:ascii="Times New Roman" w:hAnsi="Times New Roman"/>
                <w:sz w:val="24"/>
                <w:szCs w:val="24"/>
              </w:rPr>
            </w:pPr>
            <w:r w:rsidRPr="00D015E3">
              <w:rPr>
                <w:rFonts w:ascii="Times New Roman" w:hAnsi="Times New Roman"/>
                <w:sz w:val="24"/>
                <w:szCs w:val="24"/>
              </w:rPr>
              <w:t>Projekta izpildes rezultātā nav paredzēta esošu institūciju likvidācija vai reorganizācija. Iestāžu institucio</w:t>
            </w:r>
            <w:r>
              <w:rPr>
                <w:rFonts w:ascii="Times New Roman" w:hAnsi="Times New Roman"/>
                <w:sz w:val="24"/>
                <w:szCs w:val="24"/>
              </w:rPr>
              <w:t>nālā struktūra netiek ietekmēta</w:t>
            </w:r>
            <w:r w:rsidRPr="00487A7A">
              <w:rPr>
                <w:rFonts w:ascii="Times New Roman" w:hAnsi="Times New Roman"/>
                <w:sz w:val="24"/>
                <w:szCs w:val="24"/>
              </w:rPr>
              <w:t>.</w:t>
            </w:r>
          </w:p>
        </w:tc>
      </w:tr>
      <w:tr w:rsidR="00426FFF" w:rsidRPr="00E86332" w:rsidTr="00533840">
        <w:trPr>
          <w:cantSplit/>
        </w:trPr>
        <w:tc>
          <w:tcPr>
            <w:tcW w:w="306"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3.</w:t>
            </w:r>
          </w:p>
        </w:tc>
        <w:tc>
          <w:tcPr>
            <w:tcW w:w="1455"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Cita informācija</w:t>
            </w:r>
          </w:p>
        </w:tc>
        <w:tc>
          <w:tcPr>
            <w:tcW w:w="3239" w:type="pct"/>
            <w:hideMark/>
          </w:tcPr>
          <w:p w:rsidR="00426FFF"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Nav.</w:t>
            </w:r>
          </w:p>
        </w:tc>
      </w:tr>
    </w:tbl>
    <w:p w:rsidR="00EF0342" w:rsidRPr="00E86332" w:rsidRDefault="00EF0342" w:rsidP="00E86332">
      <w:pPr>
        <w:spacing w:after="0" w:line="240" w:lineRule="auto"/>
        <w:jc w:val="both"/>
        <w:rPr>
          <w:rFonts w:ascii="Times New Roman" w:eastAsia="Times New Roman" w:hAnsi="Times New Roman"/>
          <w:sz w:val="24"/>
          <w:szCs w:val="24"/>
          <w:lang w:eastAsia="lv-LV"/>
        </w:rPr>
      </w:pPr>
    </w:p>
    <w:p w:rsidR="00EF107A" w:rsidRPr="00E86332" w:rsidRDefault="00EF107A" w:rsidP="00E86332">
      <w:pPr>
        <w:spacing w:after="0" w:line="240" w:lineRule="auto"/>
        <w:jc w:val="both"/>
        <w:rPr>
          <w:rFonts w:ascii="Times New Roman" w:hAnsi="Times New Roman"/>
          <w:sz w:val="24"/>
          <w:szCs w:val="24"/>
        </w:rPr>
      </w:pPr>
    </w:p>
    <w:p w:rsidR="006D3B45" w:rsidRPr="00E86332" w:rsidRDefault="006D3B45" w:rsidP="00E86332">
      <w:pPr>
        <w:spacing w:after="0" w:line="240" w:lineRule="auto"/>
        <w:jc w:val="both"/>
        <w:rPr>
          <w:rFonts w:ascii="Times New Roman" w:hAnsi="Times New Roman"/>
          <w:sz w:val="24"/>
          <w:szCs w:val="24"/>
        </w:rPr>
      </w:pPr>
      <w:r w:rsidRPr="00E86332">
        <w:rPr>
          <w:rFonts w:ascii="Times New Roman" w:hAnsi="Times New Roman"/>
          <w:sz w:val="24"/>
          <w:szCs w:val="24"/>
        </w:rPr>
        <w:t>Iekšlietu ministrs</w:t>
      </w:r>
      <w:r w:rsidRPr="00E86332">
        <w:rPr>
          <w:rFonts w:ascii="Times New Roman" w:hAnsi="Times New Roman"/>
          <w:sz w:val="24"/>
          <w:szCs w:val="24"/>
        </w:rPr>
        <w:tab/>
      </w:r>
      <w:r w:rsidRPr="00E86332">
        <w:rPr>
          <w:rFonts w:ascii="Times New Roman" w:hAnsi="Times New Roman"/>
          <w:sz w:val="24"/>
          <w:szCs w:val="24"/>
        </w:rPr>
        <w:tab/>
      </w:r>
      <w:r w:rsidRPr="00E86332">
        <w:rPr>
          <w:rFonts w:ascii="Times New Roman" w:hAnsi="Times New Roman"/>
          <w:sz w:val="24"/>
          <w:szCs w:val="24"/>
        </w:rPr>
        <w:tab/>
      </w:r>
      <w:r w:rsidRPr="00E86332">
        <w:rPr>
          <w:rFonts w:ascii="Times New Roman" w:hAnsi="Times New Roman"/>
          <w:sz w:val="24"/>
          <w:szCs w:val="24"/>
        </w:rPr>
        <w:tab/>
      </w:r>
      <w:r w:rsidRPr="00E86332">
        <w:rPr>
          <w:rFonts w:ascii="Times New Roman" w:hAnsi="Times New Roman"/>
          <w:sz w:val="24"/>
          <w:szCs w:val="24"/>
        </w:rPr>
        <w:tab/>
      </w:r>
      <w:r w:rsidRPr="00E86332">
        <w:rPr>
          <w:rFonts w:ascii="Times New Roman" w:hAnsi="Times New Roman"/>
          <w:sz w:val="24"/>
          <w:szCs w:val="24"/>
        </w:rPr>
        <w:tab/>
      </w:r>
      <w:r w:rsidRPr="00E86332">
        <w:rPr>
          <w:rFonts w:ascii="Times New Roman" w:hAnsi="Times New Roman"/>
          <w:sz w:val="24"/>
          <w:szCs w:val="24"/>
        </w:rPr>
        <w:tab/>
      </w:r>
      <w:r w:rsidR="0087521C">
        <w:rPr>
          <w:rFonts w:ascii="Times New Roman" w:hAnsi="Times New Roman"/>
          <w:sz w:val="24"/>
          <w:szCs w:val="24"/>
        </w:rPr>
        <w:tab/>
      </w:r>
      <w:proofErr w:type="spellStart"/>
      <w:r w:rsidR="0087521C">
        <w:rPr>
          <w:rFonts w:ascii="Times New Roman" w:hAnsi="Times New Roman"/>
          <w:sz w:val="24"/>
          <w:szCs w:val="24"/>
        </w:rPr>
        <w:t>S.Ģirģens</w:t>
      </w:r>
      <w:proofErr w:type="spellEnd"/>
    </w:p>
    <w:p w:rsidR="006D3B45" w:rsidRPr="00E86332" w:rsidRDefault="006D3B45" w:rsidP="00E86332">
      <w:pPr>
        <w:spacing w:after="0" w:line="240" w:lineRule="auto"/>
        <w:jc w:val="both"/>
        <w:rPr>
          <w:rFonts w:ascii="Times New Roman" w:eastAsia="SimSun" w:hAnsi="Times New Roman"/>
          <w:sz w:val="24"/>
          <w:szCs w:val="24"/>
          <w:lang w:eastAsia="zh-CN" w:bidi="he-IL"/>
        </w:rPr>
      </w:pPr>
    </w:p>
    <w:p w:rsidR="00EF0342" w:rsidRPr="00E86332" w:rsidRDefault="00EF0342" w:rsidP="00E86332">
      <w:pPr>
        <w:spacing w:after="0" w:line="240" w:lineRule="auto"/>
        <w:jc w:val="both"/>
        <w:rPr>
          <w:rFonts w:ascii="Times New Roman" w:eastAsia="SimSun" w:hAnsi="Times New Roman"/>
          <w:sz w:val="24"/>
          <w:szCs w:val="24"/>
          <w:lang w:eastAsia="zh-CN" w:bidi="he-IL"/>
        </w:rPr>
      </w:pPr>
    </w:p>
    <w:p w:rsidR="006D3B45" w:rsidRPr="00E86332" w:rsidRDefault="006D3B45" w:rsidP="00E86332">
      <w:pPr>
        <w:spacing w:after="0" w:line="240" w:lineRule="auto"/>
        <w:jc w:val="both"/>
        <w:rPr>
          <w:rFonts w:ascii="Times New Roman" w:eastAsia="SimSun" w:hAnsi="Times New Roman"/>
          <w:sz w:val="24"/>
          <w:szCs w:val="24"/>
          <w:lang w:eastAsia="zh-CN" w:bidi="he-IL"/>
        </w:rPr>
      </w:pPr>
      <w:r w:rsidRPr="00E86332">
        <w:rPr>
          <w:rFonts w:ascii="Times New Roman" w:eastAsia="SimSun" w:hAnsi="Times New Roman"/>
          <w:sz w:val="24"/>
          <w:szCs w:val="24"/>
          <w:lang w:eastAsia="zh-CN" w:bidi="he-IL"/>
        </w:rPr>
        <w:t>Vīza: Valsts sekretār</w:t>
      </w:r>
      <w:r w:rsidR="00DE743F" w:rsidRPr="00E86332">
        <w:rPr>
          <w:rFonts w:ascii="Times New Roman" w:eastAsia="SimSun" w:hAnsi="Times New Roman"/>
          <w:sz w:val="24"/>
          <w:szCs w:val="24"/>
          <w:lang w:eastAsia="zh-CN" w:bidi="he-IL"/>
        </w:rPr>
        <w:t>s</w:t>
      </w:r>
      <w:r w:rsidR="00DE743F"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proofErr w:type="spellStart"/>
      <w:r w:rsidR="007046EB" w:rsidRPr="00E86332">
        <w:rPr>
          <w:rFonts w:ascii="Times New Roman" w:eastAsia="SimSun" w:hAnsi="Times New Roman"/>
          <w:sz w:val="24"/>
          <w:szCs w:val="24"/>
          <w:lang w:eastAsia="zh-CN" w:bidi="he-IL"/>
        </w:rPr>
        <w:t>D.Trofimovs</w:t>
      </w:r>
      <w:proofErr w:type="spellEnd"/>
      <w:r w:rsidRPr="00E86332">
        <w:rPr>
          <w:rFonts w:ascii="Times New Roman" w:eastAsia="SimSun" w:hAnsi="Times New Roman"/>
          <w:sz w:val="24"/>
          <w:szCs w:val="24"/>
          <w:lang w:eastAsia="zh-CN" w:bidi="he-IL"/>
        </w:rPr>
        <w:t xml:space="preserve"> </w:t>
      </w:r>
    </w:p>
    <w:p w:rsidR="00EF0342" w:rsidRPr="00E86332" w:rsidRDefault="00EF0342" w:rsidP="00E86332">
      <w:pPr>
        <w:spacing w:after="0" w:line="240" w:lineRule="auto"/>
        <w:jc w:val="both"/>
        <w:rPr>
          <w:rFonts w:ascii="Times New Roman" w:eastAsia="SimSun" w:hAnsi="Times New Roman"/>
          <w:sz w:val="24"/>
          <w:szCs w:val="24"/>
          <w:lang w:eastAsia="zh-CN" w:bidi="he-IL"/>
        </w:rPr>
      </w:pPr>
    </w:p>
    <w:p w:rsidR="00464086" w:rsidRPr="00E86332" w:rsidRDefault="00464086" w:rsidP="00E86332">
      <w:pPr>
        <w:spacing w:after="0" w:line="240" w:lineRule="auto"/>
        <w:jc w:val="both"/>
        <w:rPr>
          <w:rFonts w:ascii="Times New Roman" w:eastAsia="SimSun" w:hAnsi="Times New Roman"/>
          <w:sz w:val="24"/>
          <w:szCs w:val="24"/>
          <w:lang w:eastAsia="zh-CN" w:bidi="he-IL"/>
        </w:rPr>
      </w:pPr>
    </w:p>
    <w:p w:rsidR="00464086" w:rsidRPr="00E86332" w:rsidRDefault="00464086" w:rsidP="00E86332">
      <w:pPr>
        <w:spacing w:after="0" w:line="240" w:lineRule="auto"/>
        <w:jc w:val="both"/>
        <w:rPr>
          <w:rFonts w:ascii="Times New Roman" w:eastAsia="SimSun" w:hAnsi="Times New Roman"/>
          <w:sz w:val="24"/>
          <w:szCs w:val="24"/>
          <w:lang w:eastAsia="zh-CN" w:bidi="he-IL"/>
        </w:rPr>
      </w:pPr>
    </w:p>
    <w:p w:rsidR="00D36DEC" w:rsidRDefault="00D36DEC" w:rsidP="00E86332">
      <w:pPr>
        <w:spacing w:after="0" w:line="240" w:lineRule="auto"/>
        <w:jc w:val="both"/>
        <w:rPr>
          <w:rFonts w:ascii="Times New Roman" w:eastAsia="SimSun" w:hAnsi="Times New Roman"/>
          <w:sz w:val="16"/>
          <w:szCs w:val="16"/>
          <w:lang w:eastAsia="zh-CN" w:bidi="he-IL"/>
        </w:rPr>
      </w:pPr>
    </w:p>
    <w:p w:rsidR="00D36DEC" w:rsidRDefault="00D36DEC" w:rsidP="00E86332">
      <w:pPr>
        <w:spacing w:after="0" w:line="240" w:lineRule="auto"/>
        <w:jc w:val="both"/>
        <w:rPr>
          <w:rFonts w:ascii="Times New Roman" w:eastAsia="SimSun" w:hAnsi="Times New Roman"/>
          <w:sz w:val="16"/>
          <w:szCs w:val="16"/>
          <w:lang w:eastAsia="zh-CN" w:bidi="he-IL"/>
        </w:rPr>
      </w:pPr>
    </w:p>
    <w:p w:rsidR="00D36DEC" w:rsidRDefault="00D36DEC" w:rsidP="00E86332">
      <w:pPr>
        <w:spacing w:after="0" w:line="240" w:lineRule="auto"/>
        <w:jc w:val="both"/>
        <w:rPr>
          <w:rFonts w:ascii="Times New Roman" w:eastAsia="SimSun" w:hAnsi="Times New Roman"/>
          <w:sz w:val="16"/>
          <w:szCs w:val="16"/>
          <w:lang w:eastAsia="zh-CN" w:bidi="he-IL"/>
        </w:rPr>
      </w:pPr>
    </w:p>
    <w:p w:rsidR="00D36DEC" w:rsidRDefault="00D36DEC"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bookmarkStart w:id="0" w:name="_GoBack"/>
      <w:bookmarkEnd w:id="0"/>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AE089B" w:rsidRDefault="00AE089B" w:rsidP="00E86332">
      <w:pPr>
        <w:spacing w:after="0" w:line="240" w:lineRule="auto"/>
        <w:jc w:val="both"/>
        <w:rPr>
          <w:rFonts w:ascii="Times New Roman" w:eastAsia="SimSun" w:hAnsi="Times New Roman"/>
          <w:sz w:val="16"/>
          <w:szCs w:val="16"/>
          <w:lang w:eastAsia="zh-CN" w:bidi="he-IL"/>
        </w:rPr>
      </w:pPr>
    </w:p>
    <w:p w:rsidR="00D36DEC" w:rsidRPr="00AE089B" w:rsidRDefault="00D36DEC" w:rsidP="00E86332">
      <w:pPr>
        <w:spacing w:after="0" w:line="240" w:lineRule="auto"/>
        <w:jc w:val="both"/>
        <w:rPr>
          <w:rFonts w:ascii="Times New Roman" w:eastAsia="SimSun" w:hAnsi="Times New Roman"/>
          <w:sz w:val="20"/>
          <w:szCs w:val="20"/>
          <w:lang w:eastAsia="zh-CN" w:bidi="he-IL"/>
        </w:rPr>
      </w:pPr>
    </w:p>
    <w:p w:rsidR="00AE089B" w:rsidRPr="00AE089B" w:rsidRDefault="00AE089B" w:rsidP="00E86332">
      <w:pPr>
        <w:spacing w:after="0" w:line="240" w:lineRule="auto"/>
        <w:jc w:val="both"/>
        <w:rPr>
          <w:rFonts w:ascii="Times New Roman" w:eastAsia="SimSun" w:hAnsi="Times New Roman"/>
          <w:sz w:val="20"/>
          <w:szCs w:val="20"/>
          <w:lang w:eastAsia="zh-CN" w:bidi="he-IL"/>
        </w:rPr>
      </w:pPr>
      <w:proofErr w:type="spellStart"/>
      <w:r w:rsidRPr="00AE089B">
        <w:rPr>
          <w:rFonts w:ascii="Times New Roman" w:eastAsia="SimSun" w:hAnsi="Times New Roman"/>
          <w:sz w:val="20"/>
          <w:szCs w:val="20"/>
          <w:lang w:eastAsia="zh-CN" w:bidi="he-IL"/>
        </w:rPr>
        <w:t>Pavļuka</w:t>
      </w:r>
      <w:proofErr w:type="spellEnd"/>
      <w:r w:rsidRPr="00AE089B">
        <w:rPr>
          <w:rFonts w:ascii="Times New Roman" w:eastAsia="SimSun" w:hAnsi="Times New Roman"/>
          <w:sz w:val="20"/>
          <w:szCs w:val="20"/>
          <w:lang w:eastAsia="zh-CN" w:bidi="he-IL"/>
        </w:rPr>
        <w:t>, 67219584</w:t>
      </w:r>
    </w:p>
    <w:p w:rsidR="00F819BE" w:rsidRPr="00AE089B" w:rsidRDefault="00892978" w:rsidP="00E86332">
      <w:pPr>
        <w:spacing w:after="0" w:line="240" w:lineRule="auto"/>
        <w:jc w:val="both"/>
        <w:rPr>
          <w:rFonts w:ascii="Times New Roman" w:eastAsia="SimSun" w:hAnsi="Times New Roman"/>
          <w:sz w:val="20"/>
          <w:szCs w:val="20"/>
          <w:lang w:eastAsia="zh-CN" w:bidi="he-IL"/>
        </w:rPr>
      </w:pPr>
      <w:hyperlink r:id="rId8" w:history="1">
        <w:r w:rsidR="00762330" w:rsidRPr="00AE089B">
          <w:rPr>
            <w:rStyle w:val="Hyperlink"/>
            <w:rFonts w:ascii="Times New Roman" w:eastAsia="SimSun" w:hAnsi="Times New Roman"/>
            <w:color w:val="auto"/>
            <w:sz w:val="20"/>
            <w:szCs w:val="20"/>
            <w:u w:val="none"/>
            <w:lang w:eastAsia="zh-CN" w:bidi="he-IL"/>
          </w:rPr>
          <w:t>olesja.pavluka@iem.gov.lv</w:t>
        </w:r>
      </w:hyperlink>
      <w:r w:rsidR="00762330" w:rsidRPr="00AE089B">
        <w:rPr>
          <w:rFonts w:ascii="Times New Roman" w:eastAsia="SimSun" w:hAnsi="Times New Roman"/>
          <w:sz w:val="20"/>
          <w:szCs w:val="20"/>
          <w:lang w:eastAsia="zh-CN" w:bidi="he-IL"/>
        </w:rPr>
        <w:t xml:space="preserve"> </w:t>
      </w:r>
      <w:r w:rsidR="00381947" w:rsidRPr="00AE089B">
        <w:rPr>
          <w:rFonts w:ascii="Times New Roman" w:hAnsi="Times New Roman"/>
          <w:sz w:val="20"/>
          <w:szCs w:val="20"/>
        </w:rPr>
        <w:tab/>
      </w:r>
    </w:p>
    <w:sectPr w:rsidR="00F819BE" w:rsidRPr="00AE089B" w:rsidSect="00102A09">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4D" w:rsidRDefault="00147D4D">
      <w:pPr>
        <w:spacing w:after="0" w:line="240" w:lineRule="auto"/>
      </w:pPr>
      <w:r>
        <w:separator/>
      </w:r>
    </w:p>
  </w:endnote>
  <w:endnote w:type="continuationSeparator" w:id="0">
    <w:p w:rsidR="00147D4D" w:rsidRDefault="0014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43" w:rsidRPr="00FB6743" w:rsidRDefault="00892978" w:rsidP="00FB6743">
    <w:pPr>
      <w:pStyle w:val="Footer"/>
      <w:jc w:val="both"/>
      <w:rPr>
        <w:rFonts w:ascii="Times New Roman" w:hAnsi="Times New Roman"/>
        <w:sz w:val="20"/>
        <w:szCs w:val="20"/>
      </w:rPr>
    </w:pPr>
    <w:r>
      <w:rPr>
        <w:rFonts w:ascii="Times New Roman" w:hAnsi="Times New Roman"/>
        <w:sz w:val="20"/>
        <w:szCs w:val="20"/>
      </w:rPr>
      <w:t>IE</w:t>
    </w:r>
    <w:r w:rsidRPr="00E526A7">
      <w:rPr>
        <w:rFonts w:ascii="Times New Roman" w:hAnsi="Times New Roman"/>
        <w:sz w:val="20"/>
        <w:szCs w:val="20"/>
      </w:rPr>
      <w:t>MAnot_</w:t>
    </w:r>
    <w:r>
      <w:rPr>
        <w:rFonts w:ascii="Times New Roman" w:hAnsi="Times New Roman"/>
        <w:sz w:val="20"/>
        <w:szCs w:val="20"/>
      </w:rPr>
      <w:t>25092020_prekursori</w:t>
    </w:r>
    <w:r w:rsidRPr="00E526A7">
      <w:rPr>
        <w:rFonts w:ascii="Times New Roman" w:hAnsi="Times New Roman"/>
        <w:sz w:val="20"/>
        <w:szCs w:val="20"/>
      </w:rPr>
      <w:t xml:space="preserve">; </w:t>
    </w:r>
    <w:r w:rsidRPr="00FE7429">
      <w:rPr>
        <w:rFonts w:ascii="Times New Roman" w:hAnsi="Times New Roman"/>
        <w:sz w:val="20"/>
        <w:szCs w:val="20"/>
      </w:rPr>
      <w:t>Likumprojekta „</w:t>
    </w:r>
    <w:r w:rsidRPr="00FB6743">
      <w:rPr>
        <w:rFonts w:ascii="Times New Roman" w:hAnsi="Times New Roman"/>
        <w:sz w:val="20"/>
        <w:szCs w:val="20"/>
      </w:rPr>
      <w:t>Grozījumi Administratīvo sodu likumā par pārkāpumiem pārvaldes, sabiedriskās kārtības un valsts valodas lietošanas jomā</w:t>
    </w:r>
    <w:r w:rsidRPr="00FE7429">
      <w:rPr>
        <w:rFonts w:ascii="Times New Roman" w:hAnsi="Times New Roman"/>
        <w:sz w:val="20"/>
        <w:szCs w:val="20"/>
      </w:rPr>
      <w:t xml:space="preserve">” </w:t>
    </w:r>
    <w:r w:rsidRPr="00E526A7">
      <w:rPr>
        <w:rFonts w:ascii="Times New Roman" w:hAnsi="Times New Roman"/>
        <w:bCs/>
        <w:sz w:val="20"/>
        <w:szCs w:val="20"/>
      </w:rPr>
      <w:t xml:space="preserve">sākotnējās ietekmes novērtējuma </w:t>
    </w:r>
    <w:smartTag w:uri="schemas-tilde-lv/tildestengine" w:element="veidnes">
      <w:smartTagPr>
        <w:attr w:name="id" w:val="-1"/>
        <w:attr w:name="baseform" w:val="ziņojums"/>
        <w:attr w:name="text" w:val="ziņojums"/>
      </w:smartTagPr>
      <w:r w:rsidRPr="00E526A7">
        <w:rPr>
          <w:rFonts w:ascii="Times New Roman" w:hAnsi="Times New Roman"/>
          <w:bCs/>
          <w:sz w:val="20"/>
          <w:szCs w:val="20"/>
        </w:rPr>
        <w:t>ziņojums</w:t>
      </w:r>
    </w:smartTag>
    <w:r w:rsidRPr="00E526A7">
      <w:rPr>
        <w:rFonts w:ascii="Times New Roman" w:hAnsi="Times New Roman"/>
        <w:bCs/>
        <w:sz w:val="20"/>
        <w:szCs w:val="20"/>
      </w:rPr>
      <w:t xml:space="preserve"> (anotācija)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07" w:rsidRPr="00DE743F" w:rsidRDefault="00FB6743" w:rsidP="00DE743F">
    <w:pPr>
      <w:pStyle w:val="Footer"/>
      <w:jc w:val="both"/>
      <w:rPr>
        <w:rFonts w:ascii="Times New Roman" w:hAnsi="Times New Roman"/>
        <w:sz w:val="20"/>
        <w:szCs w:val="20"/>
      </w:rPr>
    </w:pPr>
    <w:r>
      <w:rPr>
        <w:rFonts w:ascii="Times New Roman" w:hAnsi="Times New Roman"/>
        <w:sz w:val="20"/>
        <w:szCs w:val="20"/>
      </w:rPr>
      <w:t>I</w:t>
    </w:r>
    <w:r w:rsidR="00892978">
      <w:rPr>
        <w:rFonts w:ascii="Times New Roman" w:hAnsi="Times New Roman"/>
        <w:sz w:val="20"/>
        <w:szCs w:val="20"/>
      </w:rPr>
      <w:t>E</w:t>
    </w:r>
    <w:r w:rsidR="00DE743F" w:rsidRPr="00E526A7">
      <w:rPr>
        <w:rFonts w:ascii="Times New Roman" w:hAnsi="Times New Roman"/>
        <w:sz w:val="20"/>
        <w:szCs w:val="20"/>
      </w:rPr>
      <w:t>MAnot_</w:t>
    </w:r>
    <w:r w:rsidR="00892978">
      <w:rPr>
        <w:rFonts w:ascii="Times New Roman" w:hAnsi="Times New Roman"/>
        <w:sz w:val="20"/>
        <w:szCs w:val="20"/>
      </w:rPr>
      <w:t>25092020_p</w:t>
    </w:r>
    <w:r>
      <w:rPr>
        <w:rFonts w:ascii="Times New Roman" w:hAnsi="Times New Roman"/>
        <w:sz w:val="20"/>
        <w:szCs w:val="20"/>
      </w:rPr>
      <w:t>rekursori</w:t>
    </w:r>
    <w:r w:rsidR="00DE743F" w:rsidRPr="00E526A7">
      <w:rPr>
        <w:rFonts w:ascii="Times New Roman" w:hAnsi="Times New Roman"/>
        <w:sz w:val="20"/>
        <w:szCs w:val="20"/>
      </w:rPr>
      <w:t xml:space="preserve">; </w:t>
    </w:r>
    <w:r w:rsidR="00FE7429" w:rsidRPr="00FE7429">
      <w:rPr>
        <w:rFonts w:ascii="Times New Roman" w:hAnsi="Times New Roman"/>
        <w:sz w:val="20"/>
        <w:szCs w:val="20"/>
      </w:rPr>
      <w:t>Likumprojekta „</w:t>
    </w:r>
    <w:r w:rsidRPr="00FB6743">
      <w:rPr>
        <w:rFonts w:ascii="Times New Roman" w:hAnsi="Times New Roman"/>
        <w:sz w:val="20"/>
        <w:szCs w:val="20"/>
      </w:rPr>
      <w:t>Grozījumi Administratīvo sodu likumā par pārkāpumiem pārvaldes, sabiedriskās kārtības un valsts valodas lietošanas jomā</w:t>
    </w:r>
    <w:r w:rsidR="00FE7429" w:rsidRPr="00FE7429">
      <w:rPr>
        <w:rFonts w:ascii="Times New Roman" w:hAnsi="Times New Roman"/>
        <w:sz w:val="20"/>
        <w:szCs w:val="20"/>
      </w:rPr>
      <w:t xml:space="preserve">” </w:t>
    </w:r>
    <w:r w:rsidR="00DE743F" w:rsidRPr="00E526A7">
      <w:rPr>
        <w:rFonts w:ascii="Times New Roman" w:hAnsi="Times New Roman"/>
        <w:bCs/>
        <w:sz w:val="20"/>
        <w:szCs w:val="20"/>
      </w:rPr>
      <w:t xml:space="preserve">sākotnējās ietekmes novērtējuma </w:t>
    </w:r>
    <w:smartTag w:uri="schemas-tilde-lv/tildestengine" w:element="veidnes">
      <w:smartTagPr>
        <w:attr w:name="id" w:val="-1"/>
        <w:attr w:name="baseform" w:val="ziņojums"/>
        <w:attr w:name="text" w:val="ziņojums"/>
      </w:smartTagPr>
      <w:r w:rsidR="00DE743F" w:rsidRPr="00E526A7">
        <w:rPr>
          <w:rFonts w:ascii="Times New Roman" w:hAnsi="Times New Roman"/>
          <w:bCs/>
          <w:sz w:val="20"/>
          <w:szCs w:val="20"/>
        </w:rPr>
        <w:t>ziņojums</w:t>
      </w:r>
    </w:smartTag>
    <w:r w:rsidR="00DE743F" w:rsidRPr="00E526A7">
      <w:rPr>
        <w:rFonts w:ascii="Times New Roman" w:hAnsi="Times New Roman"/>
        <w:bCs/>
        <w:sz w:val="20"/>
        <w:szCs w:val="20"/>
      </w:rPr>
      <w:t xml:space="preserve"> (anotācija)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4D" w:rsidRDefault="00147D4D">
      <w:pPr>
        <w:spacing w:after="0" w:line="240" w:lineRule="auto"/>
      </w:pPr>
      <w:r>
        <w:separator/>
      </w:r>
    </w:p>
  </w:footnote>
  <w:footnote w:type="continuationSeparator" w:id="0">
    <w:p w:rsidR="00147D4D" w:rsidRDefault="0014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27355"/>
      <w:docPartObj>
        <w:docPartGallery w:val="Page Numbers (Top of Page)"/>
        <w:docPartUnique/>
      </w:docPartObj>
    </w:sdtPr>
    <w:sdtEndPr>
      <w:rPr>
        <w:noProof/>
      </w:rPr>
    </w:sdtEndPr>
    <w:sdtContent>
      <w:p w:rsidR="00283F55" w:rsidRDefault="002343EA">
        <w:pPr>
          <w:pStyle w:val="Header"/>
          <w:jc w:val="center"/>
        </w:pPr>
        <w:r>
          <w:fldChar w:fldCharType="begin"/>
        </w:r>
        <w:r>
          <w:instrText xml:space="preserve"> PAGE   \* MERGEFORMAT </w:instrText>
        </w:r>
        <w:r>
          <w:fldChar w:fldCharType="separate"/>
        </w:r>
        <w:r w:rsidR="00892978">
          <w:rPr>
            <w:noProof/>
          </w:rPr>
          <w:t>9</w:t>
        </w:r>
        <w:r>
          <w:rPr>
            <w:noProof/>
          </w:rPr>
          <w:fldChar w:fldCharType="end"/>
        </w:r>
      </w:p>
    </w:sdtContent>
  </w:sdt>
  <w:p w:rsidR="00892978" w:rsidRDefault="00892978" w:rsidP="00892978">
    <w:pPr>
      <w:pStyle w:val="Header"/>
    </w:pPr>
  </w:p>
  <w:p w:rsidR="00892978" w:rsidRDefault="00892978" w:rsidP="00892978"/>
  <w:p w:rsidR="00283F55" w:rsidRDefault="00892978" w:rsidP="00892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6C8C"/>
    <w:multiLevelType w:val="hybridMultilevel"/>
    <w:tmpl w:val="7FBCE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45"/>
    <w:rsid w:val="00014368"/>
    <w:rsid w:val="000239CD"/>
    <w:rsid w:val="00031DB7"/>
    <w:rsid w:val="000365DF"/>
    <w:rsid w:val="0003687F"/>
    <w:rsid w:val="00064B68"/>
    <w:rsid w:val="00065682"/>
    <w:rsid w:val="00071DD8"/>
    <w:rsid w:val="00074C0F"/>
    <w:rsid w:val="000913D6"/>
    <w:rsid w:val="0009145F"/>
    <w:rsid w:val="000A37CE"/>
    <w:rsid w:val="000B4B08"/>
    <w:rsid w:val="000B4E9B"/>
    <w:rsid w:val="000C1A66"/>
    <w:rsid w:val="000C683A"/>
    <w:rsid w:val="000D46E2"/>
    <w:rsid w:val="000F3423"/>
    <w:rsid w:val="000F5CB7"/>
    <w:rsid w:val="000F7439"/>
    <w:rsid w:val="00102A09"/>
    <w:rsid w:val="00110E23"/>
    <w:rsid w:val="0014765C"/>
    <w:rsid w:val="00147D4D"/>
    <w:rsid w:val="00161D1E"/>
    <w:rsid w:val="00174659"/>
    <w:rsid w:val="001857CC"/>
    <w:rsid w:val="00187C35"/>
    <w:rsid w:val="00197064"/>
    <w:rsid w:val="001A6B60"/>
    <w:rsid w:val="001B224A"/>
    <w:rsid w:val="001F5532"/>
    <w:rsid w:val="002010DC"/>
    <w:rsid w:val="00204606"/>
    <w:rsid w:val="002072DB"/>
    <w:rsid w:val="00220799"/>
    <w:rsid w:val="00224177"/>
    <w:rsid w:val="002276E9"/>
    <w:rsid w:val="002333C9"/>
    <w:rsid w:val="002343EA"/>
    <w:rsid w:val="00236BA1"/>
    <w:rsid w:val="002459D8"/>
    <w:rsid w:val="00255119"/>
    <w:rsid w:val="00262EDE"/>
    <w:rsid w:val="00275AE3"/>
    <w:rsid w:val="002A699B"/>
    <w:rsid w:val="002B734B"/>
    <w:rsid w:val="002C29E0"/>
    <w:rsid w:val="002C39D6"/>
    <w:rsid w:val="002C6B29"/>
    <w:rsid w:val="002D50E5"/>
    <w:rsid w:val="002F0995"/>
    <w:rsid w:val="002F519F"/>
    <w:rsid w:val="002F6BB8"/>
    <w:rsid w:val="00327603"/>
    <w:rsid w:val="00345187"/>
    <w:rsid w:val="00353365"/>
    <w:rsid w:val="00361FEB"/>
    <w:rsid w:val="00372D12"/>
    <w:rsid w:val="00381947"/>
    <w:rsid w:val="00390858"/>
    <w:rsid w:val="00390DD2"/>
    <w:rsid w:val="003A575B"/>
    <w:rsid w:val="003A6C2C"/>
    <w:rsid w:val="003C0D86"/>
    <w:rsid w:val="003C139D"/>
    <w:rsid w:val="003D2D0C"/>
    <w:rsid w:val="003D3E95"/>
    <w:rsid w:val="003D7D8A"/>
    <w:rsid w:val="00400415"/>
    <w:rsid w:val="00417D14"/>
    <w:rsid w:val="00426FFF"/>
    <w:rsid w:val="00431697"/>
    <w:rsid w:val="0043356D"/>
    <w:rsid w:val="004344F3"/>
    <w:rsid w:val="00445158"/>
    <w:rsid w:val="00453B07"/>
    <w:rsid w:val="00464086"/>
    <w:rsid w:val="00464F72"/>
    <w:rsid w:val="00481211"/>
    <w:rsid w:val="004830D9"/>
    <w:rsid w:val="004C0DDA"/>
    <w:rsid w:val="004D5661"/>
    <w:rsid w:val="004D6CCD"/>
    <w:rsid w:val="004F1727"/>
    <w:rsid w:val="0050639A"/>
    <w:rsid w:val="00520D3D"/>
    <w:rsid w:val="00526B45"/>
    <w:rsid w:val="00533840"/>
    <w:rsid w:val="0054056A"/>
    <w:rsid w:val="00587FF1"/>
    <w:rsid w:val="00594B92"/>
    <w:rsid w:val="005958E5"/>
    <w:rsid w:val="005970AF"/>
    <w:rsid w:val="0059771D"/>
    <w:rsid w:val="005A44F7"/>
    <w:rsid w:val="005A56ED"/>
    <w:rsid w:val="005B01BE"/>
    <w:rsid w:val="005C2209"/>
    <w:rsid w:val="005C6476"/>
    <w:rsid w:val="005D0031"/>
    <w:rsid w:val="005D05FC"/>
    <w:rsid w:val="005E7B15"/>
    <w:rsid w:val="005F31AF"/>
    <w:rsid w:val="005F3CC2"/>
    <w:rsid w:val="005F4909"/>
    <w:rsid w:val="006006A3"/>
    <w:rsid w:val="00600DB5"/>
    <w:rsid w:val="006202A6"/>
    <w:rsid w:val="00642259"/>
    <w:rsid w:val="00642701"/>
    <w:rsid w:val="00647164"/>
    <w:rsid w:val="006474E4"/>
    <w:rsid w:val="00666002"/>
    <w:rsid w:val="00681C99"/>
    <w:rsid w:val="006858D9"/>
    <w:rsid w:val="006A245D"/>
    <w:rsid w:val="006B147B"/>
    <w:rsid w:val="006B4B53"/>
    <w:rsid w:val="006B5671"/>
    <w:rsid w:val="006D3B45"/>
    <w:rsid w:val="00700D32"/>
    <w:rsid w:val="007046EB"/>
    <w:rsid w:val="007069C9"/>
    <w:rsid w:val="007172B0"/>
    <w:rsid w:val="00722636"/>
    <w:rsid w:val="007269F9"/>
    <w:rsid w:val="00734D17"/>
    <w:rsid w:val="007412E4"/>
    <w:rsid w:val="00754BCF"/>
    <w:rsid w:val="007572FC"/>
    <w:rsid w:val="00762330"/>
    <w:rsid w:val="007666A3"/>
    <w:rsid w:val="0077781C"/>
    <w:rsid w:val="00790875"/>
    <w:rsid w:val="007A254D"/>
    <w:rsid w:val="007A3675"/>
    <w:rsid w:val="007B5450"/>
    <w:rsid w:val="007C37B6"/>
    <w:rsid w:val="007C6852"/>
    <w:rsid w:val="007E234B"/>
    <w:rsid w:val="00800856"/>
    <w:rsid w:val="008109CD"/>
    <w:rsid w:val="00830D5C"/>
    <w:rsid w:val="008367B7"/>
    <w:rsid w:val="008367D9"/>
    <w:rsid w:val="00871CF8"/>
    <w:rsid w:val="008734E7"/>
    <w:rsid w:val="0087521C"/>
    <w:rsid w:val="00892978"/>
    <w:rsid w:val="008C7727"/>
    <w:rsid w:val="008C7ABB"/>
    <w:rsid w:val="0090224A"/>
    <w:rsid w:val="00912CD8"/>
    <w:rsid w:val="009132C0"/>
    <w:rsid w:val="009137A8"/>
    <w:rsid w:val="00932918"/>
    <w:rsid w:val="00934FE1"/>
    <w:rsid w:val="00956D32"/>
    <w:rsid w:val="00966162"/>
    <w:rsid w:val="00974EF7"/>
    <w:rsid w:val="0097604D"/>
    <w:rsid w:val="00995586"/>
    <w:rsid w:val="0099778F"/>
    <w:rsid w:val="009A47B5"/>
    <w:rsid w:val="009B389C"/>
    <w:rsid w:val="009B4250"/>
    <w:rsid w:val="009B52FA"/>
    <w:rsid w:val="009C6EE8"/>
    <w:rsid w:val="009D74B8"/>
    <w:rsid w:val="009E1BEE"/>
    <w:rsid w:val="009E30AC"/>
    <w:rsid w:val="009F1B0F"/>
    <w:rsid w:val="009F1D22"/>
    <w:rsid w:val="009F648F"/>
    <w:rsid w:val="00A00C3E"/>
    <w:rsid w:val="00A262C0"/>
    <w:rsid w:val="00A300BC"/>
    <w:rsid w:val="00A308B4"/>
    <w:rsid w:val="00A3258A"/>
    <w:rsid w:val="00A44287"/>
    <w:rsid w:val="00A50DEA"/>
    <w:rsid w:val="00A55254"/>
    <w:rsid w:val="00A705CE"/>
    <w:rsid w:val="00A878D8"/>
    <w:rsid w:val="00A90EA9"/>
    <w:rsid w:val="00A91FF3"/>
    <w:rsid w:val="00AA1B95"/>
    <w:rsid w:val="00AA7B27"/>
    <w:rsid w:val="00AB555B"/>
    <w:rsid w:val="00AC0238"/>
    <w:rsid w:val="00AD155E"/>
    <w:rsid w:val="00AD2E12"/>
    <w:rsid w:val="00AE089B"/>
    <w:rsid w:val="00AE3A3E"/>
    <w:rsid w:val="00B01C38"/>
    <w:rsid w:val="00B05308"/>
    <w:rsid w:val="00B25053"/>
    <w:rsid w:val="00B46DE4"/>
    <w:rsid w:val="00B4756E"/>
    <w:rsid w:val="00B60AB3"/>
    <w:rsid w:val="00B74601"/>
    <w:rsid w:val="00B81CFE"/>
    <w:rsid w:val="00BB1ECD"/>
    <w:rsid w:val="00BB4AC6"/>
    <w:rsid w:val="00BC696F"/>
    <w:rsid w:val="00BD0F4F"/>
    <w:rsid w:val="00BE1543"/>
    <w:rsid w:val="00BF33A7"/>
    <w:rsid w:val="00BF76B7"/>
    <w:rsid w:val="00C005FE"/>
    <w:rsid w:val="00C12F4F"/>
    <w:rsid w:val="00C2475D"/>
    <w:rsid w:val="00C36C1F"/>
    <w:rsid w:val="00C46F84"/>
    <w:rsid w:val="00C528BE"/>
    <w:rsid w:val="00C70B72"/>
    <w:rsid w:val="00C90548"/>
    <w:rsid w:val="00C930FC"/>
    <w:rsid w:val="00CA2366"/>
    <w:rsid w:val="00CD03B2"/>
    <w:rsid w:val="00CD2DE5"/>
    <w:rsid w:val="00CD58CB"/>
    <w:rsid w:val="00CE473F"/>
    <w:rsid w:val="00D01DE6"/>
    <w:rsid w:val="00D16840"/>
    <w:rsid w:val="00D267AF"/>
    <w:rsid w:val="00D26CF7"/>
    <w:rsid w:val="00D36DEC"/>
    <w:rsid w:val="00D40955"/>
    <w:rsid w:val="00D440DA"/>
    <w:rsid w:val="00D6009B"/>
    <w:rsid w:val="00D638A7"/>
    <w:rsid w:val="00D81FC2"/>
    <w:rsid w:val="00D9455E"/>
    <w:rsid w:val="00D9522A"/>
    <w:rsid w:val="00DA7279"/>
    <w:rsid w:val="00DB192C"/>
    <w:rsid w:val="00DD037C"/>
    <w:rsid w:val="00DD1222"/>
    <w:rsid w:val="00DE743F"/>
    <w:rsid w:val="00E0218D"/>
    <w:rsid w:val="00E122E6"/>
    <w:rsid w:val="00E25EF1"/>
    <w:rsid w:val="00E30BBA"/>
    <w:rsid w:val="00E42B13"/>
    <w:rsid w:val="00E526A7"/>
    <w:rsid w:val="00E817ED"/>
    <w:rsid w:val="00E81E62"/>
    <w:rsid w:val="00E842C9"/>
    <w:rsid w:val="00E86332"/>
    <w:rsid w:val="00E919AF"/>
    <w:rsid w:val="00E94499"/>
    <w:rsid w:val="00EA4017"/>
    <w:rsid w:val="00EB5815"/>
    <w:rsid w:val="00EB741D"/>
    <w:rsid w:val="00EB75DC"/>
    <w:rsid w:val="00ED3699"/>
    <w:rsid w:val="00ED4D7A"/>
    <w:rsid w:val="00EF0342"/>
    <w:rsid w:val="00EF107A"/>
    <w:rsid w:val="00EF53DC"/>
    <w:rsid w:val="00EF5A56"/>
    <w:rsid w:val="00F03080"/>
    <w:rsid w:val="00F23D9C"/>
    <w:rsid w:val="00F31042"/>
    <w:rsid w:val="00F32A51"/>
    <w:rsid w:val="00F51C0A"/>
    <w:rsid w:val="00F5308B"/>
    <w:rsid w:val="00F53A62"/>
    <w:rsid w:val="00F53A90"/>
    <w:rsid w:val="00F55D23"/>
    <w:rsid w:val="00F72996"/>
    <w:rsid w:val="00F819BE"/>
    <w:rsid w:val="00FB5C89"/>
    <w:rsid w:val="00FB6743"/>
    <w:rsid w:val="00FC17F5"/>
    <w:rsid w:val="00FD32ED"/>
    <w:rsid w:val="00FE1814"/>
    <w:rsid w:val="00FE7429"/>
    <w:rsid w:val="00FF5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81"/>
    <o:shapelayout v:ext="edit">
      <o:idmap v:ext="edit" data="1"/>
    </o:shapelayout>
  </w:shapeDefaults>
  <w:decimalSymbol w:val=","/>
  <w:listSeparator w:val=";"/>
  <w14:docId w14:val="0C0F1AFB"/>
  <w15:chartTrackingRefBased/>
  <w15:docId w15:val="{6F8AF5E3-5909-48C4-B886-D5F897AE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B45"/>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4D5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D3B45"/>
    <w:pPr>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6D3B45"/>
    <w:rPr>
      <w:rFonts w:ascii="Times New Roman" w:eastAsia="Times New Roman" w:hAnsi="Times New Roman" w:cs="Times New Roman"/>
      <w:sz w:val="24"/>
      <w:szCs w:val="24"/>
      <w:lang w:val="en-GB"/>
    </w:rPr>
  </w:style>
  <w:style w:type="paragraph" w:styleId="NoSpacing">
    <w:name w:val="No Spacing"/>
    <w:qFormat/>
    <w:rsid w:val="006D3B45"/>
    <w:pPr>
      <w:spacing w:after="0" w:line="240" w:lineRule="auto"/>
    </w:pPr>
    <w:rPr>
      <w:rFonts w:ascii="Calibri" w:eastAsia="Calibri" w:hAnsi="Calibri" w:cs="Times New Roman"/>
      <w:lang w:val="en-US"/>
    </w:rPr>
  </w:style>
  <w:style w:type="character" w:customStyle="1" w:styleId="naisfChar">
    <w:name w:val="naisf Char"/>
    <w:link w:val="naisf"/>
    <w:locked/>
    <w:rsid w:val="006D3B45"/>
    <w:rPr>
      <w:rFonts w:ascii="Times New Roman" w:eastAsia="Times New Roman" w:hAnsi="Times New Roman" w:cs="Times New Roman"/>
      <w:sz w:val="24"/>
      <w:szCs w:val="24"/>
    </w:rPr>
  </w:style>
  <w:style w:type="paragraph" w:customStyle="1" w:styleId="naisf">
    <w:name w:val="naisf"/>
    <w:basedOn w:val="Normal"/>
    <w:link w:val="naisfChar"/>
    <w:rsid w:val="006D3B45"/>
    <w:pPr>
      <w:spacing w:before="100" w:beforeAutospacing="1" w:after="100" w:afterAutospacing="1" w:line="240" w:lineRule="auto"/>
    </w:pPr>
    <w:rPr>
      <w:rFonts w:ascii="Times New Roman" w:eastAsia="Times New Roman" w:hAnsi="Times New Roman"/>
      <w:sz w:val="24"/>
      <w:szCs w:val="24"/>
    </w:rPr>
  </w:style>
  <w:style w:type="paragraph" w:customStyle="1" w:styleId="naisnod">
    <w:name w:val="naisnod"/>
    <w:basedOn w:val="Normal"/>
    <w:uiPriority w:val="99"/>
    <w:rsid w:val="006D3B4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21">
    <w:name w:val="tv2121"/>
    <w:basedOn w:val="Normal"/>
    <w:rsid w:val="006D3B45"/>
    <w:pPr>
      <w:spacing w:before="400" w:after="0" w:line="360" w:lineRule="auto"/>
      <w:jc w:val="center"/>
    </w:pPr>
    <w:rPr>
      <w:rFonts w:ascii="Verdana" w:eastAsia="Times New Roman" w:hAnsi="Verdana"/>
      <w:b/>
      <w:bCs/>
      <w:sz w:val="20"/>
      <w:szCs w:val="20"/>
      <w:lang w:eastAsia="lv-LV"/>
    </w:rPr>
  </w:style>
  <w:style w:type="table" w:styleId="TableGrid">
    <w:name w:val="Table Grid"/>
    <w:basedOn w:val="TableNormal"/>
    <w:uiPriority w:val="59"/>
    <w:rsid w:val="006D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D3B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B45"/>
    <w:rPr>
      <w:rFonts w:ascii="Calibri" w:eastAsia="Calibri" w:hAnsi="Calibri" w:cs="Times New Roman"/>
    </w:rPr>
  </w:style>
  <w:style w:type="paragraph" w:customStyle="1" w:styleId="naisc">
    <w:name w:val="naisc"/>
    <w:basedOn w:val="Normal"/>
    <w:rsid w:val="006D3B45"/>
    <w:pPr>
      <w:spacing w:before="75" w:after="75" w:line="240" w:lineRule="auto"/>
      <w:jc w:val="center"/>
    </w:pPr>
    <w:rPr>
      <w:rFonts w:ascii="Times New Roman" w:eastAsia="Times New Roman" w:hAnsi="Times New Roman"/>
      <w:sz w:val="24"/>
      <w:szCs w:val="24"/>
      <w:lang w:eastAsia="lv-LV"/>
    </w:rPr>
  </w:style>
  <w:style w:type="paragraph" w:styleId="BodyTextIndent">
    <w:name w:val="Body Text Indent"/>
    <w:basedOn w:val="Normal"/>
    <w:link w:val="BodyTextIndentChar"/>
    <w:uiPriority w:val="99"/>
    <w:semiHidden/>
    <w:unhideWhenUsed/>
    <w:rsid w:val="006D3B45"/>
    <w:pPr>
      <w:spacing w:after="120"/>
      <w:ind w:left="283"/>
    </w:pPr>
  </w:style>
  <w:style w:type="character" w:customStyle="1" w:styleId="BodyTextIndentChar">
    <w:name w:val="Body Text Indent Char"/>
    <w:basedOn w:val="DefaultParagraphFont"/>
    <w:link w:val="BodyTextIndent"/>
    <w:uiPriority w:val="99"/>
    <w:semiHidden/>
    <w:rsid w:val="006D3B45"/>
    <w:rPr>
      <w:rFonts w:ascii="Calibri" w:eastAsia="Calibri" w:hAnsi="Calibri" w:cs="Times New Roman"/>
    </w:rPr>
  </w:style>
  <w:style w:type="paragraph" w:styleId="FootnoteText">
    <w:name w:val="footnote text"/>
    <w:basedOn w:val="Normal"/>
    <w:link w:val="FootnoteTextChar"/>
    <w:semiHidden/>
    <w:rsid w:val="005A44F7"/>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semiHidden/>
    <w:rsid w:val="005A44F7"/>
    <w:rPr>
      <w:rFonts w:ascii="Times New Roman" w:eastAsia="Times New Roman" w:hAnsi="Times New Roman" w:cs="Times New Roman"/>
      <w:sz w:val="20"/>
      <w:szCs w:val="20"/>
      <w:lang w:eastAsia="lv-LV"/>
    </w:rPr>
  </w:style>
  <w:style w:type="paragraph" w:customStyle="1" w:styleId="naiskr">
    <w:name w:val="naiskr"/>
    <w:basedOn w:val="Normal"/>
    <w:uiPriority w:val="99"/>
    <w:rsid w:val="00224177"/>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rsid w:val="00464F72"/>
    <w:pPr>
      <w:spacing w:line="240" w:lineRule="auto"/>
    </w:pPr>
    <w:rPr>
      <w:sz w:val="20"/>
      <w:szCs w:val="20"/>
    </w:rPr>
  </w:style>
  <w:style w:type="character" w:customStyle="1" w:styleId="CommentTextChar">
    <w:name w:val="Comment Text Char"/>
    <w:basedOn w:val="DefaultParagraphFont"/>
    <w:link w:val="CommentText"/>
    <w:uiPriority w:val="99"/>
    <w:semiHidden/>
    <w:rsid w:val="00464F72"/>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464F72"/>
    <w:pPr>
      <w:spacing w:after="0"/>
    </w:pPr>
    <w:rPr>
      <w:rFonts w:ascii="Times New Roman" w:eastAsia="Times New Roman" w:hAnsi="Times New Roman"/>
      <w:b/>
      <w:bCs/>
      <w:lang w:eastAsia="lv-LV"/>
    </w:rPr>
  </w:style>
  <w:style w:type="character" w:customStyle="1" w:styleId="CommentSubjectChar">
    <w:name w:val="Comment Subject Char"/>
    <w:basedOn w:val="CommentTextChar"/>
    <w:link w:val="CommentSubject"/>
    <w:semiHidden/>
    <w:rsid w:val="00464F72"/>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4004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0415"/>
    <w:rPr>
      <w:rFonts w:ascii="Calibri" w:eastAsia="Calibri" w:hAnsi="Calibri" w:cs="Times New Roman"/>
    </w:rPr>
  </w:style>
  <w:style w:type="paragraph" w:styleId="NormalWeb">
    <w:name w:val="Normal (Web)"/>
    <w:basedOn w:val="Normal"/>
    <w:uiPriority w:val="99"/>
    <w:semiHidden/>
    <w:unhideWhenUsed/>
    <w:rsid w:val="0054056A"/>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42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B13"/>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4D5661"/>
    <w:rPr>
      <w:rFonts w:asciiTheme="majorHAnsi" w:eastAsiaTheme="majorEastAsia" w:hAnsiTheme="majorHAnsi" w:cstheme="majorBidi"/>
      <w:color w:val="1F4D78" w:themeColor="accent1" w:themeShade="7F"/>
      <w:sz w:val="24"/>
      <w:szCs w:val="24"/>
    </w:rPr>
  </w:style>
  <w:style w:type="paragraph" w:customStyle="1" w:styleId="CM1">
    <w:name w:val="CM1"/>
    <w:basedOn w:val="Normal"/>
    <w:next w:val="Normal"/>
    <w:uiPriority w:val="99"/>
    <w:rsid w:val="00F53A90"/>
    <w:pPr>
      <w:autoSpaceDE w:val="0"/>
      <w:autoSpaceDN w:val="0"/>
      <w:adjustRightInd w:val="0"/>
      <w:spacing w:after="0" w:line="240" w:lineRule="auto"/>
    </w:pPr>
    <w:rPr>
      <w:rFonts w:ascii="EUAlbertina" w:eastAsiaTheme="minorHAnsi" w:hAnsi="EUAlbertina" w:cstheme="minorBidi"/>
      <w:sz w:val="24"/>
      <w:szCs w:val="24"/>
    </w:rPr>
  </w:style>
  <w:style w:type="paragraph" w:customStyle="1" w:styleId="CM3">
    <w:name w:val="CM3"/>
    <w:basedOn w:val="Normal"/>
    <w:next w:val="Normal"/>
    <w:uiPriority w:val="99"/>
    <w:rsid w:val="00F53A90"/>
    <w:pPr>
      <w:autoSpaceDE w:val="0"/>
      <w:autoSpaceDN w:val="0"/>
      <w:adjustRightInd w:val="0"/>
      <w:spacing w:after="0" w:line="240" w:lineRule="auto"/>
    </w:pPr>
    <w:rPr>
      <w:rFonts w:ascii="EUAlbertina" w:eastAsiaTheme="minorHAnsi" w:hAnsi="EUAlbertina" w:cstheme="minorBidi"/>
      <w:sz w:val="24"/>
      <w:szCs w:val="24"/>
    </w:rPr>
  </w:style>
  <w:style w:type="paragraph" w:customStyle="1" w:styleId="tvhtml">
    <w:name w:val="tv_html"/>
    <w:basedOn w:val="Normal"/>
    <w:rsid w:val="00F0308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F03080"/>
  </w:style>
  <w:style w:type="character" w:styleId="Hyperlink">
    <w:name w:val="Hyperlink"/>
    <w:basedOn w:val="DefaultParagraphFont"/>
    <w:uiPriority w:val="99"/>
    <w:unhideWhenUsed/>
    <w:rsid w:val="00F03080"/>
    <w:rPr>
      <w:color w:val="0000FF"/>
      <w:u w:val="single"/>
    </w:rPr>
  </w:style>
  <w:style w:type="paragraph" w:styleId="Title">
    <w:name w:val="Title"/>
    <w:basedOn w:val="Normal"/>
    <w:link w:val="TitleChar"/>
    <w:qFormat/>
    <w:rsid w:val="00426FFF"/>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426FFF"/>
    <w:rPr>
      <w:rFonts w:ascii="Times New Roman" w:eastAsia="Times New Roman" w:hAnsi="Times New Roman" w:cs="Times New Roman"/>
      <w:sz w:val="28"/>
      <w:szCs w:val="20"/>
    </w:rPr>
  </w:style>
  <w:style w:type="character" w:styleId="FootnoteReference">
    <w:name w:val="footnote reference"/>
    <w:basedOn w:val="DefaultParagraphFont"/>
    <w:uiPriority w:val="99"/>
    <w:semiHidden/>
    <w:unhideWhenUsed/>
    <w:rsid w:val="00932918"/>
    <w:rPr>
      <w:vertAlign w:val="superscript"/>
    </w:rPr>
  </w:style>
  <w:style w:type="paragraph" w:styleId="ListParagraph">
    <w:name w:val="List Paragraph"/>
    <w:basedOn w:val="Normal"/>
    <w:uiPriority w:val="34"/>
    <w:qFormat/>
    <w:rsid w:val="00074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4303">
      <w:bodyDiv w:val="1"/>
      <w:marLeft w:val="0"/>
      <w:marRight w:val="0"/>
      <w:marTop w:val="0"/>
      <w:marBottom w:val="0"/>
      <w:divBdr>
        <w:top w:val="none" w:sz="0" w:space="0" w:color="auto"/>
        <w:left w:val="none" w:sz="0" w:space="0" w:color="auto"/>
        <w:bottom w:val="none" w:sz="0" w:space="0" w:color="auto"/>
        <w:right w:val="none" w:sz="0" w:space="0" w:color="auto"/>
      </w:divBdr>
    </w:div>
    <w:div w:id="1258246620">
      <w:bodyDiv w:val="1"/>
      <w:marLeft w:val="0"/>
      <w:marRight w:val="0"/>
      <w:marTop w:val="0"/>
      <w:marBottom w:val="0"/>
      <w:divBdr>
        <w:top w:val="none" w:sz="0" w:space="0" w:color="auto"/>
        <w:left w:val="none" w:sz="0" w:space="0" w:color="auto"/>
        <w:bottom w:val="none" w:sz="0" w:space="0" w:color="auto"/>
        <w:right w:val="none" w:sz="0" w:space="0" w:color="auto"/>
      </w:divBdr>
    </w:div>
    <w:div w:id="1390037681">
      <w:bodyDiv w:val="1"/>
      <w:marLeft w:val="0"/>
      <w:marRight w:val="0"/>
      <w:marTop w:val="0"/>
      <w:marBottom w:val="0"/>
      <w:divBdr>
        <w:top w:val="none" w:sz="0" w:space="0" w:color="auto"/>
        <w:left w:val="none" w:sz="0" w:space="0" w:color="auto"/>
        <w:bottom w:val="none" w:sz="0" w:space="0" w:color="auto"/>
        <w:right w:val="none" w:sz="0" w:space="0" w:color="auto"/>
      </w:divBdr>
    </w:div>
    <w:div w:id="1403867720">
      <w:bodyDiv w:val="1"/>
      <w:marLeft w:val="0"/>
      <w:marRight w:val="0"/>
      <w:marTop w:val="0"/>
      <w:marBottom w:val="0"/>
      <w:divBdr>
        <w:top w:val="none" w:sz="0" w:space="0" w:color="auto"/>
        <w:left w:val="none" w:sz="0" w:space="0" w:color="auto"/>
        <w:bottom w:val="none" w:sz="0" w:space="0" w:color="auto"/>
        <w:right w:val="none" w:sz="0" w:space="0" w:color="auto"/>
      </w:divBdr>
    </w:div>
    <w:div w:id="17669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ja.pavluka@ie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9EDF-D7D8-451D-AC8A-5227720E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Pages>
  <Words>11186</Words>
  <Characters>6377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Ministru kabineta noteikumu projekta „Par Latvijas Republikas valdības un Armēnijas Republikas valdības protokolu par Nolīguma starp Eiropas Savienību un Armēnijas Republiku par tādu personu atpakaļuzņemšanu, kuras uzturas neatļauti, īstenošanu” sākotnējā</vt:lpstr>
    </vt:vector>
  </TitlesOfParts>
  <Company>IeM</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„Par Latvijas Republikas valdības un Armēnijas Republikas valdības protokolu par Nolīguma starp Eiropas Savienību un Armēnijas Republiku par tādu personu atpakaļuzņemšanu, kuras uzturas neatļauti, īstenošanu” sākotnējās ietekmes novērtējuma ziņojums (anotācija)</dc:title>
  <dc:subject>Anotācija</dc:subject>
  <dc:creator>Aleksejs Niščaks</dc:creator>
  <cp:keywords/>
  <dc:description>aleksejs.niscaks@iem.gov.lv; 67219179</dc:description>
  <cp:lastModifiedBy>Karina Zagoskina</cp:lastModifiedBy>
  <cp:revision>26</cp:revision>
  <cp:lastPrinted>2020-09-22T13:21:00Z</cp:lastPrinted>
  <dcterms:created xsi:type="dcterms:W3CDTF">2020-09-18T08:06:00Z</dcterms:created>
  <dcterms:modified xsi:type="dcterms:W3CDTF">2020-09-25T11:58:00Z</dcterms:modified>
</cp:coreProperties>
</file>