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D4" w:rsidRDefault="00B642D4" w:rsidP="00015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2D4" w:rsidRPr="00B642D4" w:rsidRDefault="00B642D4" w:rsidP="00B642D4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2D4">
        <w:rPr>
          <w:rFonts w:ascii="Times New Roman" w:hAnsi="Times New Roman" w:cs="Times New Roman"/>
          <w:b/>
          <w:sz w:val="28"/>
          <w:szCs w:val="28"/>
        </w:rPr>
        <w:t>Grozījum</w:t>
      </w:r>
      <w:r w:rsidR="00466669">
        <w:rPr>
          <w:rFonts w:ascii="Times New Roman" w:hAnsi="Times New Roman" w:cs="Times New Roman"/>
          <w:b/>
          <w:sz w:val="28"/>
          <w:szCs w:val="28"/>
        </w:rPr>
        <w:t>i</w:t>
      </w:r>
      <w:r w:rsidRPr="00B642D4">
        <w:rPr>
          <w:rFonts w:ascii="Times New Roman" w:hAnsi="Times New Roman" w:cs="Times New Roman"/>
          <w:b/>
          <w:sz w:val="28"/>
          <w:szCs w:val="28"/>
        </w:rPr>
        <w:t xml:space="preserve"> Administratīvo sodu likumā par pārkāpumiem pārvaldes, sabiedriskās kārtības un valsts valodas lietošanas jomā</w:t>
      </w:r>
    </w:p>
    <w:p w:rsidR="00B642D4" w:rsidRPr="00B642D4" w:rsidRDefault="00B642D4" w:rsidP="00B642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25B8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Izdarīt</w:t>
      </w:r>
      <w:r w:rsidRPr="00474191">
        <w:rPr>
          <w:bCs/>
          <w:sz w:val="28"/>
          <w:szCs w:val="28"/>
        </w:rPr>
        <w:t xml:space="preserve"> Administratīvo sodu likumā par pārkāpumiem pārvaldes, sabiedriskās kārtības un valsts valodas lietošanas jomā</w:t>
      </w:r>
      <w:r>
        <w:rPr>
          <w:bCs/>
          <w:sz w:val="28"/>
          <w:szCs w:val="28"/>
        </w:rPr>
        <w:t xml:space="preserve"> (Latvijas Vēstnesis, 2020, 96</w:t>
      </w:r>
      <w:r w:rsidRPr="000761F5">
        <w:rPr>
          <w:bCs/>
          <w:sz w:val="28"/>
          <w:szCs w:val="28"/>
        </w:rPr>
        <w:t xml:space="preserve">. nr.) </w:t>
      </w:r>
      <w:r>
        <w:rPr>
          <w:bCs/>
          <w:sz w:val="28"/>
          <w:szCs w:val="28"/>
        </w:rPr>
        <w:t xml:space="preserve"> šādus grozījumus:</w:t>
      </w:r>
    </w:p>
    <w:p w:rsidR="00EA71EC" w:rsidRDefault="00EA71EC" w:rsidP="00EA71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6F25B8" w:rsidRDefault="006F25B8" w:rsidP="00EA71EC">
      <w:pPr>
        <w:pStyle w:val="tv213"/>
        <w:numPr>
          <w:ilvl w:val="0"/>
          <w:numId w:val="3"/>
        </w:numPr>
        <w:spacing w:before="0" w:beforeAutospacing="0" w:after="0" w:afterAutospacing="0"/>
        <w:ind w:left="0" w:firstLine="720"/>
        <w:rPr>
          <w:bCs/>
          <w:sz w:val="28"/>
          <w:szCs w:val="28"/>
        </w:rPr>
      </w:pPr>
      <w:r w:rsidRPr="00354586">
        <w:rPr>
          <w:bCs/>
          <w:sz w:val="28"/>
          <w:szCs w:val="28"/>
        </w:rPr>
        <w:t xml:space="preserve"> Papi</w:t>
      </w:r>
      <w:r>
        <w:rPr>
          <w:bCs/>
          <w:sz w:val="28"/>
          <w:szCs w:val="28"/>
        </w:rPr>
        <w:t>ldināt likumu ar 13.</w:t>
      </w:r>
      <w:r w:rsidRPr="00354586">
        <w:rPr>
          <w:bCs/>
          <w:sz w:val="28"/>
          <w:szCs w:val="28"/>
          <w:vertAlign w:val="superscript"/>
        </w:rPr>
        <w:t>1</w:t>
      </w:r>
      <w:r w:rsidR="00031BB6">
        <w:rPr>
          <w:bCs/>
          <w:sz w:val="28"/>
          <w:szCs w:val="28"/>
          <w:vertAlign w:val="superscript"/>
        </w:rPr>
        <w:t xml:space="preserve"> </w:t>
      </w:r>
      <w:r w:rsidR="00031BB6">
        <w:rPr>
          <w:sz w:val="28"/>
          <w:szCs w:val="28"/>
        </w:rPr>
        <w:t>un 13.</w:t>
      </w:r>
      <w:r w:rsidR="00031BB6" w:rsidRPr="00031BB6">
        <w:rPr>
          <w:sz w:val="28"/>
          <w:szCs w:val="28"/>
          <w:vertAlign w:val="superscript"/>
        </w:rPr>
        <w:t>2</w:t>
      </w:r>
      <w:r w:rsidR="00031BB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pantu šādā redakcijā:</w:t>
      </w:r>
    </w:p>
    <w:p w:rsidR="00EA71EC" w:rsidRDefault="00EA71EC" w:rsidP="00EA71EC">
      <w:pPr>
        <w:pStyle w:val="tv213"/>
        <w:spacing w:before="0" w:beforeAutospacing="0" w:after="0" w:afterAutospacing="0"/>
        <w:ind w:left="720"/>
        <w:rPr>
          <w:bCs/>
          <w:sz w:val="28"/>
          <w:szCs w:val="28"/>
        </w:rPr>
      </w:pPr>
    </w:p>
    <w:p w:rsidR="006F25B8" w:rsidRPr="00354586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b/>
        </w:rPr>
      </w:pPr>
      <w:r w:rsidRPr="00354586">
        <w:rPr>
          <w:b/>
          <w:bCs/>
          <w:sz w:val="28"/>
          <w:szCs w:val="28"/>
        </w:rPr>
        <w:t>“13.</w:t>
      </w:r>
      <w:r w:rsidRPr="00354586">
        <w:rPr>
          <w:b/>
          <w:bCs/>
          <w:sz w:val="28"/>
          <w:szCs w:val="28"/>
          <w:vertAlign w:val="superscript"/>
        </w:rPr>
        <w:t xml:space="preserve">1 </w:t>
      </w:r>
      <w:r w:rsidRPr="00354586">
        <w:rPr>
          <w:b/>
          <w:bCs/>
          <w:sz w:val="28"/>
          <w:szCs w:val="28"/>
        </w:rPr>
        <w:t>pants.  Ierobežotu sprāgstvielu prekursoru neatļauta pārdošana, nodošana, iegādāšanās un glabāšana</w:t>
      </w:r>
    </w:p>
    <w:p w:rsidR="006F25B8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F25B8" w:rsidRPr="00354586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4586">
        <w:rPr>
          <w:sz w:val="28"/>
          <w:szCs w:val="28"/>
        </w:rPr>
        <w:t>(1) Par ierobežotu sprāgstvielu prekursoru pārdošanu vai nodošanu personām, kuras nav tiesī</w:t>
      </w:r>
      <w:r>
        <w:rPr>
          <w:sz w:val="28"/>
          <w:szCs w:val="28"/>
        </w:rPr>
        <w:t xml:space="preserve">gas tos iegādāties vai glabāt, piemēro </w:t>
      </w:r>
      <w:r w:rsidRPr="00354586">
        <w:rPr>
          <w:sz w:val="28"/>
          <w:szCs w:val="28"/>
        </w:rPr>
        <w:t xml:space="preserve">naudas sodu fiziskajām personām no </w:t>
      </w:r>
      <w:r>
        <w:rPr>
          <w:sz w:val="28"/>
          <w:szCs w:val="28"/>
        </w:rPr>
        <w:t>septiņām</w:t>
      </w:r>
      <w:r w:rsidRPr="00354586">
        <w:rPr>
          <w:sz w:val="28"/>
          <w:szCs w:val="28"/>
        </w:rPr>
        <w:t xml:space="preserve"> līdz </w:t>
      </w:r>
      <w:r>
        <w:rPr>
          <w:sz w:val="28"/>
          <w:szCs w:val="28"/>
        </w:rPr>
        <w:t>simt četrdesmit naudas soda vienībām</w:t>
      </w:r>
      <w:r w:rsidRPr="00354586">
        <w:rPr>
          <w:sz w:val="28"/>
          <w:szCs w:val="28"/>
        </w:rPr>
        <w:t xml:space="preserve">, bet juridiskajām personām — no </w:t>
      </w:r>
      <w:r>
        <w:rPr>
          <w:sz w:val="28"/>
          <w:szCs w:val="28"/>
        </w:rPr>
        <w:t xml:space="preserve">četrpadsmit </w:t>
      </w:r>
      <w:r w:rsidRPr="00354586">
        <w:rPr>
          <w:sz w:val="28"/>
          <w:szCs w:val="28"/>
        </w:rPr>
        <w:t xml:space="preserve">līdz </w:t>
      </w:r>
      <w:r>
        <w:rPr>
          <w:sz w:val="28"/>
          <w:szCs w:val="28"/>
        </w:rPr>
        <w:t xml:space="preserve">tūkstoš četri simti divdesmit naudas soda vienībām. </w:t>
      </w:r>
      <w:r w:rsidRPr="00354586">
        <w:rPr>
          <w:sz w:val="28"/>
          <w:szCs w:val="28"/>
        </w:rPr>
        <w:t xml:space="preserve"> </w:t>
      </w:r>
    </w:p>
    <w:p w:rsidR="006F25B8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4586">
        <w:rPr>
          <w:sz w:val="28"/>
          <w:szCs w:val="28"/>
        </w:rPr>
        <w:t>(2) Par ierobežotu sprāgstvielu pr</w:t>
      </w:r>
      <w:r>
        <w:rPr>
          <w:sz w:val="28"/>
          <w:szCs w:val="28"/>
        </w:rPr>
        <w:t xml:space="preserve">ekursoru neatļautu iegādāšanos piemēro </w:t>
      </w:r>
      <w:r w:rsidRPr="00354586">
        <w:rPr>
          <w:sz w:val="28"/>
          <w:szCs w:val="28"/>
        </w:rPr>
        <w:t xml:space="preserve">naudas sodu no </w:t>
      </w:r>
      <w:r>
        <w:rPr>
          <w:sz w:val="28"/>
          <w:szCs w:val="28"/>
        </w:rPr>
        <w:t>septiņām</w:t>
      </w:r>
      <w:r w:rsidRPr="00354586">
        <w:rPr>
          <w:sz w:val="28"/>
          <w:szCs w:val="28"/>
        </w:rPr>
        <w:t xml:space="preserve"> līdz </w:t>
      </w:r>
      <w:r>
        <w:rPr>
          <w:sz w:val="28"/>
          <w:szCs w:val="28"/>
        </w:rPr>
        <w:t>simt četrdesmit naudas soda vienībām.</w:t>
      </w:r>
    </w:p>
    <w:p w:rsidR="006F25B8" w:rsidRPr="00545B55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4586">
        <w:rPr>
          <w:sz w:val="28"/>
          <w:szCs w:val="28"/>
        </w:rPr>
        <w:t>(3) Par ierobežotu sprāgstvielu prekursoru neatļautu glabāšanu</w:t>
      </w:r>
      <w:r>
        <w:rPr>
          <w:sz w:val="28"/>
          <w:szCs w:val="28"/>
        </w:rPr>
        <w:t xml:space="preserve"> piemēro </w:t>
      </w:r>
      <w:r w:rsidRPr="00354586">
        <w:rPr>
          <w:sz w:val="28"/>
          <w:szCs w:val="28"/>
        </w:rPr>
        <w:t xml:space="preserve">naudas sodu no </w:t>
      </w:r>
      <w:r>
        <w:rPr>
          <w:sz w:val="28"/>
          <w:szCs w:val="28"/>
        </w:rPr>
        <w:t>septiņām</w:t>
      </w:r>
      <w:r w:rsidRPr="00354586">
        <w:rPr>
          <w:sz w:val="28"/>
          <w:szCs w:val="28"/>
        </w:rPr>
        <w:t xml:space="preserve"> līdz </w:t>
      </w:r>
      <w:r>
        <w:rPr>
          <w:sz w:val="28"/>
          <w:szCs w:val="28"/>
        </w:rPr>
        <w:t>simt četrdesmit naudas soda vienībām.</w:t>
      </w:r>
      <w:r w:rsidRPr="00354586">
        <w:rPr>
          <w:sz w:val="28"/>
          <w:szCs w:val="28"/>
        </w:rPr>
        <w:t xml:space="preserve"> </w:t>
      </w:r>
    </w:p>
    <w:p w:rsidR="00A43E2B" w:rsidRPr="00B642D4" w:rsidRDefault="00A43E2B" w:rsidP="00F52241">
      <w:pPr>
        <w:pStyle w:val="naisf"/>
        <w:spacing w:before="0" w:beforeAutospacing="0" w:after="0" w:afterAutospacing="0"/>
        <w:jc w:val="both"/>
        <w:rPr>
          <w:sz w:val="28"/>
          <w:szCs w:val="28"/>
        </w:rPr>
      </w:pPr>
    </w:p>
    <w:p w:rsidR="00B642D4" w:rsidRPr="00480CEB" w:rsidRDefault="006F25B8" w:rsidP="00EA71EC">
      <w:pPr>
        <w:tabs>
          <w:tab w:val="left" w:pos="2127"/>
          <w:tab w:val="left" w:pos="6096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25B8">
        <w:rPr>
          <w:rFonts w:ascii="Times New Roman" w:hAnsi="Times New Roman" w:cs="Times New Roman"/>
          <w:b/>
          <w:sz w:val="28"/>
          <w:szCs w:val="28"/>
        </w:rPr>
        <w:t>13.</w:t>
      </w:r>
      <w:r w:rsidRPr="006F25B8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464D0B">
        <w:rPr>
          <w:sz w:val="28"/>
          <w:szCs w:val="28"/>
          <w:vertAlign w:val="superscript"/>
        </w:rPr>
        <w:t xml:space="preserve"> </w:t>
      </w:r>
      <w:r w:rsidR="00B642D4" w:rsidRPr="00480CEB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 xml:space="preserve"> </w:t>
      </w:r>
      <w:r w:rsidR="00B642D4" w:rsidRPr="00480C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pants</w:t>
      </w:r>
      <w:r w:rsidR="000E10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642D4" w:rsidRPr="00480C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C37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Par informēšanas un instruēšanas pienākuma nepildīšanu </w:t>
      </w:r>
      <w:r w:rsidR="001325DC" w:rsidRPr="001325DC">
        <w:rPr>
          <w:rFonts w:ascii="Times New Roman" w:hAnsi="Times New Roman" w:cs="Times New Roman"/>
          <w:b/>
          <w:sz w:val="28"/>
          <w:szCs w:val="28"/>
        </w:rPr>
        <w:t>sprāgstvielu prekursoru jomā</w:t>
      </w:r>
    </w:p>
    <w:p w:rsidR="00B642D4" w:rsidRPr="001325DC" w:rsidRDefault="00B642D4" w:rsidP="00EA71E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5116" w:rsidRPr="001325DC" w:rsidRDefault="00B642D4" w:rsidP="00EA7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5DC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015B50" w:rsidRPr="00132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 </w:t>
      </w:r>
      <w:r w:rsidR="001325DC" w:rsidRPr="001325DC">
        <w:rPr>
          <w:rFonts w:ascii="Times New Roman" w:hAnsi="Times New Roman" w:cs="Times New Roman"/>
          <w:sz w:val="28"/>
          <w:szCs w:val="28"/>
          <w:shd w:val="clear" w:color="auto" w:fill="FFFFFF"/>
        </w:rPr>
        <w:t>normatīvajos aktos</w:t>
      </w:r>
      <w:r w:rsidR="001325DC" w:rsidRPr="001325DC">
        <w:rPr>
          <w:rFonts w:ascii="Times New Roman" w:hAnsi="Times New Roman" w:cs="Times New Roman"/>
          <w:sz w:val="28"/>
          <w:szCs w:val="28"/>
        </w:rPr>
        <w:t xml:space="preserve"> par sprāgstvielu prekursoru tirdzniecību un lietošanu</w:t>
      </w:r>
      <w:r w:rsidR="00015B50" w:rsidRPr="001325DC">
        <w:rPr>
          <w:rFonts w:ascii="Times New Roman" w:hAnsi="Times New Roman" w:cs="Times New Roman"/>
          <w:sz w:val="28"/>
          <w:szCs w:val="28"/>
        </w:rPr>
        <w:t xml:space="preserve"> </w:t>
      </w:r>
      <w:r w:rsidR="001325DC" w:rsidRPr="00132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noteiktā informēšanas un instruēšanas pienākuma nepildīšanu </w:t>
      </w:r>
      <w:r w:rsidR="007E5116" w:rsidRPr="001325DC">
        <w:rPr>
          <w:rFonts w:ascii="Times New Roman" w:hAnsi="Times New Roman" w:cs="Times New Roman"/>
          <w:sz w:val="28"/>
          <w:szCs w:val="28"/>
        </w:rPr>
        <w:t>piemēro naudas sodu fiziskajai personai līdz simt četrdesmit naudas soda vienībām, bet juridiskajai personai — no četrpadsmit līdz divtūkstoš astoņsimt naudas soda vienībām.</w:t>
      </w:r>
      <w:r w:rsidR="005179F9">
        <w:rPr>
          <w:rFonts w:ascii="Times New Roman" w:hAnsi="Times New Roman" w:cs="Times New Roman"/>
          <w:sz w:val="28"/>
          <w:szCs w:val="28"/>
        </w:rPr>
        <w:t>”</w:t>
      </w:r>
    </w:p>
    <w:p w:rsidR="00480CEB" w:rsidRPr="00480CEB" w:rsidRDefault="00480CEB" w:rsidP="00EA7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25B8" w:rsidRDefault="006F25B8" w:rsidP="00EA71EC">
      <w:pPr>
        <w:pStyle w:val="tv213"/>
        <w:numPr>
          <w:ilvl w:val="0"/>
          <w:numId w:val="3"/>
        </w:numPr>
        <w:spacing w:before="0" w:beforeAutospacing="0" w:after="0" w:afterAutospacing="0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30. pantā:</w:t>
      </w:r>
    </w:p>
    <w:p w:rsidR="006F25B8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6F25B8" w:rsidRDefault="006F25B8" w:rsidP="00EA71EC">
      <w:pPr>
        <w:pStyle w:val="tv213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990713">
        <w:rPr>
          <w:bCs/>
          <w:sz w:val="28"/>
          <w:szCs w:val="28"/>
        </w:rPr>
        <w:t>papildināt ar otro daļu šādā redakcijā:</w:t>
      </w:r>
    </w:p>
    <w:p w:rsidR="006F25B8" w:rsidRDefault="006F25B8" w:rsidP="006F25B8">
      <w:pPr>
        <w:pStyle w:val="tv21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F25B8" w:rsidRDefault="006F25B8" w:rsidP="006F25B8">
      <w:pPr>
        <w:pStyle w:val="tv21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595109">
        <w:rPr>
          <w:bCs/>
          <w:sz w:val="28"/>
          <w:szCs w:val="28"/>
        </w:rPr>
        <w:t>“(2)</w:t>
      </w:r>
      <w:r w:rsidRPr="00595109">
        <w:t xml:space="preserve"> </w:t>
      </w:r>
      <w:r w:rsidRPr="00595109">
        <w:rPr>
          <w:bCs/>
          <w:sz w:val="28"/>
          <w:szCs w:val="28"/>
        </w:rPr>
        <w:t>Administratīvā pārkāpuma procesu par šā likuma 13.</w:t>
      </w:r>
      <w:r w:rsidRPr="00595109">
        <w:rPr>
          <w:bCs/>
          <w:sz w:val="28"/>
          <w:szCs w:val="28"/>
          <w:vertAlign w:val="superscript"/>
        </w:rPr>
        <w:t>1</w:t>
      </w:r>
      <w:r w:rsidR="009A23E7" w:rsidRPr="00595109">
        <w:rPr>
          <w:bCs/>
          <w:sz w:val="28"/>
          <w:szCs w:val="28"/>
          <w:vertAlign w:val="superscript"/>
        </w:rPr>
        <w:t xml:space="preserve"> </w:t>
      </w:r>
      <w:r w:rsidR="009A23E7" w:rsidRPr="00595109">
        <w:rPr>
          <w:sz w:val="28"/>
          <w:szCs w:val="28"/>
        </w:rPr>
        <w:t xml:space="preserve">un </w:t>
      </w:r>
      <w:r w:rsidRPr="00595109">
        <w:rPr>
          <w:sz w:val="28"/>
          <w:szCs w:val="28"/>
        </w:rPr>
        <w:t>13.</w:t>
      </w:r>
      <w:r w:rsidRPr="00595109">
        <w:rPr>
          <w:sz w:val="28"/>
          <w:szCs w:val="28"/>
          <w:vertAlign w:val="superscript"/>
        </w:rPr>
        <w:t xml:space="preserve">2 </w:t>
      </w:r>
      <w:r w:rsidRPr="00595109">
        <w:rPr>
          <w:bCs/>
          <w:sz w:val="28"/>
          <w:szCs w:val="28"/>
        </w:rPr>
        <w:t>pantā minēto pārkāpumu veic Valsts policija.”</w:t>
      </w:r>
    </w:p>
    <w:p w:rsidR="006F25B8" w:rsidRPr="006F25B8" w:rsidRDefault="006F25B8" w:rsidP="006F25B8">
      <w:pPr>
        <w:pStyle w:val="tv21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F25B8" w:rsidRPr="00F52241" w:rsidRDefault="006F25B8" w:rsidP="006F25B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F25B8">
        <w:rPr>
          <w:rFonts w:ascii="Times New Roman" w:hAnsi="Times New Roman" w:cs="Times New Roman"/>
          <w:sz w:val="28"/>
          <w:szCs w:val="28"/>
        </w:rPr>
        <w:t xml:space="preserve">uzskatīt </w:t>
      </w:r>
      <w:r w:rsidRPr="00F52241">
        <w:rPr>
          <w:rFonts w:ascii="Times New Roman" w:hAnsi="Times New Roman" w:cs="Times New Roman"/>
          <w:sz w:val="28"/>
          <w:szCs w:val="28"/>
        </w:rPr>
        <w:t>līdzšinējo panta tekstu par pirmo daļu.</w:t>
      </w:r>
    </w:p>
    <w:p w:rsidR="00F52241" w:rsidRPr="00F52241" w:rsidRDefault="00F52241" w:rsidP="006F25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52241" w:rsidRPr="00F52241" w:rsidRDefault="00F52241" w:rsidP="00F522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241">
        <w:rPr>
          <w:rFonts w:ascii="Times New Roman" w:hAnsi="Times New Roman" w:cs="Times New Roman"/>
          <w:bCs/>
          <w:sz w:val="28"/>
          <w:szCs w:val="28"/>
        </w:rPr>
        <w:t xml:space="preserve">Papildināt likumu ar </w:t>
      </w:r>
      <w:r w:rsidR="00E47836">
        <w:rPr>
          <w:rFonts w:ascii="Times New Roman" w:hAnsi="Times New Roman" w:cs="Times New Roman"/>
          <w:bCs/>
          <w:sz w:val="28"/>
          <w:szCs w:val="28"/>
        </w:rPr>
        <w:t>pārejas noteikumu</w:t>
      </w:r>
      <w:r>
        <w:rPr>
          <w:rFonts w:ascii="Times New Roman" w:hAnsi="Times New Roman" w:cs="Times New Roman"/>
          <w:bCs/>
          <w:sz w:val="28"/>
          <w:szCs w:val="28"/>
        </w:rPr>
        <w:t xml:space="preserve"> šādā redakcijā:</w:t>
      </w:r>
    </w:p>
    <w:p w:rsidR="00031BB6" w:rsidRDefault="00F52241" w:rsidP="00031BB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E47836">
        <w:rPr>
          <w:rFonts w:ascii="Times New Roman" w:hAnsi="Times New Roman" w:cs="Times New Roman"/>
          <w:sz w:val="28"/>
          <w:szCs w:val="28"/>
        </w:rPr>
        <w:t>Pārejas noteikums</w:t>
      </w:r>
    </w:p>
    <w:p w:rsidR="00984672" w:rsidRDefault="00865CFC" w:rsidP="0098467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CFC">
        <w:rPr>
          <w:rFonts w:ascii="Times New Roman" w:hAnsi="Times New Roman" w:cs="Times New Roman"/>
          <w:bCs/>
          <w:sz w:val="28"/>
          <w:szCs w:val="28"/>
        </w:rPr>
        <w:lastRenderedPageBreak/>
        <w:t>Šā likuma  13.</w:t>
      </w:r>
      <w:r w:rsidRPr="00865CFC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65CFC">
        <w:rPr>
          <w:rFonts w:ascii="Times New Roman" w:hAnsi="Times New Roman" w:cs="Times New Roman"/>
          <w:bCs/>
          <w:sz w:val="28"/>
          <w:szCs w:val="28"/>
        </w:rPr>
        <w:t>pants un grozījums šā likuma 30.pantā, kas paredz Valsts policijas kompetenci veikt administratīvā pārkāpumu procesu par šā likuma 13.</w:t>
      </w:r>
      <w:r w:rsidRPr="00865CFC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65CFC">
        <w:rPr>
          <w:rFonts w:ascii="Times New Roman" w:hAnsi="Times New Roman" w:cs="Times New Roman"/>
          <w:bCs/>
          <w:sz w:val="28"/>
          <w:szCs w:val="28"/>
        </w:rPr>
        <w:t xml:space="preserve">pantā minēto pārkāpumu, stājas spēkā 2021.gada </w:t>
      </w:r>
      <w:r>
        <w:rPr>
          <w:rFonts w:ascii="Times New Roman" w:hAnsi="Times New Roman" w:cs="Times New Roman"/>
          <w:bCs/>
          <w:sz w:val="28"/>
          <w:szCs w:val="28"/>
        </w:rPr>
        <w:t>februārī.”</w:t>
      </w:r>
    </w:p>
    <w:p w:rsidR="00865CFC" w:rsidRDefault="00865CFC" w:rsidP="0098467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5CFC" w:rsidRPr="00865CFC" w:rsidRDefault="00865CFC" w:rsidP="00984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672" w:rsidRPr="00984672" w:rsidRDefault="00984672" w:rsidP="00984672">
      <w:pPr>
        <w:jc w:val="both"/>
        <w:rPr>
          <w:rFonts w:ascii="Times New Roman" w:hAnsi="Times New Roman" w:cs="Times New Roman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>Iekšlietu ministrs</w:t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 w:rsidRPr="009846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4672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672">
        <w:rPr>
          <w:rFonts w:ascii="Times New Roman" w:hAnsi="Times New Roman" w:cs="Times New Roman"/>
          <w:sz w:val="28"/>
          <w:szCs w:val="28"/>
        </w:rPr>
        <w:t>Ģirģens</w:t>
      </w:r>
      <w:proofErr w:type="spellEnd"/>
    </w:p>
    <w:p w:rsidR="00984672" w:rsidRDefault="00984672" w:rsidP="00984672">
      <w:pPr>
        <w:pStyle w:val="StyleRight"/>
        <w:spacing w:after="0"/>
        <w:ind w:firstLine="0"/>
        <w:jc w:val="both"/>
      </w:pPr>
    </w:p>
    <w:p w:rsidR="00984672" w:rsidRDefault="00984672" w:rsidP="00984672">
      <w:pPr>
        <w:pStyle w:val="StyleRight"/>
        <w:spacing w:after="0"/>
        <w:ind w:firstLine="0"/>
        <w:jc w:val="both"/>
      </w:pPr>
    </w:p>
    <w:p w:rsidR="00984672" w:rsidRPr="005927F5" w:rsidRDefault="00984672" w:rsidP="00984672">
      <w:pPr>
        <w:pStyle w:val="StyleRight"/>
        <w:spacing w:after="0"/>
        <w:ind w:firstLine="0"/>
        <w:jc w:val="both"/>
      </w:pPr>
      <w:r w:rsidRPr="005927F5">
        <w:t>Iesniedzējs:</w:t>
      </w:r>
    </w:p>
    <w:p w:rsidR="00984672" w:rsidRPr="005927F5" w:rsidRDefault="00984672" w:rsidP="00984672">
      <w:pPr>
        <w:pStyle w:val="StyleRight"/>
        <w:spacing w:after="0"/>
        <w:ind w:firstLine="0"/>
        <w:jc w:val="both"/>
      </w:pPr>
      <w:r>
        <w:t>Iekšlietu</w:t>
      </w:r>
      <w:r w:rsidRPr="005927F5">
        <w:t xml:space="preserve"> ministrijas valsts sekretār</w:t>
      </w:r>
      <w:r>
        <w:t>s</w:t>
      </w:r>
      <w:r w:rsidRPr="005927F5">
        <w:tab/>
      </w:r>
      <w:r w:rsidRPr="005927F5">
        <w:tab/>
      </w:r>
      <w:r w:rsidRPr="005927F5">
        <w:tab/>
      </w:r>
      <w:r>
        <w:tab/>
      </w:r>
      <w:r>
        <w:tab/>
        <w:t xml:space="preserve">    D. Trofimovs</w:t>
      </w:r>
    </w:p>
    <w:p w:rsidR="00984672" w:rsidRDefault="00984672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Default="00A14B07" w:rsidP="009846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07" w:rsidRPr="00A14B07" w:rsidRDefault="00A14B07" w:rsidP="00A14B07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14B07">
        <w:rPr>
          <w:rFonts w:ascii="Times New Roman" w:hAnsi="Times New Roman" w:cs="Times New Roman"/>
          <w:sz w:val="20"/>
          <w:szCs w:val="20"/>
        </w:rPr>
        <w:t>Pavļuka</w:t>
      </w:r>
      <w:proofErr w:type="spellEnd"/>
      <w:r w:rsidRPr="00A14B07">
        <w:rPr>
          <w:rFonts w:ascii="Times New Roman" w:hAnsi="Times New Roman" w:cs="Times New Roman"/>
          <w:sz w:val="20"/>
          <w:szCs w:val="20"/>
        </w:rPr>
        <w:t xml:space="preserve"> 67219584, </w:t>
      </w:r>
    </w:p>
    <w:p w:rsidR="00A14B07" w:rsidRPr="00A14B07" w:rsidRDefault="005437A9" w:rsidP="00A14B07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A14B07" w:rsidRPr="00A14B0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olesja.pavluka@iem.gov.lv</w:t>
        </w:r>
      </w:hyperlink>
      <w:r w:rsidR="00A14B07" w:rsidRPr="00A14B0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14B07" w:rsidRPr="00A14B07" w:rsidRDefault="00A14B07" w:rsidP="00A14B07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14B07" w:rsidRPr="00A14B07" w:rsidSect="00B642D4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CA" w:rsidRDefault="00D81BCA" w:rsidP="00B642D4">
      <w:pPr>
        <w:spacing w:after="0" w:line="240" w:lineRule="auto"/>
      </w:pPr>
      <w:r>
        <w:separator/>
      </w:r>
    </w:p>
  </w:endnote>
  <w:endnote w:type="continuationSeparator" w:id="0">
    <w:p w:rsidR="00D81BCA" w:rsidRDefault="00D81BCA" w:rsidP="00B6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69" w:rsidRPr="00466669" w:rsidRDefault="005437A9" w:rsidP="00466669">
    <w:pPr>
      <w:pStyle w:val="Footer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IE</w:t>
    </w:r>
    <w:r w:rsidR="0043052B">
      <w:rPr>
        <w:rFonts w:ascii="Times New Roman" w:hAnsi="Times New Roman" w:cs="Times New Roman"/>
      </w:rPr>
      <w:t>M</w:t>
    </w:r>
    <w:r w:rsidR="00B815D8">
      <w:rPr>
        <w:rFonts w:ascii="Times New Roman" w:hAnsi="Times New Roman" w:cs="Times New Roman"/>
      </w:rPr>
      <w:t>Lik_25092020_p</w:t>
    </w:r>
    <w:r w:rsidR="0043052B">
      <w:rPr>
        <w:rFonts w:ascii="Times New Roman" w:hAnsi="Times New Roman" w:cs="Times New Roman"/>
      </w:rPr>
      <w:t>rekursori</w:t>
    </w:r>
    <w:r w:rsidR="00B815D8">
      <w:rPr>
        <w:rFonts w:ascii="Times New Roman" w:hAnsi="Times New Roman" w:cs="Times New Roman"/>
      </w:rPr>
      <w:t xml:space="preserve">; </w:t>
    </w:r>
    <w:r w:rsidR="0043052B">
      <w:rPr>
        <w:rFonts w:ascii="Times New Roman" w:hAnsi="Times New Roman" w:cs="Times New Roman"/>
      </w:rPr>
      <w:t xml:space="preserve">Likumprojekts </w:t>
    </w:r>
    <w:r w:rsidR="00466669" w:rsidRPr="00466669">
      <w:rPr>
        <w:rFonts w:ascii="Times New Roman" w:hAnsi="Times New Roman" w:cs="Times New Roman"/>
      </w:rPr>
      <w:t>“Grozījumi Administratīvo sodu likumā par pārkāpumiem pārvaldes, sabiedriskās kārtības un valsts valodas lietošanas jomā”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CA" w:rsidRDefault="00D81BCA" w:rsidP="00B642D4">
      <w:pPr>
        <w:spacing w:after="0" w:line="240" w:lineRule="auto"/>
      </w:pPr>
      <w:r>
        <w:separator/>
      </w:r>
    </w:p>
  </w:footnote>
  <w:footnote w:type="continuationSeparator" w:id="0">
    <w:p w:rsidR="00D81BCA" w:rsidRDefault="00D81BCA" w:rsidP="00B6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D4" w:rsidRDefault="00B642D4" w:rsidP="00B642D4">
    <w:pPr>
      <w:pStyle w:val="Header"/>
      <w:jc w:val="right"/>
    </w:pPr>
    <w:r>
      <w:rPr>
        <w:rFonts w:ascii="Times New Roman" w:hAnsi="Times New Roman" w:cs="Times New Roman"/>
        <w:sz w:val="28"/>
        <w:szCs w:val="28"/>
      </w:rPr>
      <w:t>Likumprojekts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074B"/>
    <w:multiLevelType w:val="hybridMultilevel"/>
    <w:tmpl w:val="396A14F0"/>
    <w:lvl w:ilvl="0" w:tplc="A69A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43AFD"/>
    <w:multiLevelType w:val="hybridMultilevel"/>
    <w:tmpl w:val="D75A55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2312"/>
    <w:multiLevelType w:val="hybridMultilevel"/>
    <w:tmpl w:val="08BA2B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6D4E"/>
    <w:multiLevelType w:val="hybridMultilevel"/>
    <w:tmpl w:val="BE86D3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AC"/>
    <w:rsid w:val="00015B50"/>
    <w:rsid w:val="000237FD"/>
    <w:rsid w:val="00031BB6"/>
    <w:rsid w:val="000E1027"/>
    <w:rsid w:val="00123009"/>
    <w:rsid w:val="001325DC"/>
    <w:rsid w:val="0016047D"/>
    <w:rsid w:val="00184A75"/>
    <w:rsid w:val="002615D8"/>
    <w:rsid w:val="003C2FF5"/>
    <w:rsid w:val="003F18A0"/>
    <w:rsid w:val="0043052B"/>
    <w:rsid w:val="00464D0B"/>
    <w:rsid w:val="00466669"/>
    <w:rsid w:val="00480CEB"/>
    <w:rsid w:val="005179F9"/>
    <w:rsid w:val="005437A9"/>
    <w:rsid w:val="00595109"/>
    <w:rsid w:val="005F0EB7"/>
    <w:rsid w:val="006F25B8"/>
    <w:rsid w:val="00783C0A"/>
    <w:rsid w:val="00790D63"/>
    <w:rsid w:val="007E5116"/>
    <w:rsid w:val="00865CFC"/>
    <w:rsid w:val="00981C91"/>
    <w:rsid w:val="00984672"/>
    <w:rsid w:val="009A1CF2"/>
    <w:rsid w:val="009A23E7"/>
    <w:rsid w:val="00A14B07"/>
    <w:rsid w:val="00A370AC"/>
    <w:rsid w:val="00A43E2B"/>
    <w:rsid w:val="00AC37A3"/>
    <w:rsid w:val="00B264B4"/>
    <w:rsid w:val="00B43C23"/>
    <w:rsid w:val="00B642D4"/>
    <w:rsid w:val="00B768DE"/>
    <w:rsid w:val="00B815D8"/>
    <w:rsid w:val="00D81BCA"/>
    <w:rsid w:val="00E47836"/>
    <w:rsid w:val="00EA71EC"/>
    <w:rsid w:val="00F5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CD7976"/>
  <w15:chartTrackingRefBased/>
  <w15:docId w15:val="{01DD75C0-00FD-425A-B9DC-C60F5D05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79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015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D4"/>
  </w:style>
  <w:style w:type="paragraph" w:styleId="Footer">
    <w:name w:val="footer"/>
    <w:basedOn w:val="Normal"/>
    <w:link w:val="FooterChar"/>
    <w:uiPriority w:val="99"/>
    <w:unhideWhenUsed/>
    <w:rsid w:val="00B64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2D4"/>
  </w:style>
  <w:style w:type="paragraph" w:customStyle="1" w:styleId="naisf">
    <w:name w:val="naisf"/>
    <w:basedOn w:val="Normal"/>
    <w:rsid w:val="00B6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qFormat/>
    <w:rsid w:val="00B642D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yleRight">
    <w:name w:val="Style Right"/>
    <w:basedOn w:val="Normal"/>
    <w:rsid w:val="00984672"/>
    <w:pPr>
      <w:suppressAutoHyphens/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7A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14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sja.pavluka@i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Oļesja Pavļuka</dc:creator>
  <cp:keywords/>
  <dc:description/>
  <cp:lastModifiedBy>Karina Zagoskina</cp:lastModifiedBy>
  <cp:revision>10</cp:revision>
  <cp:lastPrinted>2020-09-21T06:05:00Z</cp:lastPrinted>
  <dcterms:created xsi:type="dcterms:W3CDTF">2020-09-21T08:26:00Z</dcterms:created>
  <dcterms:modified xsi:type="dcterms:W3CDTF">2020-09-25T11:58:00Z</dcterms:modified>
</cp:coreProperties>
</file>