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E56D2" w14:textId="54E89517" w:rsidR="004E3E56" w:rsidRPr="00AD37B6" w:rsidRDefault="004E3E56" w:rsidP="004E3E56">
      <w:pPr>
        <w:shd w:val="clear" w:color="auto" w:fill="FFFFFF"/>
        <w:spacing w:before="130" w:line="260" w:lineRule="exact"/>
        <w:jc w:val="center"/>
        <w:rPr>
          <w:b/>
          <w:bCs/>
        </w:rPr>
      </w:pPr>
      <w:r w:rsidRPr="00AD37B6">
        <w:rPr>
          <w:b/>
        </w:rPr>
        <w:t>Ministru kabineta noteikumu projekta “</w:t>
      </w:r>
      <w:r w:rsidR="001A0678">
        <w:rPr>
          <w:b/>
          <w:bCs/>
        </w:rPr>
        <w:t>Grozījums</w:t>
      </w:r>
      <w:r>
        <w:rPr>
          <w:b/>
          <w:bCs/>
        </w:rPr>
        <w:t xml:space="preserve"> Ministru kabineta 2001.</w:t>
      </w:r>
      <w:r w:rsidR="001A0678">
        <w:rPr>
          <w:b/>
          <w:bCs/>
        </w:rPr>
        <w:t xml:space="preserve"> </w:t>
      </w:r>
      <w:r>
        <w:rPr>
          <w:b/>
          <w:bCs/>
        </w:rPr>
        <w:t>gada 6.</w:t>
      </w:r>
      <w:r w:rsidR="003765FE">
        <w:rPr>
          <w:b/>
          <w:bCs/>
        </w:rPr>
        <w:t xml:space="preserve"> </w:t>
      </w:r>
      <w:r>
        <w:rPr>
          <w:b/>
          <w:bCs/>
        </w:rPr>
        <w:t>februāra noteikumos Nr.52 “Latvijas nepilsoņa statusa atņemšanas kārtība”</w:t>
      </w:r>
      <w:r w:rsidRPr="00AD37B6">
        <w:rPr>
          <w:b/>
          <w:bCs/>
        </w:rPr>
        <w:t>” sākotnējās ietekmes novērtējuma ziņojums (anotācija)</w:t>
      </w:r>
    </w:p>
    <w:p w14:paraId="589588A2" w14:textId="77777777" w:rsidR="003530C3" w:rsidRPr="00AD37B6" w:rsidRDefault="003530C3" w:rsidP="003530C3">
      <w:pPr>
        <w:pStyle w:val="Nosaukums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2"/>
        <w:gridCol w:w="5799"/>
      </w:tblGrid>
      <w:tr w:rsidR="003530C3" w:rsidRPr="00AD37B6" w14:paraId="68C8B6B7" w14:textId="77777777" w:rsidTr="00A871EA">
        <w:trPr>
          <w:cantSplit/>
        </w:trPr>
        <w:tc>
          <w:tcPr>
            <w:tcW w:w="9581" w:type="dxa"/>
            <w:gridSpan w:val="2"/>
            <w:shd w:val="clear" w:color="auto" w:fill="FFFFFF"/>
            <w:vAlign w:val="center"/>
            <w:hideMark/>
          </w:tcPr>
          <w:p w14:paraId="7BA7A097" w14:textId="77777777" w:rsidR="003530C3" w:rsidRPr="00AD37B6" w:rsidRDefault="003530C3" w:rsidP="00A871EA">
            <w:pPr>
              <w:jc w:val="center"/>
              <w:rPr>
                <w:b/>
                <w:iCs/>
                <w:lang w:eastAsia="en-US"/>
              </w:rPr>
            </w:pPr>
            <w:r w:rsidRPr="00AD37B6">
              <w:rPr>
                <w:b/>
                <w:iCs/>
                <w:lang w:eastAsia="en-US"/>
              </w:rPr>
              <w:t>Tiesību akta projekta anotācijas kopsavilkums</w:t>
            </w:r>
          </w:p>
        </w:tc>
      </w:tr>
      <w:tr w:rsidR="003530C3" w:rsidRPr="00AD37B6" w14:paraId="73DF2C39" w14:textId="77777777" w:rsidTr="00A871EA">
        <w:trPr>
          <w:cantSplit/>
        </w:trPr>
        <w:tc>
          <w:tcPr>
            <w:tcW w:w="3430" w:type="dxa"/>
            <w:shd w:val="clear" w:color="auto" w:fill="FFFFFF"/>
            <w:hideMark/>
          </w:tcPr>
          <w:p w14:paraId="7716800A" w14:textId="77777777" w:rsidR="003530C3" w:rsidRPr="00AD37B6" w:rsidRDefault="003530C3" w:rsidP="00A871EA">
            <w:pPr>
              <w:rPr>
                <w:iCs/>
                <w:lang w:eastAsia="en-US"/>
              </w:rPr>
            </w:pPr>
            <w:r w:rsidRPr="00AD37B6">
              <w:rPr>
                <w:iCs/>
                <w:lang w:eastAsia="en-US"/>
              </w:rPr>
              <w:t>Mērķis, risinājums un projekta spēkā stāšanās laiks (500 zīmes bez atstarpēm)</w:t>
            </w:r>
          </w:p>
        </w:tc>
        <w:tc>
          <w:tcPr>
            <w:tcW w:w="6151" w:type="dxa"/>
            <w:shd w:val="clear" w:color="auto" w:fill="FFFFFF"/>
            <w:hideMark/>
          </w:tcPr>
          <w:p w14:paraId="353AFF9C" w14:textId="77777777" w:rsidR="00FA3019" w:rsidRDefault="00FA3019" w:rsidP="00C23BAB">
            <w:pPr>
              <w:jc w:val="both"/>
              <w:rPr>
                <w:iCs/>
                <w:lang w:eastAsia="en-US"/>
              </w:rPr>
            </w:pPr>
          </w:p>
          <w:p w14:paraId="336CE6CE" w14:textId="51141ED4" w:rsidR="00006A1F" w:rsidRPr="000A6873" w:rsidRDefault="00340E2F" w:rsidP="00C23BAB">
            <w:pPr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Nav attiecināms.</w:t>
            </w:r>
          </w:p>
        </w:tc>
      </w:tr>
    </w:tbl>
    <w:p w14:paraId="53B07A2C" w14:textId="77777777" w:rsidR="003530C3" w:rsidRPr="00AD37B6" w:rsidRDefault="003530C3" w:rsidP="003530C3">
      <w:pPr>
        <w:pStyle w:val="Nosaukums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680"/>
        <w:gridCol w:w="5817"/>
      </w:tblGrid>
      <w:tr w:rsidR="003530C3" w:rsidRPr="00AD37B6" w14:paraId="59200D46" w14:textId="77777777" w:rsidTr="00A871EA">
        <w:tc>
          <w:tcPr>
            <w:tcW w:w="5000" w:type="pct"/>
            <w:gridSpan w:val="3"/>
            <w:vAlign w:val="center"/>
            <w:hideMark/>
          </w:tcPr>
          <w:p w14:paraId="344BC061" w14:textId="77777777" w:rsidR="003530C3" w:rsidRPr="00AD37B6" w:rsidRDefault="003530C3" w:rsidP="00A871EA">
            <w:pPr>
              <w:jc w:val="center"/>
              <w:rPr>
                <w:b/>
                <w:bCs/>
              </w:rPr>
            </w:pPr>
            <w:r w:rsidRPr="00AD37B6">
              <w:rPr>
                <w:b/>
                <w:bCs/>
              </w:rPr>
              <w:t>I. Tiesību akta projekta izstrādes nepieciešamība</w:t>
            </w:r>
          </w:p>
        </w:tc>
      </w:tr>
      <w:tr w:rsidR="003530C3" w:rsidRPr="00AD37B6" w14:paraId="15592DA7" w14:textId="77777777" w:rsidTr="00A871EA">
        <w:tc>
          <w:tcPr>
            <w:tcW w:w="311" w:type="pct"/>
            <w:hideMark/>
          </w:tcPr>
          <w:p w14:paraId="3DAA0D92" w14:textId="77777777" w:rsidR="003530C3" w:rsidRPr="00AD37B6" w:rsidRDefault="003530C3" w:rsidP="00A871EA">
            <w:pPr>
              <w:jc w:val="center"/>
            </w:pPr>
            <w:r w:rsidRPr="00AD37B6">
              <w:t>1.</w:t>
            </w:r>
          </w:p>
        </w:tc>
        <w:tc>
          <w:tcPr>
            <w:tcW w:w="1479" w:type="pct"/>
            <w:hideMark/>
          </w:tcPr>
          <w:p w14:paraId="3FD77D65" w14:textId="77777777" w:rsidR="003530C3" w:rsidRPr="00AD37B6" w:rsidRDefault="003530C3" w:rsidP="00A871EA">
            <w:r w:rsidRPr="00AD37B6">
              <w:t>Pamatojums</w:t>
            </w:r>
          </w:p>
        </w:tc>
        <w:tc>
          <w:tcPr>
            <w:tcW w:w="3210" w:type="pct"/>
            <w:hideMark/>
          </w:tcPr>
          <w:p w14:paraId="48F25FFC" w14:textId="77777777" w:rsidR="00476C92" w:rsidRPr="00AD37B6" w:rsidRDefault="00476C92" w:rsidP="00B533D6">
            <w:pPr>
              <w:jc w:val="both"/>
            </w:pPr>
            <w:r>
              <w:t>Likums “Par to bijušās PSRS pilsoņu statusu, kuriem nav Latvijas vai citas valsts pilsonības” 7.</w:t>
            </w:r>
            <w:r w:rsidR="00EB4243">
              <w:t xml:space="preserve"> </w:t>
            </w:r>
            <w:r>
              <w:t xml:space="preserve">panta </w:t>
            </w:r>
            <w:r w:rsidR="00B533D6">
              <w:t>otrā</w:t>
            </w:r>
            <w:r w:rsidR="000126DF">
              <w:t xml:space="preserve"> </w:t>
            </w:r>
            <w:r>
              <w:t>daļa</w:t>
            </w:r>
            <w:r w:rsidR="005C2A60">
              <w:t>.</w:t>
            </w:r>
          </w:p>
        </w:tc>
      </w:tr>
      <w:tr w:rsidR="003530C3" w:rsidRPr="00AD37B6" w14:paraId="05347CD7" w14:textId="77777777" w:rsidTr="00A871EA">
        <w:tc>
          <w:tcPr>
            <w:tcW w:w="311" w:type="pct"/>
            <w:hideMark/>
          </w:tcPr>
          <w:p w14:paraId="193910C0" w14:textId="77777777" w:rsidR="003530C3" w:rsidRPr="00AD37B6" w:rsidRDefault="003530C3" w:rsidP="00A871EA">
            <w:pPr>
              <w:jc w:val="center"/>
            </w:pPr>
            <w:r w:rsidRPr="00AD37B6">
              <w:t>2.</w:t>
            </w:r>
          </w:p>
        </w:tc>
        <w:tc>
          <w:tcPr>
            <w:tcW w:w="1479" w:type="pct"/>
            <w:hideMark/>
          </w:tcPr>
          <w:p w14:paraId="3D444841" w14:textId="77777777" w:rsidR="003530C3" w:rsidRPr="00AD37B6" w:rsidRDefault="003530C3" w:rsidP="00A871EA">
            <w:r w:rsidRPr="00AD37B6">
              <w:t>Pašreizējā situācija un problēmas, kuru risināšanai tiesību akta projekts izstrādāts, tiesiskā regulējuma mērķis un būtība</w:t>
            </w:r>
          </w:p>
        </w:tc>
        <w:tc>
          <w:tcPr>
            <w:tcW w:w="3210" w:type="pct"/>
            <w:hideMark/>
          </w:tcPr>
          <w:p w14:paraId="0E19F06D" w14:textId="41F7EE1B" w:rsidR="00080CE0" w:rsidRDefault="00F72A92" w:rsidP="00EB4243">
            <w:pPr>
              <w:jc w:val="both"/>
            </w:pPr>
            <w:r>
              <w:t>Noteikumu projekt</w:t>
            </w:r>
            <w:r w:rsidR="00533E78">
              <w:t>ā tiek svītrots</w:t>
            </w:r>
            <w:r>
              <w:t xml:space="preserve"> </w:t>
            </w:r>
            <w:r w:rsidR="00FA3019">
              <w:t>punkts</w:t>
            </w:r>
            <w:r>
              <w:t xml:space="preserve">, </w:t>
            </w:r>
            <w:r w:rsidR="00FA3019">
              <w:t>kas nosaka</w:t>
            </w:r>
            <w:r w:rsidR="00E659EB">
              <w:t xml:space="preserve"> termiņ</w:t>
            </w:r>
            <w:r w:rsidR="00FA3019">
              <w:t>u</w:t>
            </w:r>
            <w:r w:rsidR="00E659EB">
              <w:t xml:space="preserve"> pārbaudes veikšanai par Latvijas nepilsoņa </w:t>
            </w:r>
            <w:r w:rsidR="00FA3019">
              <w:t>statusa atņemšanu, jo tas</w:t>
            </w:r>
            <w:r w:rsidR="00696781">
              <w:t>, ievērojot pārbaudes gaitā noskaidrojamos apstākļus un līdz ar to veicamās darb</w:t>
            </w:r>
            <w:r w:rsidR="001F53CB">
              <w:t>ības, kas nepieciešamas to</w:t>
            </w:r>
            <w:r w:rsidR="00EB4243">
              <w:t xml:space="preserve"> noskaidrošanai, </w:t>
            </w:r>
            <w:r w:rsidR="00696781">
              <w:t>nav adekvāts</w:t>
            </w:r>
            <w:r w:rsidR="000E5D08">
              <w:t xml:space="preserve">. </w:t>
            </w:r>
            <w:r w:rsidR="00696781">
              <w:t xml:space="preserve">Proti, saskaņā ar šobrīd spēkā esošo Ministru kabineta </w:t>
            </w:r>
            <w:r w:rsidR="00080CE0" w:rsidRPr="00080CE0">
              <w:rPr>
                <w:bCs/>
              </w:rPr>
              <w:t xml:space="preserve">2001. gada 6. </w:t>
            </w:r>
            <w:r w:rsidR="00080CE0">
              <w:rPr>
                <w:bCs/>
              </w:rPr>
              <w:t>februāra noteikumu</w:t>
            </w:r>
            <w:r w:rsidR="00080CE0" w:rsidRPr="00080CE0">
              <w:rPr>
                <w:bCs/>
              </w:rPr>
              <w:t xml:space="preserve"> Nr.52 “Latvijas nepilsoņa statusa atņemšanas kārtība”</w:t>
            </w:r>
            <w:r w:rsidR="00080CE0" w:rsidRPr="00AD37B6">
              <w:rPr>
                <w:b/>
                <w:bCs/>
              </w:rPr>
              <w:t xml:space="preserve"> </w:t>
            </w:r>
            <w:r w:rsidR="00696781">
              <w:t>10.punkta normas redakciju</w:t>
            </w:r>
            <w:r>
              <w:t xml:space="preserve"> pārbaudes </w:t>
            </w:r>
            <w:r w:rsidR="00816AFB">
              <w:t xml:space="preserve">veikšanas </w:t>
            </w:r>
            <w:r>
              <w:t>laiks</w:t>
            </w:r>
            <w:r w:rsidR="00EB4243">
              <w:t xml:space="preserve"> nedrīkst pārsniegt četrus mēnešus</w:t>
            </w:r>
            <w:r w:rsidR="001F53CB">
              <w:t>. Taču</w:t>
            </w:r>
            <w:r w:rsidR="00E659EB">
              <w:t xml:space="preserve"> </w:t>
            </w:r>
            <w:r w:rsidR="001F53CB">
              <w:t xml:space="preserve">gadījumos, kad veicama </w:t>
            </w:r>
            <w:r w:rsidR="00E659EB">
              <w:t>pārbaude</w:t>
            </w:r>
            <w:r w:rsidR="001F53CB">
              <w:t>, lai</w:t>
            </w:r>
            <w:r w:rsidR="00E659EB">
              <w:t>, piemēram,</w:t>
            </w:r>
            <w:r w:rsidR="004A2253">
              <w:t xml:space="preserve"> pārliecinā</w:t>
            </w:r>
            <w:r w:rsidR="001F53CB">
              <w:t>tos</w:t>
            </w:r>
            <w:r w:rsidR="004A2253">
              <w:t xml:space="preserve"> par citas valsts pilsonības iegūšanas laiku, </w:t>
            </w:r>
            <w:r w:rsidR="00EB4243">
              <w:t xml:space="preserve">kam var būt būtiska nozīme lietā, </w:t>
            </w:r>
            <w:r w:rsidR="001F53CB">
              <w:t xml:space="preserve">ir jānosūta </w:t>
            </w:r>
            <w:r w:rsidR="004A2253">
              <w:t>pieprasīju</w:t>
            </w:r>
            <w:r w:rsidR="002B41AA">
              <w:t>m</w:t>
            </w:r>
            <w:r w:rsidR="001F53CB">
              <w:t>s</w:t>
            </w:r>
            <w:r w:rsidR="004A2253">
              <w:t xml:space="preserve"> citas valsts kompetentai iestādei.</w:t>
            </w:r>
            <w:r w:rsidR="002B41AA">
              <w:t xml:space="preserve"> </w:t>
            </w:r>
            <w:r w:rsidR="00FB0E26">
              <w:t>K</w:t>
            </w:r>
            <w:r w:rsidR="002B41AA">
              <w:t xml:space="preserve">ā liecina prakse, </w:t>
            </w:r>
            <w:r w:rsidR="00D03917">
              <w:t xml:space="preserve">atbilde uz </w:t>
            </w:r>
            <w:r w:rsidR="009B1C6F">
              <w:t>pieprasījumu</w:t>
            </w:r>
            <w:r w:rsidR="00D03917">
              <w:t xml:space="preserve"> no </w:t>
            </w:r>
            <w:r w:rsidR="005424D9">
              <w:t xml:space="preserve">citām valstīm, piemēram, </w:t>
            </w:r>
            <w:r w:rsidR="00D03917">
              <w:t xml:space="preserve">Krievijas Federācijas tiek saņemta 6 mēnešu vai </w:t>
            </w:r>
            <w:r w:rsidR="001F53CB">
              <w:t xml:space="preserve">pat </w:t>
            </w:r>
            <w:r w:rsidR="00D03917">
              <w:t xml:space="preserve">ilgākā laikā. </w:t>
            </w:r>
            <w:r w:rsidR="007D0340">
              <w:t>Minēto iemeslu dēļ</w:t>
            </w:r>
            <w:r w:rsidR="00EB4243">
              <w:t>, piemēram, citā</w:t>
            </w:r>
            <w:r w:rsidR="007D0340">
              <w:t xml:space="preserve"> normatīvajā aktā, kas reglamentē</w:t>
            </w:r>
            <w:r w:rsidR="001F53CB">
              <w:t xml:space="preserve"> </w:t>
            </w:r>
            <w:r w:rsidR="00EB4243">
              <w:t xml:space="preserve">arī </w:t>
            </w:r>
            <w:r w:rsidR="00E9308A">
              <w:t>tiesiskā statusa atņemšanas kārtību</w:t>
            </w:r>
            <w:r w:rsidR="00EB4243">
              <w:t xml:space="preserve"> – </w:t>
            </w:r>
            <w:r w:rsidR="007D0340">
              <w:t>Latvijas pilsonības atņemšanas kārtību, nav noteikts termiņš</w:t>
            </w:r>
            <w:r w:rsidR="00E9308A">
              <w:t>, kādā jāveic pārbaude par Latvijas pilsonības atņemšanu</w:t>
            </w:r>
            <w:r w:rsidR="007D0340">
              <w:t xml:space="preserve">. </w:t>
            </w:r>
            <w:r w:rsidR="00080CE0" w:rsidRPr="00080CE0">
              <w:t xml:space="preserve">Vienlaikus norādāms, </w:t>
            </w:r>
            <w:r w:rsidR="00B31701">
              <w:t xml:space="preserve">tā kā </w:t>
            </w:r>
            <w:r w:rsidR="00080CE0" w:rsidRPr="00080CE0">
              <w:t>iestādes darbību reglamentē arī Valsts pārvaldes iek</w:t>
            </w:r>
            <w:r w:rsidR="008E69B7">
              <w:t>ārtas likums</w:t>
            </w:r>
            <w:r w:rsidR="00B31701">
              <w:t>,</w:t>
            </w:r>
            <w:r w:rsidR="00080CE0" w:rsidRPr="00080CE0">
              <w:t xml:space="preserve"> iestādei ir saistoši minētā likuma 10. pantā noteiktie valsts pārvaldes principi, tai skaitā</w:t>
            </w:r>
            <w:r w:rsidR="00080CE0" w:rsidRPr="00080CE0">
              <w:rPr>
                <w:shd w:val="clear" w:color="auto" w:fill="FFFFFF"/>
              </w:rPr>
              <w:t xml:space="preserve"> labas pārvaldības princips, kas citastarp ietver pienākumu īstenot </w:t>
            </w:r>
            <w:r w:rsidR="008E69B7">
              <w:rPr>
                <w:shd w:val="clear" w:color="auto" w:fill="FFFFFF"/>
              </w:rPr>
              <w:t xml:space="preserve">ne tikai </w:t>
            </w:r>
            <w:r w:rsidR="00080CE0" w:rsidRPr="00080CE0">
              <w:rPr>
                <w:shd w:val="clear" w:color="auto" w:fill="FFFFFF"/>
              </w:rPr>
              <w:t>taisnīgu procedūru</w:t>
            </w:r>
            <w:r w:rsidR="008E69B7">
              <w:rPr>
                <w:shd w:val="clear" w:color="auto" w:fill="FFFFFF"/>
              </w:rPr>
              <w:t>, bet uzliek pienākumu procedūru īstenot</w:t>
            </w:r>
            <w:r w:rsidR="00080CE0" w:rsidRPr="00080CE0">
              <w:rPr>
                <w:shd w:val="clear" w:color="auto" w:fill="FFFFFF"/>
              </w:rPr>
              <w:t xml:space="preserve"> saprātīgā laikā</w:t>
            </w:r>
            <w:r w:rsidR="008E69B7">
              <w:rPr>
                <w:shd w:val="clear" w:color="auto" w:fill="FFFFFF"/>
              </w:rPr>
              <w:t>, kā arī</w:t>
            </w:r>
            <w:r w:rsidR="00080CE0" w:rsidRPr="00080CE0">
              <w:rPr>
                <w:shd w:val="clear" w:color="auto" w:fill="FFFFFF"/>
              </w:rPr>
              <w:t xml:space="preserve"> citus noteikumus, kuru mērķis ir panākt, lai valsts pārvalde ievērotu privātpersonas tiesības un tiesiskās intereses.</w:t>
            </w:r>
            <w:r w:rsidR="00080CE0" w:rsidRPr="00080CE0">
              <w:t xml:space="preserve"> </w:t>
            </w:r>
          </w:p>
          <w:p w14:paraId="7F94A96B" w14:textId="5EA6B1F9" w:rsidR="00D070B5" w:rsidRPr="00AD37B6" w:rsidRDefault="00D070B5" w:rsidP="00EB4243">
            <w:pPr>
              <w:jc w:val="both"/>
            </w:pPr>
          </w:p>
        </w:tc>
      </w:tr>
      <w:tr w:rsidR="003530C3" w:rsidRPr="00AD37B6" w14:paraId="26118CFB" w14:textId="77777777" w:rsidTr="00A871EA">
        <w:tc>
          <w:tcPr>
            <w:tcW w:w="311" w:type="pct"/>
            <w:hideMark/>
          </w:tcPr>
          <w:p w14:paraId="49A5E719" w14:textId="77777777" w:rsidR="003530C3" w:rsidRPr="00AD37B6" w:rsidRDefault="003530C3" w:rsidP="00A871EA">
            <w:pPr>
              <w:jc w:val="center"/>
            </w:pPr>
            <w:r w:rsidRPr="00AD37B6">
              <w:t>3.</w:t>
            </w:r>
          </w:p>
        </w:tc>
        <w:tc>
          <w:tcPr>
            <w:tcW w:w="1479" w:type="pct"/>
            <w:hideMark/>
          </w:tcPr>
          <w:p w14:paraId="7C9F7D40" w14:textId="77777777" w:rsidR="003530C3" w:rsidRPr="00AD37B6" w:rsidRDefault="003530C3" w:rsidP="00A871EA">
            <w:r w:rsidRPr="00AD37B6">
              <w:t>Projekta izstrādē iesaistītās institūcijas un publiskas personas kapitālsabiedrības</w:t>
            </w:r>
          </w:p>
        </w:tc>
        <w:tc>
          <w:tcPr>
            <w:tcW w:w="3210" w:type="pct"/>
            <w:hideMark/>
          </w:tcPr>
          <w:p w14:paraId="0D94F1EB" w14:textId="55E27AE8" w:rsidR="003530C3" w:rsidRPr="00AD37B6" w:rsidRDefault="003530C3" w:rsidP="00A871EA">
            <w:r>
              <w:t>Pilsonīb</w:t>
            </w:r>
            <w:r w:rsidR="00E9308A">
              <w:t>as un migrācijas lietu pārvald</w:t>
            </w:r>
            <w:r w:rsidR="00023F86">
              <w:t>e.</w:t>
            </w:r>
          </w:p>
        </w:tc>
      </w:tr>
      <w:tr w:rsidR="003530C3" w:rsidRPr="00AD37B6" w14:paraId="489CB3EA" w14:textId="77777777" w:rsidTr="00A871EA">
        <w:tc>
          <w:tcPr>
            <w:tcW w:w="311" w:type="pct"/>
            <w:hideMark/>
          </w:tcPr>
          <w:p w14:paraId="0A5A2D0A" w14:textId="77777777" w:rsidR="003530C3" w:rsidRPr="00AD37B6" w:rsidRDefault="003530C3" w:rsidP="00A871EA">
            <w:pPr>
              <w:jc w:val="center"/>
            </w:pPr>
            <w:r w:rsidRPr="00AD37B6">
              <w:t>4.</w:t>
            </w:r>
          </w:p>
        </w:tc>
        <w:tc>
          <w:tcPr>
            <w:tcW w:w="1479" w:type="pct"/>
            <w:hideMark/>
          </w:tcPr>
          <w:p w14:paraId="407E806C" w14:textId="77777777" w:rsidR="003530C3" w:rsidRPr="00AD37B6" w:rsidRDefault="003530C3" w:rsidP="00A871EA">
            <w:r w:rsidRPr="00AD37B6">
              <w:t>Cita informācija</w:t>
            </w:r>
          </w:p>
        </w:tc>
        <w:tc>
          <w:tcPr>
            <w:tcW w:w="3210" w:type="pct"/>
            <w:hideMark/>
          </w:tcPr>
          <w:p w14:paraId="50117405" w14:textId="77777777" w:rsidR="003530C3" w:rsidRPr="00AD37B6" w:rsidRDefault="003530C3" w:rsidP="00A871EA">
            <w:r>
              <w:t>Nav.</w:t>
            </w:r>
          </w:p>
        </w:tc>
      </w:tr>
    </w:tbl>
    <w:p w14:paraId="3EAEF884" w14:textId="77777777" w:rsidR="003530C3" w:rsidRPr="00AD37B6" w:rsidRDefault="003530C3" w:rsidP="003530C3">
      <w:pPr>
        <w:pStyle w:val="Nosaukums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680"/>
        <w:gridCol w:w="5817"/>
      </w:tblGrid>
      <w:tr w:rsidR="003530C3" w:rsidRPr="00AD37B6" w14:paraId="3A1F7586" w14:textId="77777777" w:rsidTr="00A871EA">
        <w:trPr>
          <w:cantSplit/>
        </w:trPr>
        <w:tc>
          <w:tcPr>
            <w:tcW w:w="5000" w:type="pct"/>
            <w:gridSpan w:val="3"/>
            <w:vAlign w:val="center"/>
            <w:hideMark/>
          </w:tcPr>
          <w:p w14:paraId="5980B7FE" w14:textId="5A134255" w:rsidR="001A0678" w:rsidRDefault="003530C3" w:rsidP="00A871EA">
            <w:pPr>
              <w:jc w:val="center"/>
              <w:rPr>
                <w:b/>
                <w:bCs/>
              </w:rPr>
            </w:pPr>
            <w:r w:rsidRPr="00AD37B6">
              <w:rPr>
                <w:b/>
                <w:bCs/>
              </w:rPr>
              <w:lastRenderedPageBreak/>
              <w:t>II. Tiesību akta projekta ietekme uz sabiedrību, tautsaimniecības attīstību un administratīvo slogu</w:t>
            </w:r>
          </w:p>
          <w:p w14:paraId="0196F77D" w14:textId="77777777" w:rsidR="003765FE" w:rsidRDefault="003765FE" w:rsidP="003765FE"/>
          <w:p w14:paraId="1B274E48" w14:textId="77777777" w:rsidR="00F12503" w:rsidRPr="00F12503" w:rsidRDefault="00F12503" w:rsidP="00F12503"/>
          <w:p w14:paraId="1BB8E1CA" w14:textId="17A11ECD" w:rsidR="00F12503" w:rsidRPr="00F12503" w:rsidRDefault="00F12503" w:rsidP="00F12503"/>
        </w:tc>
      </w:tr>
      <w:tr w:rsidR="003530C3" w:rsidRPr="00AD37B6" w14:paraId="4B5CC442" w14:textId="77777777" w:rsidTr="00A871EA">
        <w:trPr>
          <w:cantSplit/>
        </w:trPr>
        <w:tc>
          <w:tcPr>
            <w:tcW w:w="311" w:type="pct"/>
            <w:hideMark/>
          </w:tcPr>
          <w:p w14:paraId="63EC5EE2" w14:textId="77777777" w:rsidR="003530C3" w:rsidRPr="00AD37B6" w:rsidRDefault="003530C3" w:rsidP="00A871EA">
            <w:pPr>
              <w:jc w:val="center"/>
            </w:pPr>
            <w:r w:rsidRPr="00AD37B6">
              <w:t>1.</w:t>
            </w:r>
          </w:p>
        </w:tc>
        <w:tc>
          <w:tcPr>
            <w:tcW w:w="1479" w:type="pct"/>
            <w:hideMark/>
          </w:tcPr>
          <w:p w14:paraId="7E00EFB2" w14:textId="6F358A33" w:rsidR="001A0678" w:rsidRDefault="003530C3" w:rsidP="00A871EA">
            <w:r w:rsidRPr="00AD37B6">
              <w:t>Sabiedrības mērķgrupas, kuras tiesiskais regulējums ietekmē vai varētu ietekmēt</w:t>
            </w:r>
          </w:p>
          <w:p w14:paraId="22E987AB" w14:textId="77777777" w:rsidR="001A0678" w:rsidRPr="001A0678" w:rsidRDefault="001A0678" w:rsidP="001A0678"/>
          <w:p w14:paraId="365BE33E" w14:textId="77777777" w:rsidR="001A0678" w:rsidRPr="001A0678" w:rsidRDefault="001A0678" w:rsidP="001A0678"/>
          <w:p w14:paraId="7403CB99" w14:textId="7406724D" w:rsidR="003530C3" w:rsidRPr="001A0678" w:rsidRDefault="003530C3" w:rsidP="001A0678"/>
        </w:tc>
        <w:tc>
          <w:tcPr>
            <w:tcW w:w="3210" w:type="pct"/>
            <w:hideMark/>
          </w:tcPr>
          <w:p w14:paraId="04F87994" w14:textId="77777777" w:rsidR="003530C3" w:rsidRPr="00AD37B6" w:rsidRDefault="00187890" w:rsidP="00430376">
            <w:pPr>
              <w:jc w:val="both"/>
            </w:pPr>
            <w:r>
              <w:t>Latvijas nepilsoņi, kuri</w:t>
            </w:r>
            <w:r w:rsidR="00C23BAB">
              <w:t xml:space="preserve"> neatbilst likuma “Par to bijušās PSRS pilsoņu statusu, kuriem nav Latvijas vai citas valsts pilsonības” subjektu lokam. </w:t>
            </w:r>
          </w:p>
        </w:tc>
      </w:tr>
      <w:tr w:rsidR="003530C3" w:rsidRPr="00AD37B6" w14:paraId="014840C3" w14:textId="77777777" w:rsidTr="00A871EA">
        <w:trPr>
          <w:cantSplit/>
        </w:trPr>
        <w:tc>
          <w:tcPr>
            <w:tcW w:w="311" w:type="pct"/>
            <w:hideMark/>
          </w:tcPr>
          <w:p w14:paraId="40E1F93C" w14:textId="77777777" w:rsidR="003530C3" w:rsidRPr="00AD37B6" w:rsidRDefault="003530C3" w:rsidP="00A871EA">
            <w:pPr>
              <w:jc w:val="center"/>
            </w:pPr>
            <w:r w:rsidRPr="00AD37B6">
              <w:t>2.</w:t>
            </w:r>
          </w:p>
        </w:tc>
        <w:tc>
          <w:tcPr>
            <w:tcW w:w="1479" w:type="pct"/>
            <w:hideMark/>
          </w:tcPr>
          <w:p w14:paraId="382343CC" w14:textId="77777777" w:rsidR="003530C3" w:rsidRPr="00AD37B6" w:rsidRDefault="003530C3" w:rsidP="00A871EA">
            <w:r w:rsidRPr="00AD37B6">
              <w:t>Tiesiskā regulējuma ietekme uz tautsaimniecību un administratīvo slogu</w:t>
            </w:r>
          </w:p>
        </w:tc>
        <w:tc>
          <w:tcPr>
            <w:tcW w:w="3210" w:type="pct"/>
            <w:hideMark/>
          </w:tcPr>
          <w:p w14:paraId="3BECAA26" w14:textId="77777777" w:rsidR="003530C3" w:rsidRPr="00AD37B6" w:rsidRDefault="006606C1" w:rsidP="00C23BAB">
            <w:pPr>
              <w:jc w:val="both"/>
            </w:pPr>
            <w:r>
              <w:t>Projekts neparedz jaunu procedūru izveidi</w:t>
            </w:r>
            <w:r w:rsidR="00006A1F">
              <w:t xml:space="preserve"> vai maiņu</w:t>
            </w:r>
            <w:r w:rsidR="00C23BAB">
              <w:t xml:space="preserve">. </w:t>
            </w:r>
            <w:r>
              <w:t>Līdz ar to administratīvais slogs personām un iestādei ir nemainīgs.</w:t>
            </w:r>
          </w:p>
        </w:tc>
      </w:tr>
      <w:tr w:rsidR="003530C3" w:rsidRPr="00AD37B6" w14:paraId="50602E26" w14:textId="77777777" w:rsidTr="00A871EA">
        <w:trPr>
          <w:cantSplit/>
        </w:trPr>
        <w:tc>
          <w:tcPr>
            <w:tcW w:w="311" w:type="pct"/>
            <w:hideMark/>
          </w:tcPr>
          <w:p w14:paraId="4BE91ADB" w14:textId="77777777" w:rsidR="003530C3" w:rsidRPr="00AD37B6" w:rsidRDefault="003530C3" w:rsidP="00A871EA">
            <w:pPr>
              <w:jc w:val="center"/>
            </w:pPr>
            <w:r w:rsidRPr="00AD37B6">
              <w:t>3.</w:t>
            </w:r>
          </w:p>
        </w:tc>
        <w:tc>
          <w:tcPr>
            <w:tcW w:w="1479" w:type="pct"/>
            <w:hideMark/>
          </w:tcPr>
          <w:p w14:paraId="48B82F3B" w14:textId="77777777" w:rsidR="003530C3" w:rsidRPr="00AD37B6" w:rsidRDefault="003530C3" w:rsidP="00A871EA">
            <w:r w:rsidRPr="00AD37B6">
              <w:t>Administratīvo izmaksu monetārs novērtējums</w:t>
            </w:r>
          </w:p>
        </w:tc>
        <w:tc>
          <w:tcPr>
            <w:tcW w:w="3210" w:type="pct"/>
            <w:hideMark/>
          </w:tcPr>
          <w:p w14:paraId="5CF8D069" w14:textId="77777777" w:rsidR="003530C3" w:rsidRPr="00AD37B6" w:rsidRDefault="00430376" w:rsidP="00A871EA">
            <w:r>
              <w:t>Projekts šo jomu neskar.</w:t>
            </w:r>
          </w:p>
        </w:tc>
      </w:tr>
      <w:tr w:rsidR="003530C3" w:rsidRPr="00AD37B6" w14:paraId="1E1768A8" w14:textId="77777777" w:rsidTr="00A871EA">
        <w:trPr>
          <w:cantSplit/>
        </w:trPr>
        <w:tc>
          <w:tcPr>
            <w:tcW w:w="311" w:type="pct"/>
            <w:hideMark/>
          </w:tcPr>
          <w:p w14:paraId="14D75820" w14:textId="77777777" w:rsidR="003530C3" w:rsidRPr="00AD37B6" w:rsidRDefault="003530C3" w:rsidP="00A871EA">
            <w:pPr>
              <w:jc w:val="center"/>
            </w:pPr>
            <w:r w:rsidRPr="00AD37B6">
              <w:t>4.</w:t>
            </w:r>
          </w:p>
        </w:tc>
        <w:tc>
          <w:tcPr>
            <w:tcW w:w="1479" w:type="pct"/>
            <w:hideMark/>
          </w:tcPr>
          <w:p w14:paraId="245C81D1" w14:textId="77777777" w:rsidR="003530C3" w:rsidRPr="00AD37B6" w:rsidRDefault="003530C3" w:rsidP="00A871EA">
            <w:r w:rsidRPr="00AD37B6">
              <w:t>Atbilstības izmaksu monetārs novērtējums</w:t>
            </w:r>
          </w:p>
        </w:tc>
        <w:tc>
          <w:tcPr>
            <w:tcW w:w="3210" w:type="pct"/>
            <w:hideMark/>
          </w:tcPr>
          <w:p w14:paraId="0BECFFA1" w14:textId="77777777" w:rsidR="003530C3" w:rsidRPr="00AD37B6" w:rsidRDefault="003530C3" w:rsidP="00A871EA">
            <w:r>
              <w:t>Projekts šo jomu neskar.</w:t>
            </w:r>
          </w:p>
        </w:tc>
      </w:tr>
      <w:tr w:rsidR="003530C3" w:rsidRPr="00AD37B6" w14:paraId="32B936E0" w14:textId="77777777" w:rsidTr="00A871EA">
        <w:trPr>
          <w:cantSplit/>
        </w:trPr>
        <w:tc>
          <w:tcPr>
            <w:tcW w:w="311" w:type="pct"/>
            <w:hideMark/>
          </w:tcPr>
          <w:p w14:paraId="0316AC1C" w14:textId="77777777" w:rsidR="003530C3" w:rsidRPr="00AD37B6" w:rsidRDefault="003530C3" w:rsidP="00A871EA">
            <w:pPr>
              <w:jc w:val="center"/>
            </w:pPr>
            <w:r w:rsidRPr="00AD37B6">
              <w:t>5.</w:t>
            </w:r>
          </w:p>
        </w:tc>
        <w:tc>
          <w:tcPr>
            <w:tcW w:w="1479" w:type="pct"/>
            <w:hideMark/>
          </w:tcPr>
          <w:p w14:paraId="17D54EB2" w14:textId="77777777" w:rsidR="003530C3" w:rsidRPr="00AD37B6" w:rsidRDefault="003530C3" w:rsidP="00A871EA">
            <w:r w:rsidRPr="00AD37B6">
              <w:t>Cita informācija</w:t>
            </w:r>
          </w:p>
        </w:tc>
        <w:tc>
          <w:tcPr>
            <w:tcW w:w="3210" w:type="pct"/>
            <w:hideMark/>
          </w:tcPr>
          <w:p w14:paraId="6D38AFB2" w14:textId="77777777" w:rsidR="003530C3" w:rsidRPr="00AD37B6" w:rsidRDefault="003530C3" w:rsidP="00A871EA">
            <w:r>
              <w:t>Nav.</w:t>
            </w:r>
          </w:p>
        </w:tc>
      </w:tr>
    </w:tbl>
    <w:p w14:paraId="067B08EB" w14:textId="77777777" w:rsidR="003530C3" w:rsidRDefault="003530C3" w:rsidP="003530C3"/>
    <w:tbl>
      <w:tblPr>
        <w:tblW w:w="500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5"/>
      </w:tblGrid>
      <w:tr w:rsidR="003530C3" w:rsidRPr="00AD37B6" w14:paraId="7C2BBC7E" w14:textId="77777777" w:rsidTr="00A871EA">
        <w:trPr>
          <w:cantSplit/>
        </w:trPr>
        <w:tc>
          <w:tcPr>
            <w:tcW w:w="9065" w:type="dxa"/>
            <w:shd w:val="clear" w:color="auto" w:fill="auto"/>
            <w:vAlign w:val="center"/>
            <w:hideMark/>
          </w:tcPr>
          <w:p w14:paraId="3911D52C" w14:textId="77777777" w:rsidR="003530C3" w:rsidRPr="00AD37B6" w:rsidRDefault="003530C3" w:rsidP="00A871EA">
            <w:pPr>
              <w:jc w:val="center"/>
              <w:rPr>
                <w:b/>
                <w:bCs/>
                <w:lang w:eastAsia="en-US"/>
              </w:rPr>
            </w:pPr>
            <w:r w:rsidRPr="00AD37B6">
              <w:rPr>
                <w:b/>
                <w:bCs/>
                <w:lang w:eastAsia="en-US"/>
              </w:rPr>
              <w:t>III. Tiesību akta projekta ietekme uz valsts budžetu un pašvaldību budžetiem</w:t>
            </w:r>
          </w:p>
        </w:tc>
      </w:tr>
      <w:tr w:rsidR="006606C1" w:rsidRPr="00AD37B6" w14:paraId="3B589820" w14:textId="77777777" w:rsidTr="00A871EA">
        <w:trPr>
          <w:cantSplit/>
        </w:trPr>
        <w:tc>
          <w:tcPr>
            <w:tcW w:w="9065" w:type="dxa"/>
            <w:shd w:val="clear" w:color="auto" w:fill="auto"/>
          </w:tcPr>
          <w:p w14:paraId="34EB20DD" w14:textId="77777777" w:rsidR="006606C1" w:rsidRPr="006606C1" w:rsidRDefault="006606C1" w:rsidP="006606C1">
            <w:pPr>
              <w:jc w:val="center"/>
              <w:rPr>
                <w:lang w:eastAsia="en-US"/>
              </w:rPr>
            </w:pPr>
            <w:r>
              <w:t>Projekts šo jomu neskar.</w:t>
            </w:r>
          </w:p>
        </w:tc>
      </w:tr>
    </w:tbl>
    <w:p w14:paraId="50D0D54C" w14:textId="77777777" w:rsidR="003530C3" w:rsidRDefault="003530C3" w:rsidP="003530C3"/>
    <w:tbl>
      <w:tblPr>
        <w:tblW w:w="500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65"/>
      </w:tblGrid>
      <w:tr w:rsidR="003530C3" w:rsidRPr="00AD37B6" w14:paraId="1821343A" w14:textId="77777777" w:rsidTr="00A871EA">
        <w:trPr>
          <w:cantSplit/>
        </w:trPr>
        <w:tc>
          <w:tcPr>
            <w:tcW w:w="9065" w:type="dxa"/>
            <w:vAlign w:val="center"/>
            <w:hideMark/>
          </w:tcPr>
          <w:p w14:paraId="76939DFF" w14:textId="77777777" w:rsidR="003530C3" w:rsidRPr="00AD37B6" w:rsidRDefault="003530C3" w:rsidP="00A871EA">
            <w:pPr>
              <w:jc w:val="center"/>
              <w:rPr>
                <w:b/>
                <w:bCs/>
              </w:rPr>
            </w:pPr>
            <w:r w:rsidRPr="00AD37B6">
              <w:rPr>
                <w:b/>
                <w:bCs/>
              </w:rPr>
              <w:t>IV. Tiesību akta projekta ietekme uz spēkā esošo tiesību normu sistēmu</w:t>
            </w:r>
          </w:p>
        </w:tc>
      </w:tr>
      <w:tr w:rsidR="003530C3" w:rsidRPr="00AD37B6" w14:paraId="63D84AA1" w14:textId="77777777" w:rsidTr="00A871EA">
        <w:trPr>
          <w:cantSplit/>
          <w:trHeight w:val="288"/>
        </w:trPr>
        <w:tc>
          <w:tcPr>
            <w:tcW w:w="9065" w:type="dxa"/>
          </w:tcPr>
          <w:p w14:paraId="4CDD60D3" w14:textId="77777777" w:rsidR="003530C3" w:rsidRPr="00AD37B6" w:rsidRDefault="003530C3" w:rsidP="00A871EA">
            <w:pPr>
              <w:jc w:val="center"/>
            </w:pPr>
            <w:r>
              <w:t>Projekts šo jomu neskar.</w:t>
            </w:r>
          </w:p>
        </w:tc>
      </w:tr>
    </w:tbl>
    <w:p w14:paraId="7BB3E35E" w14:textId="77777777" w:rsidR="00D070B5" w:rsidRPr="00AD37B6" w:rsidRDefault="00D070B5" w:rsidP="00D070B5">
      <w:pPr>
        <w:pStyle w:val="Nosaukums"/>
        <w:spacing w:before="130" w:line="26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61"/>
      </w:tblGrid>
      <w:tr w:rsidR="003530C3" w:rsidRPr="00AD37B6" w14:paraId="443D708D" w14:textId="77777777" w:rsidTr="00A871EA">
        <w:trPr>
          <w:cantSplit/>
        </w:trPr>
        <w:tc>
          <w:tcPr>
            <w:tcW w:w="5000" w:type="pct"/>
            <w:vAlign w:val="center"/>
            <w:hideMark/>
          </w:tcPr>
          <w:p w14:paraId="3F268808" w14:textId="77777777" w:rsidR="003530C3" w:rsidRPr="00AD37B6" w:rsidRDefault="003530C3" w:rsidP="00A871EA">
            <w:pPr>
              <w:jc w:val="center"/>
              <w:rPr>
                <w:b/>
                <w:bCs/>
              </w:rPr>
            </w:pPr>
            <w:r w:rsidRPr="00AD37B6">
              <w:rPr>
                <w:b/>
                <w:bCs/>
              </w:rPr>
              <w:t>V. Tiesību akta projekta atbilstība Latvijas Republikas starptautiskajām saistībām</w:t>
            </w:r>
          </w:p>
        </w:tc>
      </w:tr>
      <w:tr w:rsidR="003530C3" w:rsidRPr="00AD37B6" w14:paraId="7F600FF5" w14:textId="77777777" w:rsidTr="00A871EA">
        <w:trPr>
          <w:cantSplit/>
          <w:trHeight w:val="162"/>
        </w:trPr>
        <w:tc>
          <w:tcPr>
            <w:tcW w:w="5000" w:type="pct"/>
          </w:tcPr>
          <w:p w14:paraId="04139C4E" w14:textId="77777777" w:rsidR="003530C3" w:rsidRPr="00AD37B6" w:rsidRDefault="003530C3" w:rsidP="00A871EA">
            <w:pPr>
              <w:jc w:val="center"/>
            </w:pPr>
            <w:r>
              <w:t>Projekts šo jomu neskar.</w:t>
            </w:r>
          </w:p>
        </w:tc>
      </w:tr>
    </w:tbl>
    <w:p w14:paraId="23512FFA" w14:textId="77777777" w:rsidR="003530C3" w:rsidRDefault="003530C3" w:rsidP="003530C3">
      <w:pPr>
        <w:pStyle w:val="Nosaukums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"/>
        <w:gridCol w:w="2355"/>
        <w:gridCol w:w="6466"/>
      </w:tblGrid>
      <w:tr w:rsidR="003530C3" w:rsidRPr="00AD37B6" w14:paraId="2E70AB12" w14:textId="77777777" w:rsidTr="00A871EA">
        <w:trPr>
          <w:cantSplit/>
        </w:trPr>
        <w:tc>
          <w:tcPr>
            <w:tcW w:w="5000" w:type="pct"/>
            <w:gridSpan w:val="3"/>
            <w:vAlign w:val="center"/>
            <w:hideMark/>
          </w:tcPr>
          <w:p w14:paraId="7CAA5AF7" w14:textId="77777777" w:rsidR="003530C3" w:rsidRPr="00AD37B6" w:rsidRDefault="003530C3" w:rsidP="00A871EA">
            <w:pPr>
              <w:jc w:val="center"/>
              <w:rPr>
                <w:b/>
                <w:bCs/>
              </w:rPr>
            </w:pPr>
            <w:r w:rsidRPr="00AD37B6">
              <w:rPr>
                <w:b/>
                <w:bCs/>
              </w:rPr>
              <w:t>VI. Sabiedrības līdzdalība un komunikācijas aktivitātes</w:t>
            </w:r>
          </w:p>
        </w:tc>
      </w:tr>
      <w:tr w:rsidR="003530C3" w:rsidRPr="00AD37B6" w14:paraId="13AF2391" w14:textId="77777777" w:rsidTr="00D070B5">
        <w:trPr>
          <w:cantSplit/>
        </w:trPr>
        <w:tc>
          <w:tcPr>
            <w:tcW w:w="132" w:type="pct"/>
            <w:hideMark/>
          </w:tcPr>
          <w:p w14:paraId="335F9666" w14:textId="77777777" w:rsidR="003530C3" w:rsidRPr="00AD37B6" w:rsidRDefault="003530C3" w:rsidP="00A871EA">
            <w:pPr>
              <w:jc w:val="center"/>
            </w:pPr>
            <w:r w:rsidRPr="00AD37B6">
              <w:t>1.</w:t>
            </w:r>
          </w:p>
        </w:tc>
        <w:tc>
          <w:tcPr>
            <w:tcW w:w="1300" w:type="pct"/>
            <w:hideMark/>
          </w:tcPr>
          <w:p w14:paraId="75199E1E" w14:textId="77777777" w:rsidR="003530C3" w:rsidRPr="00AD37B6" w:rsidRDefault="003530C3" w:rsidP="00A871EA">
            <w:r w:rsidRPr="00AD37B6">
              <w:t>Plānotās sabiedrības līdzdalības un komunikācijas aktivitātes saistībā ar projektu</w:t>
            </w:r>
          </w:p>
        </w:tc>
        <w:tc>
          <w:tcPr>
            <w:tcW w:w="3568" w:type="pct"/>
            <w:hideMark/>
          </w:tcPr>
          <w:p w14:paraId="72D3E7A5" w14:textId="77777777" w:rsidR="00D070B5" w:rsidRDefault="009D024E" w:rsidP="00A871EA">
            <w:pPr>
              <w:jc w:val="both"/>
              <w:rPr>
                <w:color w:val="000000" w:themeColor="text1"/>
              </w:rPr>
            </w:pPr>
            <w:r w:rsidRPr="00F566C3">
              <w:rPr>
                <w:color w:val="000000" w:themeColor="text1"/>
              </w:rPr>
              <w:t>Par projektu informēta sabiedrība, informāciju publicējot Iekšlietu ministrijas, Pilsonības un migrācijas lietu pārvaldes, Ministru kabineta tīmekļvietnēs.</w:t>
            </w:r>
          </w:p>
          <w:p w14:paraId="466AA3CC" w14:textId="77777777" w:rsidR="00D070B5" w:rsidRDefault="00D070B5" w:rsidP="00A871EA">
            <w:pPr>
              <w:jc w:val="both"/>
              <w:rPr>
                <w:color w:val="000000" w:themeColor="text1"/>
              </w:rPr>
            </w:pPr>
          </w:p>
          <w:p w14:paraId="041A9085" w14:textId="77777777" w:rsidR="009D024E" w:rsidRDefault="009D024E" w:rsidP="00A871EA">
            <w:pPr>
              <w:jc w:val="both"/>
              <w:rPr>
                <w:color w:val="000000" w:themeColor="text1"/>
              </w:rPr>
            </w:pPr>
          </w:p>
          <w:p w14:paraId="0A26F5C4" w14:textId="77777777" w:rsidR="00D070B5" w:rsidRPr="00AD37B6" w:rsidRDefault="00D070B5" w:rsidP="00A871EA">
            <w:pPr>
              <w:jc w:val="both"/>
            </w:pPr>
          </w:p>
        </w:tc>
      </w:tr>
      <w:tr w:rsidR="003530C3" w:rsidRPr="00AD37B6" w14:paraId="4949956C" w14:textId="77777777" w:rsidTr="00D070B5">
        <w:trPr>
          <w:cantSplit/>
        </w:trPr>
        <w:tc>
          <w:tcPr>
            <w:tcW w:w="132" w:type="pct"/>
            <w:hideMark/>
          </w:tcPr>
          <w:p w14:paraId="40F43077" w14:textId="77777777" w:rsidR="003530C3" w:rsidRPr="00AD37B6" w:rsidRDefault="003530C3" w:rsidP="00A871EA">
            <w:pPr>
              <w:jc w:val="center"/>
            </w:pPr>
            <w:r w:rsidRPr="00AD37B6">
              <w:lastRenderedPageBreak/>
              <w:t>2.</w:t>
            </w:r>
          </w:p>
        </w:tc>
        <w:tc>
          <w:tcPr>
            <w:tcW w:w="1300" w:type="pct"/>
            <w:hideMark/>
          </w:tcPr>
          <w:p w14:paraId="72F4274F" w14:textId="77777777" w:rsidR="003530C3" w:rsidRPr="00AD37B6" w:rsidRDefault="003530C3" w:rsidP="00A871EA">
            <w:r w:rsidRPr="00AD37B6">
              <w:t>Sabiedrības līdzdalība projekta izstrādē</w:t>
            </w:r>
          </w:p>
        </w:tc>
        <w:tc>
          <w:tcPr>
            <w:tcW w:w="3568" w:type="pct"/>
            <w:hideMark/>
          </w:tcPr>
          <w:p w14:paraId="1B94F8FD" w14:textId="77777777" w:rsidR="009D024E" w:rsidRPr="00F566C3" w:rsidRDefault="009D024E" w:rsidP="009D024E">
            <w:pPr>
              <w:jc w:val="both"/>
              <w:rPr>
                <w:rFonts w:eastAsia="Calibri"/>
              </w:rPr>
            </w:pPr>
            <w:r w:rsidRPr="00F566C3">
              <w:rPr>
                <w:rFonts w:eastAsia="Calibri"/>
              </w:rPr>
              <w:t>Projekts publicēts:</w:t>
            </w:r>
          </w:p>
          <w:p w14:paraId="3D20BBFB" w14:textId="77777777" w:rsidR="009D024E" w:rsidRPr="00F566C3" w:rsidRDefault="009D024E" w:rsidP="009D024E">
            <w:pPr>
              <w:jc w:val="both"/>
              <w:rPr>
                <w:rFonts w:eastAsia="Calibri"/>
              </w:rPr>
            </w:pPr>
            <w:r w:rsidRPr="00F566C3">
              <w:rPr>
                <w:rFonts w:eastAsia="Calibri"/>
              </w:rPr>
              <w:t xml:space="preserve">1) Pilsonības un migrācijas lietu pārvaldes tīmekļvietnē, adrese: </w:t>
            </w:r>
            <w:hyperlink r:id="rId6" w:history="1">
              <w:r>
                <w:rPr>
                  <w:rStyle w:val="Hipersaite"/>
                </w:rPr>
                <w:t>https://www.pmlp.gov.lv/lv/sakums/tiesibu-akti/tiesibu-aktu-projekti/</w:t>
              </w:r>
            </w:hyperlink>
          </w:p>
          <w:p w14:paraId="2BD85D42" w14:textId="77777777" w:rsidR="009D024E" w:rsidRPr="00F566C3" w:rsidRDefault="009D024E" w:rsidP="009D024E">
            <w:pPr>
              <w:jc w:val="both"/>
              <w:rPr>
                <w:rFonts w:eastAsia="Calibri"/>
              </w:rPr>
            </w:pPr>
            <w:r w:rsidRPr="00F566C3">
              <w:rPr>
                <w:rFonts w:eastAsia="Calibri"/>
              </w:rPr>
              <w:t xml:space="preserve">2) Iekšlietu ministrijas tīmekļvietnē, adrese: </w:t>
            </w:r>
            <w:hyperlink r:id="rId7" w:history="1">
              <w:r w:rsidRPr="00F566C3">
                <w:rPr>
                  <w:rStyle w:val="Hipersaite"/>
                  <w:rFonts w:eastAsia="Calibri"/>
                </w:rPr>
                <w:t>http://www.iem.gov.lv/lat/sadarbiba_ar_nvo/diskusiju_dokumenti/</w:t>
              </w:r>
            </w:hyperlink>
          </w:p>
          <w:p w14:paraId="267E74FC" w14:textId="77777777" w:rsidR="009D024E" w:rsidRPr="00F566C3" w:rsidRDefault="009D024E" w:rsidP="009D024E">
            <w:pPr>
              <w:jc w:val="both"/>
              <w:rPr>
                <w:rFonts w:eastAsia="Calibri"/>
              </w:rPr>
            </w:pPr>
            <w:r w:rsidRPr="00F566C3">
              <w:rPr>
                <w:rFonts w:eastAsia="Calibri"/>
              </w:rPr>
              <w:t xml:space="preserve">3) Ministru kabineta tīmekļvietnē, adrese: </w:t>
            </w:r>
            <w:hyperlink r:id="rId8" w:history="1">
              <w:r w:rsidRPr="00F566C3">
                <w:rPr>
                  <w:rStyle w:val="Hipersaite"/>
                  <w:rFonts w:eastAsia="Calibri"/>
                </w:rPr>
                <w:t>http://www.mk.gov.lv/content/ministru-kabineta-diskusiju-dokumenti</w:t>
              </w:r>
            </w:hyperlink>
          </w:p>
          <w:p w14:paraId="5C5AB060" w14:textId="77777777" w:rsidR="007C1CA3" w:rsidRDefault="009D024E" w:rsidP="00364ADB">
            <w:pPr>
              <w:jc w:val="both"/>
              <w:rPr>
                <w:color w:val="000000"/>
              </w:rPr>
            </w:pPr>
            <w:r w:rsidRPr="00F566C3">
              <w:rPr>
                <w:rFonts w:eastAsia="Calibri"/>
                <w:color w:val="000000" w:themeColor="text1"/>
              </w:rPr>
              <w:t xml:space="preserve">Sabiedrības </w:t>
            </w:r>
            <w:r w:rsidRPr="00F566C3">
              <w:rPr>
                <w:rFonts w:eastAsia="Calibri"/>
              </w:rPr>
              <w:t>pārstāvjiem tika dota iespēja līdzdarboties projekta izstrādē, rakstveidā sniedzot viedokli par projektu līdz ______.gada __._______</w:t>
            </w:r>
            <w:r w:rsidRPr="00F566C3">
              <w:rPr>
                <w:color w:val="000000"/>
              </w:rPr>
              <w:t>.</w:t>
            </w:r>
          </w:p>
          <w:p w14:paraId="1E2D41FF" w14:textId="77777777" w:rsidR="005F534A" w:rsidRPr="005F534A" w:rsidRDefault="005F534A" w:rsidP="00364ADB">
            <w:pPr>
              <w:jc w:val="both"/>
              <w:rPr>
                <w:color w:val="000000"/>
              </w:rPr>
            </w:pPr>
          </w:p>
        </w:tc>
      </w:tr>
      <w:tr w:rsidR="003530C3" w:rsidRPr="00AD37B6" w14:paraId="6CA941FB" w14:textId="77777777" w:rsidTr="00D070B5">
        <w:trPr>
          <w:cantSplit/>
        </w:trPr>
        <w:tc>
          <w:tcPr>
            <w:tcW w:w="132" w:type="pct"/>
            <w:hideMark/>
          </w:tcPr>
          <w:p w14:paraId="26F63C82" w14:textId="77777777" w:rsidR="003530C3" w:rsidRPr="00AD37B6" w:rsidRDefault="003530C3" w:rsidP="00A871EA">
            <w:pPr>
              <w:jc w:val="center"/>
            </w:pPr>
            <w:r w:rsidRPr="00AD37B6">
              <w:t>3.</w:t>
            </w:r>
          </w:p>
        </w:tc>
        <w:tc>
          <w:tcPr>
            <w:tcW w:w="1300" w:type="pct"/>
            <w:hideMark/>
          </w:tcPr>
          <w:p w14:paraId="4F7C0CC2" w14:textId="77777777" w:rsidR="003530C3" w:rsidRPr="00AD37B6" w:rsidRDefault="003530C3" w:rsidP="00A871EA">
            <w:r w:rsidRPr="00AD37B6">
              <w:t>Sabiedrības līdzdalības rezultāti</w:t>
            </w:r>
          </w:p>
        </w:tc>
        <w:tc>
          <w:tcPr>
            <w:tcW w:w="3568" w:type="pct"/>
            <w:hideMark/>
          </w:tcPr>
          <w:p w14:paraId="65025DE5" w14:textId="77777777" w:rsidR="00CE6F33" w:rsidRDefault="00CE6F33" w:rsidP="00CE6F33">
            <w:pPr>
              <w:jc w:val="both"/>
            </w:pPr>
          </w:p>
          <w:p w14:paraId="26D8F7DB" w14:textId="77777777" w:rsidR="00C4461A" w:rsidRPr="00AD37B6" w:rsidRDefault="00C4461A" w:rsidP="00CE6F33">
            <w:pPr>
              <w:jc w:val="both"/>
            </w:pPr>
          </w:p>
        </w:tc>
      </w:tr>
      <w:tr w:rsidR="003530C3" w:rsidRPr="00AD37B6" w14:paraId="793B14A3" w14:textId="77777777" w:rsidTr="00D070B5">
        <w:trPr>
          <w:cantSplit/>
        </w:trPr>
        <w:tc>
          <w:tcPr>
            <w:tcW w:w="132" w:type="pct"/>
            <w:hideMark/>
          </w:tcPr>
          <w:p w14:paraId="34552794" w14:textId="77777777" w:rsidR="003530C3" w:rsidRPr="00AD37B6" w:rsidRDefault="003530C3" w:rsidP="00A871EA">
            <w:pPr>
              <w:jc w:val="center"/>
            </w:pPr>
            <w:r w:rsidRPr="00AD37B6">
              <w:t>4.</w:t>
            </w:r>
          </w:p>
        </w:tc>
        <w:tc>
          <w:tcPr>
            <w:tcW w:w="1300" w:type="pct"/>
            <w:hideMark/>
          </w:tcPr>
          <w:p w14:paraId="41DC3A19" w14:textId="77777777" w:rsidR="003530C3" w:rsidRPr="00AD37B6" w:rsidRDefault="003530C3" w:rsidP="00A871EA">
            <w:r w:rsidRPr="00AD37B6">
              <w:t>Cita informācija</w:t>
            </w:r>
          </w:p>
        </w:tc>
        <w:tc>
          <w:tcPr>
            <w:tcW w:w="3568" w:type="pct"/>
            <w:hideMark/>
          </w:tcPr>
          <w:p w14:paraId="38ADA90C" w14:textId="77777777" w:rsidR="003530C3" w:rsidRPr="00AD37B6" w:rsidRDefault="003530C3" w:rsidP="00A871EA">
            <w:r>
              <w:t>Nav.</w:t>
            </w:r>
          </w:p>
        </w:tc>
      </w:tr>
    </w:tbl>
    <w:p w14:paraId="6A93A4E7" w14:textId="77777777" w:rsidR="00D070B5" w:rsidRPr="00AD37B6" w:rsidRDefault="00D070B5" w:rsidP="003530C3">
      <w:pPr>
        <w:pStyle w:val="Nosaukums"/>
        <w:spacing w:before="130" w:line="260" w:lineRule="exact"/>
        <w:ind w:firstLine="53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680"/>
        <w:gridCol w:w="5817"/>
      </w:tblGrid>
      <w:tr w:rsidR="003530C3" w:rsidRPr="00AD37B6" w14:paraId="13ACC526" w14:textId="77777777" w:rsidTr="00A871EA">
        <w:trPr>
          <w:cantSplit/>
        </w:trPr>
        <w:tc>
          <w:tcPr>
            <w:tcW w:w="5000" w:type="pct"/>
            <w:gridSpan w:val="3"/>
            <w:vAlign w:val="center"/>
            <w:hideMark/>
          </w:tcPr>
          <w:p w14:paraId="3D2A1D24" w14:textId="77777777" w:rsidR="003530C3" w:rsidRPr="00AD37B6" w:rsidRDefault="003530C3" w:rsidP="00A871EA">
            <w:pPr>
              <w:jc w:val="center"/>
              <w:rPr>
                <w:b/>
                <w:bCs/>
              </w:rPr>
            </w:pPr>
            <w:r w:rsidRPr="00AD37B6">
              <w:rPr>
                <w:b/>
                <w:bCs/>
              </w:rPr>
              <w:t>VII. Tiesību akta projekta izpildes nodrošināšana un tās ietekme uz institūcijām</w:t>
            </w:r>
          </w:p>
        </w:tc>
      </w:tr>
      <w:tr w:rsidR="003530C3" w:rsidRPr="00AD37B6" w14:paraId="3A73F1E7" w14:textId="77777777" w:rsidTr="00A871EA">
        <w:trPr>
          <w:cantSplit/>
        </w:trPr>
        <w:tc>
          <w:tcPr>
            <w:tcW w:w="311" w:type="pct"/>
            <w:hideMark/>
          </w:tcPr>
          <w:p w14:paraId="6613F8D3" w14:textId="77777777" w:rsidR="003530C3" w:rsidRPr="00AD37B6" w:rsidRDefault="003530C3" w:rsidP="00A871EA">
            <w:pPr>
              <w:jc w:val="center"/>
            </w:pPr>
            <w:r w:rsidRPr="00AD37B6">
              <w:t>1.</w:t>
            </w:r>
          </w:p>
        </w:tc>
        <w:tc>
          <w:tcPr>
            <w:tcW w:w="1479" w:type="pct"/>
            <w:hideMark/>
          </w:tcPr>
          <w:p w14:paraId="273DB56F" w14:textId="77777777" w:rsidR="003530C3" w:rsidRPr="00AD37B6" w:rsidRDefault="003530C3" w:rsidP="00A871EA">
            <w:r w:rsidRPr="00AD37B6">
              <w:t>Projekta izpildē iesaistītās institūcijas</w:t>
            </w:r>
          </w:p>
        </w:tc>
        <w:tc>
          <w:tcPr>
            <w:tcW w:w="3210" w:type="pct"/>
            <w:hideMark/>
          </w:tcPr>
          <w:p w14:paraId="056623B1" w14:textId="77777777" w:rsidR="003530C3" w:rsidRPr="00AD37B6" w:rsidRDefault="003530C3" w:rsidP="00A871EA">
            <w:r w:rsidRPr="005614F6">
              <w:t>Pilsonības un migrācijas lietu pārvalde.</w:t>
            </w:r>
          </w:p>
        </w:tc>
      </w:tr>
      <w:tr w:rsidR="003530C3" w:rsidRPr="00AD37B6" w14:paraId="06A890B4" w14:textId="77777777" w:rsidTr="00A871EA">
        <w:trPr>
          <w:cantSplit/>
        </w:trPr>
        <w:tc>
          <w:tcPr>
            <w:tcW w:w="311" w:type="pct"/>
            <w:hideMark/>
          </w:tcPr>
          <w:p w14:paraId="0D13F207" w14:textId="77777777" w:rsidR="003530C3" w:rsidRPr="00AD37B6" w:rsidRDefault="003530C3" w:rsidP="00A871EA">
            <w:pPr>
              <w:jc w:val="center"/>
            </w:pPr>
            <w:r w:rsidRPr="00AD37B6">
              <w:t>2.</w:t>
            </w:r>
          </w:p>
        </w:tc>
        <w:tc>
          <w:tcPr>
            <w:tcW w:w="1479" w:type="pct"/>
            <w:hideMark/>
          </w:tcPr>
          <w:p w14:paraId="5138B87B" w14:textId="77777777" w:rsidR="003530C3" w:rsidRPr="00AD37B6" w:rsidRDefault="003530C3" w:rsidP="00A871EA">
            <w:r w:rsidRPr="00AD37B6">
              <w:t>Projekta izpildes ietekme uz pārvaldes funkcijām un institucionālo struktūru.</w:t>
            </w:r>
            <w:r w:rsidRPr="00AD37B6"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210" w:type="pct"/>
            <w:hideMark/>
          </w:tcPr>
          <w:p w14:paraId="080A1A88" w14:textId="77777777" w:rsidR="003530C3" w:rsidRPr="00AD37B6" w:rsidRDefault="003530C3" w:rsidP="00A871EA">
            <w:pPr>
              <w:jc w:val="both"/>
            </w:pPr>
            <w:r w:rsidRPr="0014571E">
              <w:t>Projekta izpildes rezultātā nav paredzēta esošu institūciju likvidācija vai reorganizācija. Iestāžu institucionālā struktūra netiek ietekmēta, papildus cilvēkresursi nav nepieciešami.</w:t>
            </w:r>
          </w:p>
        </w:tc>
      </w:tr>
      <w:tr w:rsidR="003530C3" w:rsidRPr="00AD37B6" w14:paraId="3FBD909F" w14:textId="77777777" w:rsidTr="00A871EA">
        <w:trPr>
          <w:cantSplit/>
        </w:trPr>
        <w:tc>
          <w:tcPr>
            <w:tcW w:w="311" w:type="pct"/>
            <w:hideMark/>
          </w:tcPr>
          <w:p w14:paraId="0BC3ECD6" w14:textId="77777777" w:rsidR="003530C3" w:rsidRPr="00AD37B6" w:rsidRDefault="003530C3" w:rsidP="00A871EA">
            <w:pPr>
              <w:jc w:val="center"/>
            </w:pPr>
            <w:r w:rsidRPr="00AD37B6">
              <w:t>3.</w:t>
            </w:r>
          </w:p>
        </w:tc>
        <w:tc>
          <w:tcPr>
            <w:tcW w:w="1479" w:type="pct"/>
            <w:hideMark/>
          </w:tcPr>
          <w:p w14:paraId="76617DFE" w14:textId="77777777" w:rsidR="003530C3" w:rsidRPr="00AD37B6" w:rsidRDefault="003530C3" w:rsidP="00A871EA">
            <w:r w:rsidRPr="00AD37B6">
              <w:t>Cita informācija</w:t>
            </w:r>
          </w:p>
        </w:tc>
        <w:tc>
          <w:tcPr>
            <w:tcW w:w="3210" w:type="pct"/>
            <w:hideMark/>
          </w:tcPr>
          <w:p w14:paraId="152B7894" w14:textId="77777777" w:rsidR="003530C3" w:rsidRPr="00AD37B6" w:rsidRDefault="003530C3" w:rsidP="00A871EA">
            <w:r>
              <w:t>Nav.</w:t>
            </w:r>
          </w:p>
        </w:tc>
      </w:tr>
    </w:tbl>
    <w:p w14:paraId="6661E8D8" w14:textId="77777777" w:rsidR="003530C3" w:rsidRPr="00AD37B6" w:rsidRDefault="003530C3" w:rsidP="003530C3"/>
    <w:p w14:paraId="552E9270" w14:textId="77777777" w:rsidR="003530C3" w:rsidRDefault="003530C3" w:rsidP="003530C3">
      <w:pPr>
        <w:tabs>
          <w:tab w:val="left" w:pos="6521"/>
        </w:tabs>
        <w:jc w:val="both"/>
      </w:pPr>
    </w:p>
    <w:p w14:paraId="76B4C912" w14:textId="77777777" w:rsidR="003530C3" w:rsidRPr="005614F6" w:rsidRDefault="003530C3" w:rsidP="003530C3">
      <w:pPr>
        <w:tabs>
          <w:tab w:val="left" w:pos="6521"/>
        </w:tabs>
        <w:jc w:val="both"/>
      </w:pPr>
      <w:r w:rsidRPr="005614F6">
        <w:t>Iekšlietu ministrs</w:t>
      </w:r>
      <w:r w:rsidRPr="005614F6">
        <w:tab/>
      </w:r>
      <w:proofErr w:type="spellStart"/>
      <w:r w:rsidR="00476C92">
        <w:t>S.Ģirģens</w:t>
      </w:r>
      <w:proofErr w:type="spellEnd"/>
    </w:p>
    <w:p w14:paraId="1092B772" w14:textId="77777777" w:rsidR="003530C3" w:rsidRDefault="003530C3" w:rsidP="003530C3">
      <w:pPr>
        <w:pStyle w:val="naisf"/>
        <w:rPr>
          <w:szCs w:val="24"/>
        </w:rPr>
      </w:pPr>
    </w:p>
    <w:p w14:paraId="67944649" w14:textId="77777777" w:rsidR="006606C1" w:rsidRPr="005614F6" w:rsidRDefault="006606C1" w:rsidP="003530C3">
      <w:pPr>
        <w:pStyle w:val="naisf"/>
        <w:rPr>
          <w:szCs w:val="24"/>
        </w:rPr>
      </w:pPr>
    </w:p>
    <w:p w14:paraId="3E594F5D" w14:textId="77777777" w:rsidR="002173DD" w:rsidRDefault="003530C3" w:rsidP="003530C3">
      <w:pPr>
        <w:pStyle w:val="naisf"/>
        <w:rPr>
          <w:szCs w:val="24"/>
        </w:rPr>
      </w:pPr>
      <w:r>
        <w:rPr>
          <w:szCs w:val="24"/>
        </w:rPr>
        <w:t xml:space="preserve">Vīza: </w:t>
      </w:r>
    </w:p>
    <w:p w14:paraId="03466B65" w14:textId="1EB76AF6" w:rsidR="003530C3" w:rsidRPr="005614F6" w:rsidRDefault="003530C3" w:rsidP="003530C3">
      <w:pPr>
        <w:pStyle w:val="naisf"/>
        <w:rPr>
          <w:szCs w:val="24"/>
        </w:rPr>
      </w:pPr>
      <w:r>
        <w:rPr>
          <w:szCs w:val="24"/>
        </w:rPr>
        <w:t>valsts sekretārs</w:t>
      </w:r>
      <w:r w:rsidRPr="005614F6">
        <w:rPr>
          <w:szCs w:val="24"/>
        </w:rPr>
        <w:tab/>
      </w:r>
      <w:r w:rsidRPr="005614F6">
        <w:rPr>
          <w:szCs w:val="24"/>
        </w:rPr>
        <w:tab/>
      </w:r>
      <w:r w:rsidRPr="005614F6">
        <w:rPr>
          <w:szCs w:val="24"/>
        </w:rPr>
        <w:tab/>
      </w:r>
      <w:r w:rsidR="003765FE">
        <w:rPr>
          <w:szCs w:val="24"/>
        </w:rPr>
        <w:tab/>
      </w:r>
      <w:r w:rsidRPr="005614F6">
        <w:rPr>
          <w:szCs w:val="24"/>
        </w:rPr>
        <w:tab/>
      </w:r>
      <w:r w:rsidRPr="005614F6">
        <w:rPr>
          <w:szCs w:val="24"/>
        </w:rPr>
        <w:tab/>
      </w:r>
      <w:r w:rsidRPr="005614F6">
        <w:rPr>
          <w:szCs w:val="24"/>
        </w:rPr>
        <w:tab/>
      </w:r>
      <w:proofErr w:type="spellStart"/>
      <w:r>
        <w:rPr>
          <w:szCs w:val="24"/>
        </w:rPr>
        <w:t>D.Trofimovs</w:t>
      </w:r>
      <w:proofErr w:type="spellEnd"/>
    </w:p>
    <w:p w14:paraId="3F92B58B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7A4B63A5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393AB318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1BF566D4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307694F4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67FDE727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1299B9C8" w14:textId="77777777" w:rsidR="003530C3" w:rsidRDefault="003530C3" w:rsidP="003530C3">
      <w:pPr>
        <w:pStyle w:val="naisf"/>
        <w:spacing w:before="0" w:after="0"/>
        <w:rPr>
          <w:sz w:val="20"/>
        </w:rPr>
      </w:pPr>
    </w:p>
    <w:p w14:paraId="2E78F5BD" w14:textId="77777777" w:rsidR="003530C3" w:rsidRDefault="003530C3" w:rsidP="003530C3">
      <w:pPr>
        <w:rPr>
          <w:sz w:val="20"/>
          <w:szCs w:val="20"/>
        </w:rPr>
      </w:pPr>
    </w:p>
    <w:p w14:paraId="71782375" w14:textId="77777777" w:rsidR="003530C3" w:rsidRPr="005614F6" w:rsidRDefault="00F37E98" w:rsidP="003530C3">
      <w:pPr>
        <w:rPr>
          <w:sz w:val="20"/>
          <w:szCs w:val="20"/>
        </w:rPr>
      </w:pPr>
      <w:r>
        <w:rPr>
          <w:sz w:val="20"/>
          <w:szCs w:val="20"/>
        </w:rPr>
        <w:t>Z.</w:t>
      </w:r>
      <w:r w:rsidR="004E3E56">
        <w:rPr>
          <w:sz w:val="20"/>
          <w:szCs w:val="20"/>
        </w:rPr>
        <w:t>Zeimule, 67219485</w:t>
      </w:r>
    </w:p>
    <w:p w14:paraId="28F52A81" w14:textId="77777777" w:rsidR="003530C3" w:rsidRPr="005614F6" w:rsidRDefault="00D92B0F" w:rsidP="003530C3">
      <w:pPr>
        <w:rPr>
          <w:sz w:val="20"/>
          <w:szCs w:val="20"/>
        </w:rPr>
      </w:pPr>
      <w:hyperlink r:id="rId9" w:history="1">
        <w:r w:rsidR="004E3E56" w:rsidRPr="00E35EF7">
          <w:rPr>
            <w:rStyle w:val="Hipersaite"/>
            <w:sz w:val="20"/>
          </w:rPr>
          <w:t>zane.zeimule@pmlp.gov.lv</w:t>
        </w:r>
      </w:hyperlink>
    </w:p>
    <w:sectPr w:rsidR="003530C3" w:rsidRPr="005614F6" w:rsidSect="00D070B5"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1FBBA" w14:textId="77777777" w:rsidR="006543B1" w:rsidRDefault="006543B1" w:rsidP="00576B88">
      <w:r>
        <w:separator/>
      </w:r>
    </w:p>
  </w:endnote>
  <w:endnote w:type="continuationSeparator" w:id="0">
    <w:p w14:paraId="7669D6E8" w14:textId="77777777" w:rsidR="006543B1" w:rsidRDefault="006543B1" w:rsidP="0057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A590" w14:textId="7F86A2AD" w:rsidR="00576B88" w:rsidRPr="00F4628B" w:rsidRDefault="004E3E56" w:rsidP="004E3E56">
    <w:pPr>
      <w:pStyle w:val="Kjene"/>
      <w:jc w:val="both"/>
      <w:rPr>
        <w:sz w:val="20"/>
        <w:szCs w:val="20"/>
      </w:rPr>
    </w:pPr>
    <w:r w:rsidRPr="00B9664F">
      <w:rPr>
        <w:sz w:val="20"/>
        <w:szCs w:val="20"/>
      </w:rPr>
      <w:t>IEMAnot_</w:t>
    </w:r>
    <w:r w:rsidR="0013429E">
      <w:rPr>
        <w:sz w:val="20"/>
        <w:szCs w:val="20"/>
      </w:rPr>
      <w:t>1</w:t>
    </w:r>
    <w:r w:rsidR="00D92B0F">
      <w:rPr>
        <w:sz w:val="20"/>
        <w:szCs w:val="20"/>
      </w:rPr>
      <w:t>8</w:t>
    </w:r>
    <w:r w:rsidR="00F4628B">
      <w:rPr>
        <w:sz w:val="20"/>
        <w:szCs w:val="20"/>
      </w:rPr>
      <w:t>08</w:t>
    </w:r>
    <w:r w:rsidR="000C18DA">
      <w:rPr>
        <w:sz w:val="20"/>
        <w:szCs w:val="20"/>
      </w:rPr>
      <w:t>20</w:t>
    </w:r>
    <w:r>
      <w:rPr>
        <w:sz w:val="20"/>
        <w:szCs w:val="20"/>
      </w:rPr>
      <w:t>_groz52</w:t>
    </w:r>
    <w:r w:rsidRPr="000D71A5">
      <w:rPr>
        <w:sz w:val="20"/>
        <w:szCs w:val="20"/>
      </w:rPr>
      <w:t>; Ministru kabineta noteikumu projekta “</w:t>
    </w:r>
    <w:r>
      <w:rPr>
        <w:bCs/>
        <w:sz w:val="20"/>
        <w:szCs w:val="20"/>
      </w:rPr>
      <w:t>Grozījum</w:t>
    </w:r>
    <w:r w:rsidR="003765FE">
      <w:rPr>
        <w:bCs/>
        <w:sz w:val="20"/>
        <w:szCs w:val="20"/>
      </w:rPr>
      <w:t>s</w:t>
    </w:r>
    <w:r>
      <w:rPr>
        <w:bCs/>
        <w:sz w:val="20"/>
        <w:szCs w:val="20"/>
      </w:rPr>
      <w:t xml:space="preserve"> Ministru kabineta 2001.</w:t>
    </w:r>
    <w:r w:rsidR="003765FE">
      <w:rPr>
        <w:bCs/>
        <w:sz w:val="20"/>
        <w:szCs w:val="20"/>
      </w:rPr>
      <w:t xml:space="preserve"> </w:t>
    </w:r>
    <w:r>
      <w:rPr>
        <w:bCs/>
        <w:sz w:val="20"/>
        <w:szCs w:val="20"/>
      </w:rPr>
      <w:t>gada 6.</w:t>
    </w:r>
    <w:r w:rsidR="003765FE">
      <w:rPr>
        <w:bCs/>
        <w:sz w:val="20"/>
        <w:szCs w:val="20"/>
      </w:rPr>
      <w:t xml:space="preserve"> </w:t>
    </w:r>
    <w:r>
      <w:rPr>
        <w:bCs/>
        <w:sz w:val="20"/>
        <w:szCs w:val="20"/>
      </w:rPr>
      <w:t>februāra noteikumos Nr.</w:t>
    </w:r>
    <w:r w:rsidR="003765FE">
      <w:rPr>
        <w:bCs/>
        <w:sz w:val="20"/>
        <w:szCs w:val="20"/>
      </w:rPr>
      <w:t xml:space="preserve"> </w:t>
    </w:r>
    <w:r>
      <w:rPr>
        <w:bCs/>
        <w:sz w:val="20"/>
        <w:szCs w:val="20"/>
      </w:rPr>
      <w:t>52 “Latvijas nepils</w:t>
    </w:r>
    <w:r w:rsidR="005424D9">
      <w:rPr>
        <w:bCs/>
        <w:sz w:val="20"/>
        <w:szCs w:val="20"/>
      </w:rPr>
      <w:t>oņa statusa atņemšanas kartība””</w:t>
    </w:r>
    <w:r w:rsidRPr="000D71A5">
      <w:rPr>
        <w:sz w:val="20"/>
        <w:szCs w:val="20"/>
      </w:rPr>
      <w:t xml:space="preserve"> </w:t>
    </w:r>
    <w:r w:rsidRPr="000D71A5">
      <w:rPr>
        <w:bCs/>
        <w:sz w:val="20"/>
        <w:szCs w:val="20"/>
      </w:rPr>
      <w:t xml:space="preserve">sākotnējās ietekmes novērtējuma </w:t>
    </w:r>
    <w:smartTag w:uri="schemas-tilde-lv/tildestengine" w:element="veidnes">
      <w:smartTagPr>
        <w:attr w:name="id" w:val="-1"/>
        <w:attr w:name="baseform" w:val="ziņojums"/>
        <w:attr w:name="text" w:val="ziņojums"/>
      </w:smartTagPr>
      <w:r w:rsidRPr="000D71A5">
        <w:rPr>
          <w:bCs/>
          <w:sz w:val="20"/>
          <w:szCs w:val="20"/>
        </w:rPr>
        <w:t>ziņojums</w:t>
      </w:r>
    </w:smartTag>
    <w:r w:rsidRPr="000D71A5">
      <w:rPr>
        <w:bCs/>
        <w:sz w:val="20"/>
        <w:szCs w:val="20"/>
      </w:rPr>
      <w:t xml:space="preserve"> (anotācija)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13D82" w14:textId="7087BDE2" w:rsidR="00A871EA" w:rsidRPr="004E7702" w:rsidRDefault="004E3E56" w:rsidP="004E3E56">
    <w:pPr>
      <w:pStyle w:val="Kjene"/>
      <w:jc w:val="both"/>
      <w:rPr>
        <w:sz w:val="20"/>
        <w:szCs w:val="20"/>
      </w:rPr>
    </w:pPr>
    <w:r w:rsidRPr="00B9664F">
      <w:rPr>
        <w:sz w:val="20"/>
        <w:szCs w:val="20"/>
      </w:rPr>
      <w:t>IEMAnot_</w:t>
    </w:r>
    <w:r w:rsidR="00DF585B">
      <w:rPr>
        <w:sz w:val="20"/>
        <w:szCs w:val="20"/>
      </w:rPr>
      <w:t>1</w:t>
    </w:r>
    <w:r w:rsidR="00D92B0F">
      <w:rPr>
        <w:sz w:val="20"/>
        <w:szCs w:val="20"/>
      </w:rPr>
      <w:t>8</w:t>
    </w:r>
    <w:r w:rsidR="00F4628B">
      <w:rPr>
        <w:sz w:val="20"/>
        <w:szCs w:val="20"/>
      </w:rPr>
      <w:t>08</w:t>
    </w:r>
    <w:r w:rsidR="000C18DA">
      <w:rPr>
        <w:sz w:val="20"/>
        <w:szCs w:val="20"/>
      </w:rPr>
      <w:t>20</w:t>
    </w:r>
    <w:r>
      <w:rPr>
        <w:sz w:val="20"/>
        <w:szCs w:val="20"/>
      </w:rPr>
      <w:t>_groz52</w:t>
    </w:r>
    <w:r w:rsidRPr="000D71A5">
      <w:rPr>
        <w:sz w:val="20"/>
        <w:szCs w:val="20"/>
      </w:rPr>
      <w:t>; Ministru kabineta noteikumu projekta “</w:t>
    </w:r>
    <w:r>
      <w:rPr>
        <w:bCs/>
        <w:sz w:val="20"/>
        <w:szCs w:val="20"/>
      </w:rPr>
      <w:t>Grozījum</w:t>
    </w:r>
    <w:r w:rsidR="003765FE">
      <w:rPr>
        <w:bCs/>
        <w:sz w:val="20"/>
        <w:szCs w:val="20"/>
      </w:rPr>
      <w:t>s</w:t>
    </w:r>
    <w:r>
      <w:rPr>
        <w:bCs/>
        <w:sz w:val="20"/>
        <w:szCs w:val="20"/>
      </w:rPr>
      <w:t xml:space="preserve"> Ministru kabineta 2001.</w:t>
    </w:r>
    <w:r w:rsidR="001A0678">
      <w:rPr>
        <w:bCs/>
        <w:sz w:val="20"/>
        <w:szCs w:val="20"/>
      </w:rPr>
      <w:t xml:space="preserve"> </w:t>
    </w:r>
    <w:r>
      <w:rPr>
        <w:bCs/>
        <w:sz w:val="20"/>
        <w:szCs w:val="20"/>
      </w:rPr>
      <w:t>gada 6.</w:t>
    </w:r>
    <w:r w:rsidR="001A0678">
      <w:rPr>
        <w:bCs/>
        <w:sz w:val="20"/>
        <w:szCs w:val="20"/>
      </w:rPr>
      <w:t xml:space="preserve"> </w:t>
    </w:r>
    <w:r w:rsidR="003765FE">
      <w:rPr>
        <w:bCs/>
        <w:sz w:val="20"/>
        <w:szCs w:val="20"/>
      </w:rPr>
      <w:t>f</w:t>
    </w:r>
    <w:r>
      <w:rPr>
        <w:bCs/>
        <w:sz w:val="20"/>
        <w:szCs w:val="20"/>
      </w:rPr>
      <w:t>ebruāra noteikumos Nr.52 “Latvijas nepils</w:t>
    </w:r>
    <w:r w:rsidR="00CA6469">
      <w:rPr>
        <w:bCs/>
        <w:sz w:val="20"/>
        <w:szCs w:val="20"/>
      </w:rPr>
      <w:t>oņa statusa atņemšanas kartība””</w:t>
    </w:r>
    <w:r w:rsidRPr="000D71A5">
      <w:rPr>
        <w:sz w:val="20"/>
        <w:szCs w:val="20"/>
      </w:rPr>
      <w:t xml:space="preserve"> </w:t>
    </w:r>
    <w:r w:rsidRPr="000D71A5">
      <w:rPr>
        <w:bCs/>
        <w:sz w:val="20"/>
        <w:szCs w:val="20"/>
      </w:rPr>
      <w:t xml:space="preserve">sākotnējās ietekmes novērtējuma </w:t>
    </w:r>
    <w:smartTag w:uri="schemas-tilde-lv/tildestengine" w:element="veidnes">
      <w:smartTagPr>
        <w:attr w:name="id" w:val="-1"/>
        <w:attr w:name="baseform" w:val="ziņojums"/>
        <w:attr w:name="text" w:val="ziņojums"/>
      </w:smartTagPr>
      <w:r w:rsidRPr="000D71A5">
        <w:rPr>
          <w:bCs/>
          <w:sz w:val="20"/>
          <w:szCs w:val="20"/>
        </w:rPr>
        <w:t>ziņojums</w:t>
      </w:r>
    </w:smartTag>
    <w:r w:rsidRPr="000D71A5">
      <w:rPr>
        <w:bCs/>
        <w:sz w:val="20"/>
        <w:szCs w:val="20"/>
      </w:rPr>
      <w:t xml:space="preserve"> (anotācija)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CD2CF" w14:textId="77777777" w:rsidR="006543B1" w:rsidRDefault="006543B1" w:rsidP="00576B88">
      <w:r>
        <w:separator/>
      </w:r>
    </w:p>
  </w:footnote>
  <w:footnote w:type="continuationSeparator" w:id="0">
    <w:p w14:paraId="77323324" w14:textId="77777777" w:rsidR="006543B1" w:rsidRDefault="006543B1" w:rsidP="0057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37533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84B726" w14:textId="77777777" w:rsidR="00A871EA" w:rsidRDefault="00060D2F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7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72E23B" w14:textId="77777777" w:rsidR="00A871EA" w:rsidRDefault="00A871E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C3"/>
    <w:rsid w:val="00006A1F"/>
    <w:rsid w:val="000126DF"/>
    <w:rsid w:val="00023F86"/>
    <w:rsid w:val="00060D2F"/>
    <w:rsid w:val="00080CE0"/>
    <w:rsid w:val="0008383F"/>
    <w:rsid w:val="000C18DA"/>
    <w:rsid w:val="000D1108"/>
    <w:rsid w:val="000D7993"/>
    <w:rsid w:val="000E5D08"/>
    <w:rsid w:val="0013429E"/>
    <w:rsid w:val="001523ED"/>
    <w:rsid w:val="00187890"/>
    <w:rsid w:val="001A0678"/>
    <w:rsid w:val="001C3227"/>
    <w:rsid w:val="001D19CC"/>
    <w:rsid w:val="001E243A"/>
    <w:rsid w:val="001F53CB"/>
    <w:rsid w:val="002173DD"/>
    <w:rsid w:val="00223D55"/>
    <w:rsid w:val="00244D40"/>
    <w:rsid w:val="0028174F"/>
    <w:rsid w:val="002A524A"/>
    <w:rsid w:val="002B41AA"/>
    <w:rsid w:val="00306458"/>
    <w:rsid w:val="00340E2F"/>
    <w:rsid w:val="003530C3"/>
    <w:rsid w:val="00364ADB"/>
    <w:rsid w:val="003765FE"/>
    <w:rsid w:val="003B37D5"/>
    <w:rsid w:val="003C403F"/>
    <w:rsid w:val="003E7FE6"/>
    <w:rsid w:val="003F23C9"/>
    <w:rsid w:val="0041225B"/>
    <w:rsid w:val="00420ACD"/>
    <w:rsid w:val="00430376"/>
    <w:rsid w:val="00476C92"/>
    <w:rsid w:val="0048214F"/>
    <w:rsid w:val="004A2253"/>
    <w:rsid w:val="004B4E52"/>
    <w:rsid w:val="004E3E56"/>
    <w:rsid w:val="004E7702"/>
    <w:rsid w:val="004E7D5D"/>
    <w:rsid w:val="005079CE"/>
    <w:rsid w:val="00507E36"/>
    <w:rsid w:val="005138A2"/>
    <w:rsid w:val="00533E78"/>
    <w:rsid w:val="005424D9"/>
    <w:rsid w:val="0056101B"/>
    <w:rsid w:val="00576B88"/>
    <w:rsid w:val="005C2A60"/>
    <w:rsid w:val="005F534A"/>
    <w:rsid w:val="006027C6"/>
    <w:rsid w:val="00630767"/>
    <w:rsid w:val="006543B1"/>
    <w:rsid w:val="00657815"/>
    <w:rsid w:val="006606C1"/>
    <w:rsid w:val="00696781"/>
    <w:rsid w:val="006B4A25"/>
    <w:rsid w:val="00786BA5"/>
    <w:rsid w:val="007C1CA3"/>
    <w:rsid w:val="007D0340"/>
    <w:rsid w:val="007E7008"/>
    <w:rsid w:val="0080185E"/>
    <w:rsid w:val="00816AFB"/>
    <w:rsid w:val="008539A0"/>
    <w:rsid w:val="008707C6"/>
    <w:rsid w:val="008942FD"/>
    <w:rsid w:val="008E38F9"/>
    <w:rsid w:val="008E69B7"/>
    <w:rsid w:val="00963DA8"/>
    <w:rsid w:val="00965A77"/>
    <w:rsid w:val="009B1C6F"/>
    <w:rsid w:val="009D024E"/>
    <w:rsid w:val="00A15D53"/>
    <w:rsid w:val="00A4571A"/>
    <w:rsid w:val="00A871EA"/>
    <w:rsid w:val="00AE2021"/>
    <w:rsid w:val="00B23C62"/>
    <w:rsid w:val="00B31701"/>
    <w:rsid w:val="00B5163D"/>
    <w:rsid w:val="00B533D6"/>
    <w:rsid w:val="00B6243F"/>
    <w:rsid w:val="00B87906"/>
    <w:rsid w:val="00B97574"/>
    <w:rsid w:val="00BB2D6C"/>
    <w:rsid w:val="00BC0426"/>
    <w:rsid w:val="00C23BAB"/>
    <w:rsid w:val="00C4461A"/>
    <w:rsid w:val="00C63AE5"/>
    <w:rsid w:val="00C777F5"/>
    <w:rsid w:val="00CA6469"/>
    <w:rsid w:val="00CD3AE5"/>
    <w:rsid w:val="00CE6F33"/>
    <w:rsid w:val="00CF465B"/>
    <w:rsid w:val="00D03917"/>
    <w:rsid w:val="00D070B5"/>
    <w:rsid w:val="00D26E3F"/>
    <w:rsid w:val="00D40C4F"/>
    <w:rsid w:val="00D6145D"/>
    <w:rsid w:val="00D92B0F"/>
    <w:rsid w:val="00DE6C99"/>
    <w:rsid w:val="00DF585B"/>
    <w:rsid w:val="00E338DD"/>
    <w:rsid w:val="00E40236"/>
    <w:rsid w:val="00E434E8"/>
    <w:rsid w:val="00E65669"/>
    <w:rsid w:val="00E659EB"/>
    <w:rsid w:val="00E678B1"/>
    <w:rsid w:val="00E9308A"/>
    <w:rsid w:val="00EB4243"/>
    <w:rsid w:val="00ED276A"/>
    <w:rsid w:val="00F12503"/>
    <w:rsid w:val="00F37E98"/>
    <w:rsid w:val="00F4628B"/>
    <w:rsid w:val="00F72A92"/>
    <w:rsid w:val="00F94ACA"/>
    <w:rsid w:val="00FA3019"/>
    <w:rsid w:val="00FA4E84"/>
    <w:rsid w:val="00FB0E26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55EC5FC"/>
  <w15:chartTrackingRefBased/>
  <w15:docId w15:val="{F04B663E-D9F0-44F9-818F-12FC38C1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30C3"/>
    <w:rPr>
      <w:rFonts w:eastAsia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3530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3530C3"/>
    <w:rPr>
      <w:rFonts w:eastAsia="Times New Roman" w:cs="Times New Roman"/>
      <w:b/>
      <w:bCs/>
      <w:sz w:val="27"/>
      <w:szCs w:val="27"/>
      <w:lang w:eastAsia="lv-LV"/>
    </w:rPr>
  </w:style>
  <w:style w:type="paragraph" w:styleId="Nosaukums">
    <w:name w:val="Title"/>
    <w:basedOn w:val="Parasts"/>
    <w:link w:val="NosaukumsRakstz"/>
    <w:qFormat/>
    <w:rsid w:val="003530C3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3530C3"/>
    <w:rPr>
      <w:rFonts w:eastAsia="Times New Roman" w:cs="Times New Roman"/>
      <w:szCs w:val="20"/>
    </w:rPr>
  </w:style>
  <w:style w:type="character" w:styleId="Hipersaite">
    <w:name w:val="Hyperlink"/>
    <w:basedOn w:val="Noklusjumarindkopasfonts"/>
    <w:uiPriority w:val="99"/>
    <w:unhideWhenUsed/>
    <w:rsid w:val="003530C3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530C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530C3"/>
    <w:rPr>
      <w:rFonts w:eastAsia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530C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530C3"/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3530C3"/>
    <w:pPr>
      <w:spacing w:before="100" w:after="100"/>
    </w:pPr>
    <w:rPr>
      <w:szCs w:val="20"/>
    </w:rPr>
  </w:style>
  <w:style w:type="paragraph" w:customStyle="1" w:styleId="NormalWebCharChar">
    <w:name w:val="Normal (Web) Char Char"/>
    <w:basedOn w:val="Parasts"/>
    <w:rsid w:val="003530C3"/>
    <w:pPr>
      <w:widowControl w:val="0"/>
      <w:suppressAutoHyphens/>
      <w:spacing w:before="280" w:after="280"/>
    </w:pPr>
    <w:rPr>
      <w:color w:val="000000"/>
      <w:sz w:val="20"/>
      <w:szCs w:val="20"/>
      <w:lang w:eastAsia="zh-CN"/>
    </w:rPr>
  </w:style>
  <w:style w:type="paragraph" w:styleId="Sarakstarindkopa">
    <w:name w:val="List Paragraph"/>
    <w:basedOn w:val="Parasts"/>
    <w:uiPriority w:val="34"/>
    <w:qFormat/>
    <w:rsid w:val="006606C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D19C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19CC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F53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F53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F53CB"/>
    <w:rPr>
      <w:rFonts w:eastAsia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F53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F53CB"/>
    <w:rPr>
      <w:rFonts w:eastAsia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.gov.lv/content/ministru-kabineta-diskusiju-dokument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em.gov.lv/lat/sadarbiba_ar_nvo/diskusiju_dokumenti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mlp.gov.lv/lv/sakums/tiesibu-akti/tiesibu-aktu-projekt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ane.zeimule@pml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2001.gada 6.februāra noteikumos Nr.52 "Latvijas nepilsoņa statusa atņemšanas kārtība"</vt:lpstr>
    </vt:vector>
  </TitlesOfParts>
  <Company>PMLP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2001.gada 6.februāra noteikumos Nr.52 "Latvijas nepilsoņa statusa atņemšanas kārtība"</dc:title>
  <dc:subject>Anotācija</dc:subject>
  <dc:creator>Zane Zeimule</dc:creator>
  <cp:keywords/>
  <dc:description/>
  <cp:lastModifiedBy>Zane Zeimule</cp:lastModifiedBy>
  <cp:revision>9</cp:revision>
  <cp:lastPrinted>2020-05-08T12:47:00Z</cp:lastPrinted>
  <dcterms:created xsi:type="dcterms:W3CDTF">2020-06-30T09:14:00Z</dcterms:created>
  <dcterms:modified xsi:type="dcterms:W3CDTF">2020-08-18T12:18:00Z</dcterms:modified>
</cp:coreProperties>
</file>