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AF" w:rsidRPr="002C58AF" w:rsidRDefault="002C58AF" w:rsidP="002C58A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58AF">
        <w:rPr>
          <w:rFonts w:ascii="Times New Roman" w:hAnsi="Times New Roman"/>
          <w:b/>
          <w:sz w:val="28"/>
          <w:szCs w:val="28"/>
        </w:rPr>
        <w:t xml:space="preserve">Paziņojums par </w:t>
      </w:r>
      <w:r w:rsidR="009714AF" w:rsidRPr="002C58AF">
        <w:rPr>
          <w:rFonts w:ascii="Times New Roman" w:hAnsi="Times New Roman"/>
          <w:b/>
          <w:sz w:val="28"/>
          <w:szCs w:val="28"/>
        </w:rPr>
        <w:t xml:space="preserve">līdzdalības iespējām </w:t>
      </w:r>
      <w:r w:rsidRPr="002C58AF">
        <w:rPr>
          <w:rFonts w:ascii="Times New Roman" w:hAnsi="Times New Roman"/>
          <w:b/>
          <w:sz w:val="28"/>
          <w:szCs w:val="28"/>
        </w:rPr>
        <w:t>Mini</w:t>
      </w:r>
      <w:r w:rsidRPr="002C58AF">
        <w:rPr>
          <w:rFonts w:ascii="Times New Roman" w:hAnsi="Times New Roman"/>
          <w:b/>
          <w:sz w:val="28"/>
          <w:szCs w:val="28"/>
        </w:rPr>
        <w:t>stru kabineta noteikumu projekta</w:t>
      </w:r>
      <w:r w:rsidRPr="002C58AF">
        <w:rPr>
          <w:rFonts w:ascii="Times New Roman" w:hAnsi="Times New Roman"/>
          <w:b/>
          <w:sz w:val="28"/>
          <w:szCs w:val="28"/>
        </w:rPr>
        <w:t xml:space="preserve"> „Kārtība, kādā ziņo par sprāgstvielu prekursoriem” </w:t>
      </w:r>
      <w:r w:rsidR="009714AF" w:rsidRPr="002C58AF">
        <w:rPr>
          <w:rFonts w:ascii="Times New Roman" w:hAnsi="Times New Roman"/>
          <w:b/>
          <w:sz w:val="28"/>
          <w:szCs w:val="28"/>
        </w:rPr>
        <w:t>izstrādes procesā</w:t>
      </w:r>
    </w:p>
    <w:p w:rsidR="00CA092F" w:rsidRPr="00D07CC5" w:rsidRDefault="00CA092F" w:rsidP="00CA092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5342" w:type="pct"/>
        <w:tblCellSpacing w:w="15" w:type="dxa"/>
        <w:tblInd w:w="-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5"/>
        <w:gridCol w:w="3775"/>
        <w:gridCol w:w="10294"/>
      </w:tblGrid>
      <w:tr w:rsidR="0043461E" w:rsidRPr="00953328" w:rsidTr="00322995">
        <w:trPr>
          <w:trHeight w:val="105"/>
          <w:tblCellSpacing w:w="15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after="0" w:line="105" w:lineRule="atLeast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CA092F" w:rsidP="0043461E">
            <w:pPr>
              <w:spacing w:after="0" w:line="105" w:lineRule="atLeast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Ministru kabineta noteikumu projekts.</w:t>
            </w:r>
          </w:p>
        </w:tc>
      </w:tr>
      <w:tr w:rsidR="0043461E" w:rsidRPr="00953328" w:rsidTr="00322995">
        <w:trPr>
          <w:tblCellSpacing w:w="15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 xml:space="preserve">Dokumenta </w:t>
            </w:r>
            <w:r w:rsidRPr="00074E53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C10707" w:rsidP="00971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Ministru kabineta noteikumu projekts „</w:t>
            </w:r>
            <w:r w:rsidR="009714AF">
              <w:rPr>
                <w:rFonts w:ascii="Times New Roman" w:hAnsi="Times New Roman"/>
                <w:sz w:val="24"/>
                <w:szCs w:val="24"/>
              </w:rPr>
              <w:t>Kārtība, kādā ziņo par sprāgstvielu prekursoriem</w:t>
            </w:r>
            <w:r w:rsidRPr="00953328">
              <w:rPr>
                <w:rFonts w:ascii="Times New Roman" w:hAnsi="Times New Roman"/>
                <w:sz w:val="24"/>
                <w:szCs w:val="24"/>
              </w:rPr>
              <w:t>”</w:t>
            </w:r>
            <w:r w:rsidR="007F0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0B0D" w:rsidRPr="007F0B0D">
              <w:rPr>
                <w:rFonts w:ascii="Times New Roman" w:hAnsi="Times New Roman"/>
                <w:sz w:val="24"/>
                <w:szCs w:val="24"/>
              </w:rPr>
              <w:t xml:space="preserve">(turpmāk – </w:t>
            </w:r>
            <w:r w:rsidR="009714AF">
              <w:rPr>
                <w:rFonts w:ascii="Times New Roman" w:hAnsi="Times New Roman"/>
                <w:sz w:val="24"/>
                <w:szCs w:val="24"/>
              </w:rPr>
              <w:t xml:space="preserve">Noteikumu </w:t>
            </w:r>
            <w:r w:rsidR="007F0B0D" w:rsidRPr="007F0B0D">
              <w:rPr>
                <w:rFonts w:ascii="Times New Roman" w:hAnsi="Times New Roman"/>
                <w:sz w:val="24"/>
                <w:szCs w:val="24"/>
              </w:rPr>
              <w:t>projekts)</w:t>
            </w:r>
            <w:r w:rsidR="00F462A1" w:rsidRPr="009533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461E" w:rsidRPr="00953328" w:rsidTr="00322995">
        <w:trPr>
          <w:tblCellSpacing w:w="15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306" w:rsidRPr="00953328" w:rsidRDefault="00D61509" w:rsidP="0043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Iekšlietu politika</w:t>
            </w:r>
            <w:r w:rsidR="00CA092F" w:rsidRPr="009533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461E" w:rsidRPr="00953328" w:rsidTr="00322995">
        <w:trPr>
          <w:tblCellSpacing w:w="15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9714AF" w:rsidP="009714AF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24"/>
              </w:rPr>
            </w:pPr>
            <w:r w:rsidRPr="00D21CE4">
              <w:rPr>
                <w:rFonts w:ascii="Times New Roman" w:hAnsi="Times New Roman"/>
                <w:sz w:val="24"/>
                <w:szCs w:val="24"/>
              </w:rPr>
              <w:t>Projekts attiecas uz atsevišķu personu loku, kuri saistīti ar sprāgstvielu preku</w:t>
            </w:r>
            <w:r>
              <w:rPr>
                <w:rFonts w:ascii="Times New Roman" w:hAnsi="Times New Roman"/>
                <w:sz w:val="24"/>
                <w:szCs w:val="24"/>
              </w:rPr>
              <w:t>rsoru tirdzniecību un lietošanu (e</w:t>
            </w:r>
            <w:r w:rsidR="007F7CC4" w:rsidRPr="002F3742">
              <w:rPr>
                <w:rFonts w:ascii="Times New Roman" w:hAnsi="Times New Roman"/>
                <w:color w:val="000000"/>
                <w:sz w:val="24"/>
                <w:szCs w:val="19"/>
              </w:rPr>
              <w:t>konomikas dalībnieki</w:t>
            </w:r>
            <w:r>
              <w:rPr>
                <w:rFonts w:ascii="Times New Roman" w:hAnsi="Times New Roman"/>
                <w:color w:val="000000"/>
                <w:sz w:val="24"/>
                <w:szCs w:val="19"/>
              </w:rPr>
              <w:t>, tiešsaistes tirdzniecības vietas un profesionāli sprāgstvielu prekursoru lietotāji).</w:t>
            </w:r>
            <w:r w:rsidR="007F7CC4" w:rsidRPr="002F3742">
              <w:rPr>
                <w:rFonts w:ascii="Times New Roman" w:hAnsi="Times New Roman"/>
                <w:color w:val="000000"/>
                <w:sz w:val="24"/>
                <w:szCs w:val="19"/>
              </w:rPr>
              <w:t xml:space="preserve"> </w:t>
            </w:r>
          </w:p>
        </w:tc>
      </w:tr>
      <w:tr w:rsidR="0043461E" w:rsidRPr="00953328" w:rsidTr="00322995">
        <w:trPr>
          <w:tblCellSpacing w:w="15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4AF" w:rsidRPr="009714AF" w:rsidRDefault="009714AF" w:rsidP="00297B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9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Projekts sagatavots </w:t>
            </w:r>
            <w:r w:rsidRPr="009714AF">
              <w:rPr>
                <w:rFonts w:ascii="Times New Roman" w:hAnsi="Times New Roman"/>
                <w:iCs/>
                <w:sz w:val="24"/>
                <w:szCs w:val="24"/>
              </w:rPr>
              <w:t xml:space="preserve">atbilstoši </w:t>
            </w:r>
            <w:r w:rsidRPr="009714AF">
              <w:rPr>
                <w:rFonts w:ascii="Times New Roman" w:hAnsi="Times New Roman"/>
                <w:sz w:val="24"/>
                <w:szCs w:val="24"/>
              </w:rPr>
              <w:t>Eiropas Parlamenta un Padomes 2019. gada 20. jūnija Regulas (ES) Nr.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5" w:tgtFrame="_blank" w:history="1">
              <w:r w:rsidRPr="009714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2019/1148</w:t>
              </w:r>
            </w:hyperlink>
            <w:r w:rsidRPr="009714AF">
              <w:rPr>
                <w:rFonts w:ascii="Times New Roman" w:hAnsi="Times New Roman"/>
                <w:sz w:val="24"/>
                <w:szCs w:val="24"/>
              </w:rPr>
              <w:t xml:space="preserve"> par sprāgstvielu prekursoru tirdzniecību un lietošanu</w:t>
            </w:r>
            <w:r w:rsidRPr="009714AF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, ar ko groza Regulu (EK) Nr. 1907/2006 un atceļ Regulu (ES) Nr. 98/2013, </w:t>
            </w:r>
            <w:r w:rsidRPr="009714AF">
              <w:rPr>
                <w:rFonts w:ascii="Times New Roman" w:hAnsi="Times New Roman"/>
                <w:sz w:val="24"/>
                <w:szCs w:val="24"/>
              </w:rPr>
              <w:t xml:space="preserve">prasībām nodrošināt atbilstošu ziņošanas kārtību </w:t>
            </w:r>
            <w:r w:rsidRPr="009714AF">
              <w:rPr>
                <w:rFonts w:ascii="Times New Roman" w:hAnsi="Times New Roman"/>
                <w:iCs/>
                <w:sz w:val="24"/>
                <w:szCs w:val="24"/>
              </w:rPr>
              <w:t>par darbībām ar sprāgstvielu prekursoriem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C36C2C" w:rsidRPr="00297B83" w:rsidRDefault="00433E8B" w:rsidP="009714AF">
            <w:pPr>
              <w:pStyle w:val="naiskr"/>
              <w:spacing w:before="0" w:after="0"/>
              <w:ind w:left="24"/>
              <w:jc w:val="both"/>
              <w:rPr>
                <w:color w:val="000000"/>
                <w:szCs w:val="19"/>
              </w:rPr>
            </w:pPr>
            <w:r>
              <w:rPr>
                <w:color w:val="000000"/>
                <w:szCs w:val="19"/>
              </w:rPr>
              <w:t xml:space="preserve">Projekts paredz </w:t>
            </w:r>
            <w:r w:rsidRPr="00297B83">
              <w:rPr>
                <w:color w:val="000000"/>
                <w:szCs w:val="19"/>
              </w:rPr>
              <w:t xml:space="preserve">noteikt </w:t>
            </w:r>
            <w:r w:rsidR="009714AF">
              <w:rPr>
                <w:color w:val="000000"/>
                <w:szCs w:val="19"/>
              </w:rPr>
              <w:t>Valsts drošības dienestu</w:t>
            </w:r>
            <w:r w:rsidRPr="00297B83">
              <w:rPr>
                <w:color w:val="000000"/>
                <w:szCs w:val="19"/>
              </w:rPr>
              <w:t xml:space="preserve"> par kontaktpunktu ziņošanai par</w:t>
            </w:r>
            <w:r>
              <w:rPr>
                <w:color w:val="000000"/>
                <w:szCs w:val="19"/>
              </w:rPr>
              <w:t xml:space="preserve"> aizdomīgiem darījumiem, kā arī </w:t>
            </w:r>
            <w:r w:rsidRPr="00297B83">
              <w:rPr>
                <w:color w:val="000000"/>
                <w:szCs w:val="19"/>
              </w:rPr>
              <w:t>noteikt kārtību, kādā kontaktpunkts ziņošanai par aizdomīgiem darījumiem tiek informēts par aizdomīgiem darījumiem saistībā ar sprāgstvielu prekursoriem</w:t>
            </w:r>
            <w:r w:rsidR="009714AF">
              <w:rPr>
                <w:color w:val="000000"/>
                <w:szCs w:val="19"/>
              </w:rPr>
              <w:t xml:space="preserve"> vai to būtiskiem pazušanas gadījumiem un zādzībām.</w:t>
            </w:r>
          </w:p>
        </w:tc>
      </w:tr>
      <w:tr w:rsidR="0043461E" w:rsidRPr="00953328" w:rsidTr="00322995">
        <w:trPr>
          <w:tblCellSpacing w:w="15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A3C69" w:rsidP="004A3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Noteikumu p</w:t>
            </w:r>
            <w:r w:rsidR="004428DE" w:rsidRPr="004428DE">
              <w:rPr>
                <w:rFonts w:ascii="Times New Roman" w:hAnsi="Times New Roman"/>
                <w:sz w:val="24"/>
                <w:szCs w:val="24"/>
              </w:rPr>
              <w:t>rojekts</w:t>
            </w:r>
            <w:r w:rsidR="004428DE" w:rsidRPr="00636301">
              <w:rPr>
                <w:rFonts w:ascii="Times New Roman" w:hAnsi="Times New Roman"/>
                <w:sz w:val="24"/>
                <w:szCs w:val="24"/>
              </w:rPr>
              <w:t xml:space="preserve"> ir Iekšlietu ministrijas iekšējās izstrādes un saskaņošanas stadijā. Projektu ir plānots tuvākajā laikā izsludināt saskaņošanai Valsts sekretāru sanāksmē.</w:t>
            </w:r>
          </w:p>
        </w:tc>
      </w:tr>
      <w:tr w:rsidR="0043461E" w:rsidRPr="00953328" w:rsidTr="00322995">
        <w:trPr>
          <w:tblCellSpacing w:w="15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A3C69" w:rsidP="0043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Noteikumu</w:t>
            </w:r>
            <w:r w:rsidR="00322995" w:rsidRPr="00636301">
              <w:rPr>
                <w:rFonts w:ascii="Times New Roman" w:hAnsi="Times New Roman"/>
                <w:sz w:val="24"/>
                <w:szCs w:val="24"/>
              </w:rPr>
              <w:t xml:space="preserve"> projekts un tā </w:t>
            </w:r>
            <w:r w:rsidR="00322995" w:rsidRPr="00636301">
              <w:rPr>
                <w:rFonts w:ascii="Times New Roman" w:hAnsi="Times New Roman"/>
                <w:bCs/>
                <w:sz w:val="24"/>
                <w:szCs w:val="24"/>
              </w:rPr>
              <w:t xml:space="preserve">sākotnējās ietekmes novērtējuma </w:t>
            </w:r>
            <w:smartTag w:uri="schemas-tilde-lv/tildestengine" w:element="veidnes">
              <w:smartTagPr>
                <w:attr w:name="id" w:val="-1"/>
                <w:attr w:name="baseform" w:val="ziņojums"/>
                <w:attr w:name="text" w:val="ziņojums"/>
              </w:smartTagPr>
              <w:r w:rsidR="00322995" w:rsidRPr="00636301">
                <w:rPr>
                  <w:rFonts w:ascii="Times New Roman" w:hAnsi="Times New Roman"/>
                  <w:bCs/>
                  <w:sz w:val="24"/>
                  <w:szCs w:val="24"/>
                </w:rPr>
                <w:t>ziņojums</w:t>
              </w:r>
            </w:smartTag>
            <w:r w:rsidR="00322995" w:rsidRPr="00636301">
              <w:rPr>
                <w:rFonts w:ascii="Times New Roman" w:hAnsi="Times New Roman"/>
                <w:bCs/>
                <w:sz w:val="24"/>
                <w:szCs w:val="24"/>
              </w:rPr>
              <w:t xml:space="preserve"> (anotācija).</w:t>
            </w:r>
          </w:p>
        </w:tc>
      </w:tr>
      <w:tr w:rsidR="00CA092F" w:rsidRPr="00953328" w:rsidTr="00322995">
        <w:trPr>
          <w:tblCellSpacing w:w="15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3461E" w:rsidP="0043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61E" w:rsidRPr="00953328" w:rsidRDefault="004A3C69" w:rsidP="00CA0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Rakstveidā</w:t>
            </w:r>
            <w:r w:rsidR="001A346E" w:rsidRPr="00636301">
              <w:rPr>
                <w:rFonts w:ascii="Times New Roman" w:hAnsi="Times New Roman"/>
                <w:sz w:val="24"/>
                <w:szCs w:val="24"/>
              </w:rPr>
              <w:t xml:space="preserve"> iesniedzot viedokli, iebildumus u</w:t>
            </w:r>
            <w:r>
              <w:rPr>
                <w:rFonts w:ascii="Times New Roman" w:hAnsi="Times New Roman"/>
                <w:sz w:val="24"/>
                <w:szCs w:val="24"/>
              </w:rPr>
              <w:t>n priekšlikumus par izstrādāto</w:t>
            </w:r>
            <w:r w:rsidR="001A346E" w:rsidRPr="00636301">
              <w:rPr>
                <w:rFonts w:ascii="Times New Roman" w:hAnsi="Times New Roman"/>
                <w:sz w:val="24"/>
                <w:szCs w:val="24"/>
              </w:rPr>
              <w:t xml:space="preserve"> projektu.</w:t>
            </w:r>
          </w:p>
        </w:tc>
      </w:tr>
      <w:tr w:rsidR="00CA092F" w:rsidRPr="00953328" w:rsidTr="004A3C69">
        <w:trPr>
          <w:trHeight w:val="1129"/>
          <w:tblCellSpacing w:w="15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092F" w:rsidRPr="00953328" w:rsidRDefault="00CA092F" w:rsidP="00F46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092F" w:rsidRPr="00953328" w:rsidRDefault="00CA092F" w:rsidP="00F46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2A1" w:rsidRPr="00953328" w:rsidRDefault="00CA092F" w:rsidP="00F46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953328">
              <w:rPr>
                <w:rFonts w:ascii="Times New Roman" w:hAnsi="Times New Roman"/>
                <w:b/>
                <w:sz w:val="24"/>
                <w:szCs w:val="24"/>
              </w:rPr>
              <w:t xml:space="preserve">līdz </w:t>
            </w:r>
            <w:r w:rsidR="00F462A1" w:rsidRPr="0095332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A3C6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462A1" w:rsidRPr="009533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A3C6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462A1" w:rsidRPr="00953328">
              <w:rPr>
                <w:rFonts w:ascii="Times New Roman" w:hAnsi="Times New Roman"/>
                <w:b/>
                <w:sz w:val="24"/>
                <w:szCs w:val="24"/>
              </w:rPr>
              <w:t xml:space="preserve">gada </w:t>
            </w:r>
            <w:r w:rsidR="004A3C6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58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F462A1" w:rsidRPr="009533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C28D8" w:rsidRPr="0095332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4A3C69">
              <w:rPr>
                <w:rFonts w:ascii="Times New Roman" w:hAnsi="Times New Roman"/>
                <w:b/>
                <w:sz w:val="24"/>
                <w:szCs w:val="24"/>
              </w:rPr>
              <w:t>jūlijam</w:t>
            </w:r>
            <w:r w:rsidRPr="0095332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953328">
              <w:rPr>
                <w:rFonts w:ascii="Times New Roman" w:hAnsi="Times New Roman"/>
                <w:sz w:val="24"/>
                <w:szCs w:val="24"/>
              </w:rPr>
              <w:t>nosūtot tos uz elektroniskā pasta adresi</w:t>
            </w:r>
            <w:r w:rsidR="00EA46D7">
              <w:rPr>
                <w:rFonts w:ascii="Times New Roman" w:hAnsi="Times New Roman"/>
                <w:sz w:val="24"/>
                <w:szCs w:val="24"/>
              </w:rPr>
              <w:t>:</w:t>
            </w:r>
            <w:r w:rsidR="00460447" w:rsidRPr="00953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="004A3C69" w:rsidRPr="007047B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juristi@vdd.gov.lv</w:t>
              </w:r>
            </w:hyperlink>
            <w:r w:rsidRPr="009533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A092F" w:rsidRPr="00953328" w:rsidRDefault="00CA092F" w:rsidP="00F46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Iesniedzot viedokli, iebildumus vai priekšlikumus par projektu, jānorāda iesniedzēja vārds, uzvārds, institūcijas nosaukums, kuru pārstāv (ja tāda ir), tālruņa numurs un e-pasta adrese.</w:t>
            </w:r>
          </w:p>
        </w:tc>
      </w:tr>
      <w:tr w:rsidR="00CA092F" w:rsidRPr="00953328" w:rsidTr="00322995">
        <w:trPr>
          <w:tblCellSpacing w:w="15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092F" w:rsidRPr="00953328" w:rsidRDefault="00CA092F" w:rsidP="00F46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092F" w:rsidRPr="00953328" w:rsidRDefault="00CA092F" w:rsidP="0043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092F" w:rsidRPr="00953328" w:rsidRDefault="004A3C69" w:rsidP="0043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Nav.</w:t>
            </w:r>
          </w:p>
        </w:tc>
      </w:tr>
      <w:tr w:rsidR="00CA092F" w:rsidRPr="00953328" w:rsidTr="00322995">
        <w:trPr>
          <w:trHeight w:val="495"/>
          <w:tblCellSpacing w:w="15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092F" w:rsidRPr="00953328" w:rsidRDefault="00CA092F" w:rsidP="004346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092F" w:rsidRPr="00953328" w:rsidRDefault="00CA092F" w:rsidP="0043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092F" w:rsidRPr="00953328" w:rsidRDefault="00340199" w:rsidP="00F462A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53328">
              <w:rPr>
                <w:rFonts w:ascii="Times New Roman" w:hAnsi="Times New Roman"/>
                <w:sz w:val="24"/>
                <w:szCs w:val="24"/>
              </w:rPr>
              <w:t>tālr.</w:t>
            </w:r>
            <w:r w:rsidR="00B87625" w:rsidRPr="00953328">
              <w:rPr>
                <w:rFonts w:ascii="Times New Roman" w:hAnsi="Times New Roman"/>
                <w:sz w:val="24"/>
                <w:szCs w:val="24"/>
              </w:rPr>
              <w:t>67</w:t>
            </w:r>
            <w:r w:rsidR="004A3C69">
              <w:rPr>
                <w:rFonts w:ascii="Times New Roman" w:hAnsi="Times New Roman"/>
                <w:sz w:val="24"/>
                <w:szCs w:val="24"/>
              </w:rPr>
              <w:t>209206</w:t>
            </w:r>
            <w:r w:rsidR="00CA092F" w:rsidRPr="009533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" w:history="1">
              <w:r w:rsidR="004A3C69" w:rsidRPr="007047B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juristi@vdd.gov.lv</w:t>
              </w:r>
            </w:hyperlink>
            <w:r w:rsidR="00460447" w:rsidRPr="00953328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</w:tbl>
    <w:p w:rsidR="00392499" w:rsidRPr="007A387D" w:rsidRDefault="00392499">
      <w:pPr>
        <w:rPr>
          <w:rFonts w:ascii="Times New Roman" w:hAnsi="Times New Roman"/>
        </w:rPr>
      </w:pPr>
    </w:p>
    <w:sectPr w:rsidR="00392499" w:rsidRPr="007A387D" w:rsidSect="007A387D">
      <w:pgSz w:w="16838" w:h="11906" w:orient="landscape"/>
      <w:pgMar w:top="540" w:right="1134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528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D8A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122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ECC0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28C3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C6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DE8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9EC4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EC8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B4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1E"/>
    <w:rsid w:val="00026C0C"/>
    <w:rsid w:val="000474F3"/>
    <w:rsid w:val="00074E53"/>
    <w:rsid w:val="0011031E"/>
    <w:rsid w:val="00136FC2"/>
    <w:rsid w:val="00194158"/>
    <w:rsid w:val="001A346E"/>
    <w:rsid w:val="0021270F"/>
    <w:rsid w:val="00274540"/>
    <w:rsid w:val="00297B83"/>
    <w:rsid w:val="002C58AF"/>
    <w:rsid w:val="002C5F7F"/>
    <w:rsid w:val="002E35D4"/>
    <w:rsid w:val="002F3742"/>
    <w:rsid w:val="00322995"/>
    <w:rsid w:val="00340199"/>
    <w:rsid w:val="0037460D"/>
    <w:rsid w:val="00376385"/>
    <w:rsid w:val="00392499"/>
    <w:rsid w:val="00421E1D"/>
    <w:rsid w:val="00433E8B"/>
    <w:rsid w:val="0043461E"/>
    <w:rsid w:val="00441876"/>
    <w:rsid w:val="004428DE"/>
    <w:rsid w:val="00460447"/>
    <w:rsid w:val="00492C4C"/>
    <w:rsid w:val="004A3C69"/>
    <w:rsid w:val="00515F36"/>
    <w:rsid w:val="00582306"/>
    <w:rsid w:val="005D5B5F"/>
    <w:rsid w:val="00606170"/>
    <w:rsid w:val="00675C84"/>
    <w:rsid w:val="006B08B0"/>
    <w:rsid w:val="006C5FD8"/>
    <w:rsid w:val="006F2C47"/>
    <w:rsid w:val="007231DF"/>
    <w:rsid w:val="0075211A"/>
    <w:rsid w:val="00796CA2"/>
    <w:rsid w:val="007A387D"/>
    <w:rsid w:val="007E1E66"/>
    <w:rsid w:val="007F0B0D"/>
    <w:rsid w:val="007F1FD4"/>
    <w:rsid w:val="007F29F9"/>
    <w:rsid w:val="007F7CC4"/>
    <w:rsid w:val="00864C31"/>
    <w:rsid w:val="00866C71"/>
    <w:rsid w:val="00953328"/>
    <w:rsid w:val="009714AF"/>
    <w:rsid w:val="009B7520"/>
    <w:rsid w:val="00A235E8"/>
    <w:rsid w:val="00A87B4E"/>
    <w:rsid w:val="00AA5F48"/>
    <w:rsid w:val="00B87625"/>
    <w:rsid w:val="00B90132"/>
    <w:rsid w:val="00BF1ABC"/>
    <w:rsid w:val="00C10707"/>
    <w:rsid w:val="00C17BB8"/>
    <w:rsid w:val="00C36C2C"/>
    <w:rsid w:val="00CA092F"/>
    <w:rsid w:val="00CE283B"/>
    <w:rsid w:val="00D07CC5"/>
    <w:rsid w:val="00D61509"/>
    <w:rsid w:val="00DE3538"/>
    <w:rsid w:val="00EA46D7"/>
    <w:rsid w:val="00EE5600"/>
    <w:rsid w:val="00F462A1"/>
    <w:rsid w:val="00F82BE4"/>
    <w:rsid w:val="00FC28D8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74FA3-5C8E-4C6F-8C64-89CC0476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4F3"/>
    <w:pPr>
      <w:spacing w:after="200" w:line="276" w:lineRule="auto"/>
    </w:pPr>
    <w:rPr>
      <w:sz w:val="22"/>
      <w:szCs w:val="22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434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43461E"/>
    <w:rPr>
      <w:color w:val="0000FF"/>
      <w:u w:val="single"/>
    </w:rPr>
  </w:style>
  <w:style w:type="paragraph" w:customStyle="1" w:styleId="naiskr">
    <w:name w:val="naiskr"/>
    <w:basedOn w:val="Normal"/>
    <w:rsid w:val="00582306"/>
    <w:pPr>
      <w:spacing w:before="75" w:after="75" w:line="240" w:lineRule="auto"/>
    </w:pPr>
    <w:rPr>
      <w:rFonts w:ascii="Times New Roman" w:hAnsi="Times New Roman"/>
      <w:sz w:val="24"/>
      <w:szCs w:val="24"/>
    </w:rPr>
  </w:style>
  <w:style w:type="paragraph" w:customStyle="1" w:styleId="naisf">
    <w:name w:val="naisf"/>
    <w:basedOn w:val="Normal"/>
    <w:rsid w:val="00582306"/>
    <w:pPr>
      <w:spacing w:before="75" w:after="75" w:line="240" w:lineRule="auto"/>
      <w:ind w:firstLine="375"/>
      <w:jc w:val="both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82306"/>
    <w:pPr>
      <w:spacing w:after="120" w:line="24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BodyTextIndentChar">
    <w:name w:val="Body Text Indent Char"/>
    <w:link w:val="BodyTextIndent"/>
    <w:rsid w:val="00582306"/>
    <w:rPr>
      <w:rFonts w:ascii="Times New Roman" w:eastAsia="Times New Roman" w:hAnsi="Times New Roman" w:cs="Times New Roman"/>
      <w:sz w:val="28"/>
      <w:szCs w:val="24"/>
      <w:lang w:eastAsia="lv-LV"/>
    </w:rPr>
  </w:style>
  <w:style w:type="character" w:styleId="FollowedHyperlink">
    <w:name w:val="FollowedHyperlink"/>
    <w:uiPriority w:val="99"/>
    <w:semiHidden/>
    <w:unhideWhenUsed/>
    <w:rsid w:val="00866C71"/>
    <w:rPr>
      <w:color w:val="800080"/>
      <w:u w:val="single"/>
    </w:rPr>
  </w:style>
  <w:style w:type="character" w:customStyle="1" w:styleId="NormalWebChar">
    <w:name w:val="Normal (Web) Char"/>
    <w:link w:val="NormalWeb"/>
    <w:uiPriority w:val="99"/>
    <w:locked/>
    <w:rsid w:val="00A235E8"/>
    <w:rPr>
      <w:rFonts w:ascii="Times New Roman" w:hAnsi="Times New Roman"/>
      <w:sz w:val="24"/>
      <w:szCs w:val="24"/>
    </w:rPr>
  </w:style>
  <w:style w:type="paragraph" w:customStyle="1" w:styleId="naislab">
    <w:name w:val="naislab"/>
    <w:basedOn w:val="Normal"/>
    <w:rsid w:val="00460447"/>
    <w:pPr>
      <w:spacing w:before="75" w:after="75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7F7CC4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7F7CC4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5F"/>
    <w:rPr>
      <w:rFonts w:ascii="Segoe UI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isti@vd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isti@vdd.gov.lv" TargetMode="External"/><Relationship Id="rId5" Type="http://schemas.openxmlformats.org/officeDocument/2006/relationships/hyperlink" Target="http://eur-lex.europa.eu/eli/reg/2013/98/oj/?locale=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Paziņojums IeM mājaslapā sadaļā „Sabiedrības līdzdalība”</vt:lpstr>
    </vt:vector>
  </TitlesOfParts>
  <Company/>
  <LinksUpToDate>false</LinksUpToDate>
  <CharactersWithSpaces>2432</CharactersWithSpaces>
  <SharedDoc>false</SharedDoc>
  <HLinks>
    <vt:vector size="18" baseType="variant">
      <vt:variant>
        <vt:i4>983145</vt:i4>
      </vt:variant>
      <vt:variant>
        <vt:i4>6</vt:i4>
      </vt:variant>
      <vt:variant>
        <vt:i4>0</vt:i4>
      </vt:variant>
      <vt:variant>
        <vt:i4>5</vt:i4>
      </vt:variant>
      <vt:variant>
        <vt:lpwstr>mailto:juristi@vdd.gov.lv</vt:lpwstr>
      </vt:variant>
      <vt:variant>
        <vt:lpwstr/>
      </vt:variant>
      <vt:variant>
        <vt:i4>983145</vt:i4>
      </vt:variant>
      <vt:variant>
        <vt:i4>3</vt:i4>
      </vt:variant>
      <vt:variant>
        <vt:i4>0</vt:i4>
      </vt:variant>
      <vt:variant>
        <vt:i4>5</vt:i4>
      </vt:variant>
      <vt:variant>
        <vt:lpwstr>mailto:juristi@vdd.gov.lv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http://eur-lex.europa.eu/eli/reg/2013/98/oj/?locale=LV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IeM mājaslapā sadaļā „Sabiedrības līdzdalība”</dc:title>
  <dc:subject/>
  <dc:creator>37548</dc:creator>
  <cp:keywords/>
  <dc:description/>
  <cp:lastModifiedBy>Inese Sproģe</cp:lastModifiedBy>
  <cp:revision>5</cp:revision>
  <cp:lastPrinted>2020-06-18T06:54:00Z</cp:lastPrinted>
  <dcterms:created xsi:type="dcterms:W3CDTF">2020-06-18T06:50:00Z</dcterms:created>
  <dcterms:modified xsi:type="dcterms:W3CDTF">2020-06-29T10:34:00Z</dcterms:modified>
</cp:coreProperties>
</file>