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06" w:rsidRPr="005B0387" w:rsidRDefault="00FC6121" w:rsidP="00FC6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387">
        <w:rPr>
          <w:rFonts w:ascii="Times New Roman" w:hAnsi="Times New Roman" w:cs="Times New Roman"/>
          <w:b/>
          <w:sz w:val="28"/>
          <w:szCs w:val="28"/>
        </w:rPr>
        <w:t xml:space="preserve">Paziņojums par </w:t>
      </w:r>
      <w:r w:rsidR="005B0387" w:rsidRPr="005B0387">
        <w:rPr>
          <w:rFonts w:ascii="Times New Roman" w:hAnsi="Times New Roman" w:cs="Times New Roman"/>
          <w:b/>
          <w:sz w:val="28"/>
          <w:szCs w:val="28"/>
        </w:rPr>
        <w:t>publisko apspriešanu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"/>
        <w:gridCol w:w="3227"/>
        <w:gridCol w:w="10200"/>
      </w:tblGrid>
      <w:tr w:rsidR="00FC6121" w:rsidRPr="005B0387" w:rsidTr="000A24AA">
        <w:tc>
          <w:tcPr>
            <w:tcW w:w="566" w:type="dxa"/>
          </w:tcPr>
          <w:p w:rsidR="00FC6121" w:rsidRPr="005B0387" w:rsidRDefault="00FC6121" w:rsidP="00FC612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27" w:type="dxa"/>
          </w:tcPr>
          <w:p w:rsidR="00FC6121" w:rsidRPr="005B0387" w:rsidRDefault="005B0387" w:rsidP="00FC6121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Projekta veids un nosaukums</w:t>
            </w:r>
          </w:p>
        </w:tc>
        <w:tc>
          <w:tcPr>
            <w:tcW w:w="10200" w:type="dxa"/>
            <w:vAlign w:val="center"/>
          </w:tcPr>
          <w:p w:rsidR="00FC6121" w:rsidRPr="005B0387" w:rsidRDefault="005B0387" w:rsidP="00FC612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Ministru kabineta </w:t>
            </w:r>
            <w:r w:rsidRPr="005B0387">
              <w:rPr>
                <w:rFonts w:ascii="Times New Roman" w:hAnsi="Times New Roman" w:cs="Times New Roman"/>
                <w:bCs/>
                <w:sz w:val="28"/>
                <w:szCs w:val="28"/>
              </w:rPr>
              <w:t>noteikumu projekts „</w:t>
            </w: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Iekšlietu ministrijas sistēmas iestāžu un Ieslodzījuma vietu pārvaldes amatpersonu ar speciālajām dienesta pakāpēm darbības un tās rezultātu novērtēšanas kārtība” (turpmāk – Ministru kabineta noteikumu projekts).</w:t>
            </w:r>
          </w:p>
        </w:tc>
      </w:tr>
      <w:tr w:rsidR="00FC6121" w:rsidRPr="005B0387" w:rsidTr="000A24AA">
        <w:tc>
          <w:tcPr>
            <w:tcW w:w="566" w:type="dxa"/>
          </w:tcPr>
          <w:p w:rsidR="00FC6121" w:rsidRPr="005B0387" w:rsidRDefault="00FC6121" w:rsidP="00FC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br w:type="page"/>
              <w:t>2.</w:t>
            </w:r>
          </w:p>
        </w:tc>
        <w:tc>
          <w:tcPr>
            <w:tcW w:w="3227" w:type="dxa"/>
          </w:tcPr>
          <w:p w:rsidR="00FC6121" w:rsidRPr="005B0387" w:rsidRDefault="005B0387" w:rsidP="00FC6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Publiskās apspriešanas sākuma un beigu datums</w:t>
            </w:r>
          </w:p>
        </w:tc>
        <w:tc>
          <w:tcPr>
            <w:tcW w:w="10200" w:type="dxa"/>
            <w:vAlign w:val="center"/>
          </w:tcPr>
          <w:p w:rsidR="00FC6121" w:rsidRPr="002A471F" w:rsidRDefault="00BB5A23" w:rsidP="00FC6121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 2</w:t>
            </w:r>
            <w:r w:rsidR="005B0387" w:rsidRPr="002A471F">
              <w:rPr>
                <w:rFonts w:ascii="Times New Roman" w:hAnsi="Times New Roman" w:cs="Times New Roman"/>
                <w:b/>
                <w:sz w:val="28"/>
                <w:szCs w:val="28"/>
              </w:rPr>
              <w:t>016.gada 17.oktobra līdz 2016.gada 31.oktobrim.</w:t>
            </w:r>
          </w:p>
        </w:tc>
      </w:tr>
      <w:tr w:rsidR="00FC6121" w:rsidRPr="005B0387" w:rsidTr="000A24AA">
        <w:tc>
          <w:tcPr>
            <w:tcW w:w="566" w:type="dxa"/>
          </w:tcPr>
          <w:p w:rsidR="00FC6121" w:rsidRPr="005B0387" w:rsidRDefault="00FC6121" w:rsidP="00FC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27" w:type="dxa"/>
          </w:tcPr>
          <w:p w:rsidR="00FC6121" w:rsidRPr="005B0387" w:rsidRDefault="005B0387" w:rsidP="00FC6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Projekta izstrādes nepieciešamības pamatojums</w:t>
            </w:r>
          </w:p>
        </w:tc>
        <w:tc>
          <w:tcPr>
            <w:tcW w:w="10200" w:type="dxa"/>
            <w:vAlign w:val="center"/>
          </w:tcPr>
          <w:p w:rsidR="00FC6121" w:rsidRPr="005B0387" w:rsidRDefault="005B0387" w:rsidP="005B038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Ministru kabineta noteikumu projekts izstrādāts, pamatojoties uz Ministru kabineta </w:t>
            </w:r>
            <w:proofErr w:type="gramStart"/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2013.gada</w:t>
            </w:r>
            <w:proofErr w:type="gramEnd"/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 27.decembra rīkojumā Nr.675 "Par Koncepciju par jaunu darba samaksas sistēmu Iekšlietu ministrijas sistēmas iestāžu un Ieslodzījuma vietu pārvaldes amatpersonām ar speciālajām dienesta pakāpēm" doto uzdevumu izpildi, nodrošinot </w:t>
            </w:r>
            <w:r w:rsidR="00182C87">
              <w:rPr>
                <w:rFonts w:ascii="Times New Roman" w:hAnsi="Times New Roman" w:cs="Times New Roman"/>
                <w:sz w:val="28"/>
                <w:szCs w:val="28"/>
              </w:rPr>
              <w:t xml:space="preserve">tiesību </w:t>
            </w: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aktu projektu izstrādi.</w:t>
            </w:r>
          </w:p>
        </w:tc>
      </w:tr>
      <w:tr w:rsidR="00FC6121" w:rsidRPr="005B0387" w:rsidTr="000A24AA">
        <w:tc>
          <w:tcPr>
            <w:tcW w:w="566" w:type="dxa"/>
          </w:tcPr>
          <w:p w:rsidR="00FC6121" w:rsidRPr="005B0387" w:rsidRDefault="000A24AA" w:rsidP="00FC61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C6121" w:rsidRPr="005B03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27" w:type="dxa"/>
          </w:tcPr>
          <w:p w:rsidR="00FC6121" w:rsidRPr="005B0387" w:rsidRDefault="000A24AA" w:rsidP="00FC61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Projekta īss saturs</w:t>
            </w:r>
          </w:p>
        </w:tc>
        <w:tc>
          <w:tcPr>
            <w:tcW w:w="10200" w:type="dxa"/>
            <w:vAlign w:val="center"/>
          </w:tcPr>
          <w:p w:rsidR="004C5525" w:rsidRPr="005B0387" w:rsidRDefault="004E47E2" w:rsidP="004E47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7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Ministru kabineta noteikumu </w:t>
            </w:r>
            <w:bookmarkStart w:id="0" w:name="_GoBack"/>
            <w:bookmarkEnd w:id="0"/>
            <w:r w:rsidR="004C5525" w:rsidRPr="005B0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projekta mērķis ir radīt efektīvi izmantojamu darbības un tās rezultātu novērtēšanas sistēmu, izmantojot </w:t>
            </w:r>
            <w:r w:rsidR="004C5525" w:rsidRPr="00BB7B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racionālāko </w:t>
            </w:r>
            <w:r w:rsidR="00BB7B27" w:rsidRPr="00BB7B27">
              <w:rPr>
                <w:rFonts w:ascii="Times New Roman" w:hAnsi="Times New Roman" w:cs="Times New Roman"/>
                <w:sz w:val="28"/>
                <w:szCs w:val="28"/>
              </w:rPr>
              <w:t>Iekšlietu ministrijas sistēmas iestāžu un Ieslodzījuma vietu pārvaldes</w:t>
            </w:r>
            <w:r w:rsidR="004C5525" w:rsidRPr="005B0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amatpersonu</w:t>
            </w:r>
            <w:r w:rsidR="00BB7B2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ar speciālajām dienesta pakāpēm (</w:t>
            </w:r>
            <w:r w:rsidR="00BB7B27">
              <w:rPr>
                <w:rFonts w:ascii="Times New Roman" w:hAnsi="Times New Roman" w:cs="Times New Roman"/>
                <w:sz w:val="28"/>
                <w:szCs w:val="28"/>
              </w:rPr>
              <w:t>turpmāk – amatpersona</w:t>
            </w:r>
            <w:r w:rsidR="00BB7B27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="004C5525" w:rsidRPr="005B03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novērtēšanas procesu, kas vienlaikus samazinās esošo administratīvo slogu un nodrošinās novērtēšanas rezultātu sasaisti ar darba samaksas sistēmas elementiem, proti, </w:t>
            </w:r>
            <w:r w:rsidR="004C5525"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pieņemot lēmumu par </w:t>
            </w:r>
            <w:r w:rsidR="004C5525" w:rsidRPr="005B0387">
              <w:rPr>
                <w:rFonts w:ascii="Times New Roman" w:hAnsi="Times New Roman" w:cs="Times New Roman"/>
                <w:bCs/>
                <w:sz w:val="28"/>
                <w:szCs w:val="28"/>
              </w:rPr>
              <w:t>amatpersonai piešķiramo naudas balvu, un citu papildus atlīdzības pasākumu apmēra noteikšanu,</w:t>
            </w:r>
            <w:r w:rsidR="004C5525"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 tiks ņemts vērā amatpersonas darbības un tās rezultātu novērtējums.</w:t>
            </w:r>
          </w:p>
        </w:tc>
      </w:tr>
      <w:tr w:rsidR="00FC6121" w:rsidRPr="005B0387" w:rsidTr="000A24AA">
        <w:tc>
          <w:tcPr>
            <w:tcW w:w="566" w:type="dxa"/>
          </w:tcPr>
          <w:p w:rsidR="00FC6121" w:rsidRPr="005B0387" w:rsidRDefault="00FC6121" w:rsidP="00FC6121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27" w:type="dxa"/>
          </w:tcPr>
          <w:p w:rsidR="00FC6121" w:rsidRPr="005B0387" w:rsidRDefault="000A24AA" w:rsidP="00FC6121">
            <w:pPr>
              <w:tabs>
                <w:tab w:val="left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Projekta autora kontaktinformācija</w:t>
            </w:r>
          </w:p>
        </w:tc>
        <w:tc>
          <w:tcPr>
            <w:tcW w:w="10200" w:type="dxa"/>
          </w:tcPr>
          <w:p w:rsidR="00FC6121" w:rsidRPr="005B0387" w:rsidRDefault="00FC6121" w:rsidP="00320F6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Iekšlietu ministrijas Personāla vadības nodaļas </w:t>
            </w:r>
            <w:r w:rsidR="00320F6C">
              <w:rPr>
                <w:rFonts w:ascii="Times New Roman" w:hAnsi="Times New Roman" w:cs="Times New Roman"/>
                <w:sz w:val="28"/>
                <w:szCs w:val="28"/>
              </w:rPr>
              <w:t>vecākā referente Nadežda Lazukova</w:t>
            </w: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>, tālr. 67219</w:t>
            </w:r>
            <w:r w:rsidR="00320F6C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, e-pasts: </w:t>
            </w:r>
            <w:hyperlink r:id="rId4" w:history="1">
              <w:r w:rsidR="00320F6C" w:rsidRPr="00320F6C">
                <w:rPr>
                  <w:rStyle w:val="Hyperlink"/>
                  <w:rFonts w:ascii="Times New Roman" w:hAnsi="Times New Roman" w:cs="Times New Roman"/>
                  <w:sz w:val="28"/>
                  <w:szCs w:val="28"/>
                </w:rPr>
                <w:t>nadezda.lazukova@iem.gov.lv</w:t>
              </w:r>
            </w:hyperlink>
            <w:r w:rsidRPr="00320F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B0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F29F4" w:rsidRPr="005B0387" w:rsidRDefault="000F29F4" w:rsidP="00FC612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29F4" w:rsidRPr="005B0387" w:rsidSect="00255A50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21"/>
    <w:rsid w:val="000A24AA"/>
    <w:rsid w:val="000F29F4"/>
    <w:rsid w:val="00182C87"/>
    <w:rsid w:val="00211B8D"/>
    <w:rsid w:val="00251D65"/>
    <w:rsid w:val="00255A50"/>
    <w:rsid w:val="002A471F"/>
    <w:rsid w:val="00320F6C"/>
    <w:rsid w:val="00324B06"/>
    <w:rsid w:val="004A73B5"/>
    <w:rsid w:val="004C5525"/>
    <w:rsid w:val="004E47E2"/>
    <w:rsid w:val="005B0387"/>
    <w:rsid w:val="006D4AD6"/>
    <w:rsid w:val="00867238"/>
    <w:rsid w:val="00AF4E68"/>
    <w:rsid w:val="00B419B9"/>
    <w:rsid w:val="00B5251D"/>
    <w:rsid w:val="00BB5A23"/>
    <w:rsid w:val="00BB7B27"/>
    <w:rsid w:val="00C47F53"/>
    <w:rsid w:val="00C62A99"/>
    <w:rsid w:val="00C8120C"/>
    <w:rsid w:val="00CD015B"/>
    <w:rsid w:val="00E43EA6"/>
    <w:rsid w:val="00FC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7D74D9-4E84-4EE3-95E5-567DB05E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6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ezda.lazukova@i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Lazukova</dc:creator>
  <cp:keywords/>
  <dc:description/>
  <cp:lastModifiedBy>Krista Elberga</cp:lastModifiedBy>
  <cp:revision>3</cp:revision>
  <dcterms:created xsi:type="dcterms:W3CDTF">2016-10-18T05:38:00Z</dcterms:created>
  <dcterms:modified xsi:type="dcterms:W3CDTF">2016-10-18T05:44:00Z</dcterms:modified>
</cp:coreProperties>
</file>