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9F" w:rsidRPr="000513C2" w:rsidRDefault="00965309" w:rsidP="00DF0D9F">
      <w:pPr>
        <w:pStyle w:val="Kjene"/>
        <w:ind w:firstLine="0"/>
        <w:jc w:val="center"/>
        <w:rPr>
          <w:b/>
          <w:sz w:val="24"/>
          <w:szCs w:val="24"/>
        </w:rPr>
      </w:pPr>
      <w:r w:rsidRPr="000513C2">
        <w:rPr>
          <w:b/>
          <w:sz w:val="24"/>
          <w:szCs w:val="24"/>
        </w:rPr>
        <w:t>Ministru kabineta noteikumu projekta</w:t>
      </w:r>
      <w:r w:rsidR="000C6111" w:rsidRPr="000513C2">
        <w:rPr>
          <w:b/>
          <w:sz w:val="24"/>
          <w:szCs w:val="24"/>
        </w:rPr>
        <w:t xml:space="preserve"> </w:t>
      </w:r>
      <w:r w:rsidR="00DF0D9F" w:rsidRPr="000513C2">
        <w:rPr>
          <w:b/>
          <w:sz w:val="24"/>
          <w:szCs w:val="24"/>
        </w:rPr>
        <w:t>“</w:t>
      </w:r>
      <w:r w:rsidR="00EF0B57" w:rsidRPr="00EF0B57">
        <w:rPr>
          <w:b/>
          <w:sz w:val="24"/>
          <w:szCs w:val="24"/>
        </w:rPr>
        <w:t>Noteikumi par civilās aizsardzības un katastrofas pārvaldīšanas mācību veidiem un organizēšanas kārtību</w:t>
      </w:r>
      <w:r w:rsidR="00DF0D9F" w:rsidRPr="000513C2">
        <w:rPr>
          <w:b/>
          <w:sz w:val="24"/>
          <w:szCs w:val="24"/>
        </w:rPr>
        <w:t>” sākotnējās ietekmes novērtējuma ziņojums (anotācija)</w:t>
      </w:r>
    </w:p>
    <w:p w:rsidR="00965309" w:rsidRPr="00157B3D" w:rsidRDefault="00DF0D9F" w:rsidP="00DF0D9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lv-LV"/>
        </w:rPr>
        <w:t xml:space="preserve"> </w:t>
      </w:r>
    </w:p>
    <w:tbl>
      <w:tblPr>
        <w:tblStyle w:val="Reatabula"/>
        <w:tblpPr w:leftFromText="180" w:rightFromText="180" w:vertAnchor="text" w:tblpXSpec="right" w:tblpY="1"/>
        <w:tblOverlap w:val="never"/>
        <w:tblW w:w="5164" w:type="pct"/>
        <w:tblLook w:val="00A0" w:firstRow="1" w:lastRow="0" w:firstColumn="1" w:lastColumn="0" w:noHBand="0" w:noVBand="0"/>
      </w:tblPr>
      <w:tblGrid>
        <w:gridCol w:w="703"/>
        <w:gridCol w:w="2978"/>
        <w:gridCol w:w="5677"/>
      </w:tblGrid>
      <w:tr w:rsidR="00965309" w:rsidRPr="00BA35CF" w:rsidTr="00217FB7">
        <w:trPr>
          <w:trHeight w:val="405"/>
        </w:trPr>
        <w:tc>
          <w:tcPr>
            <w:tcW w:w="5000" w:type="pct"/>
            <w:gridSpan w:val="3"/>
          </w:tcPr>
          <w:p w:rsidR="00965309" w:rsidRPr="00157B3D" w:rsidRDefault="00965309" w:rsidP="00217FB7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157B3D">
              <w:rPr>
                <w:b/>
                <w:b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965309" w:rsidRPr="00BA35CF" w:rsidTr="00217FB7">
        <w:trPr>
          <w:trHeight w:val="405"/>
        </w:trPr>
        <w:tc>
          <w:tcPr>
            <w:tcW w:w="376" w:type="pct"/>
          </w:tcPr>
          <w:p w:rsidR="00965309" w:rsidRPr="00157B3D" w:rsidRDefault="00965309" w:rsidP="00217FB7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91" w:type="pct"/>
          </w:tcPr>
          <w:p w:rsidR="00965309" w:rsidRPr="00157B3D" w:rsidRDefault="00965309" w:rsidP="00217FB7">
            <w:pPr>
              <w:ind w:firstLine="0"/>
              <w:jc w:val="left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033" w:type="pct"/>
          </w:tcPr>
          <w:p w:rsidR="00965309" w:rsidRPr="00D559AC" w:rsidRDefault="00CD6044" w:rsidP="00861F95">
            <w:pPr>
              <w:pStyle w:val="Virsraksts5"/>
              <w:ind w:firstLine="513"/>
              <w:jc w:val="both"/>
              <w:rPr>
                <w:b w:val="0"/>
                <w:sz w:val="24"/>
                <w:szCs w:val="24"/>
              </w:rPr>
            </w:pPr>
            <w:r w:rsidRPr="003C3021">
              <w:rPr>
                <w:b w:val="0"/>
                <w:sz w:val="24"/>
                <w:szCs w:val="24"/>
              </w:rPr>
              <w:t>Civilās aizsardzības un katastrofas pārvaldīšanas likum</w:t>
            </w:r>
            <w:r w:rsidR="003C3021" w:rsidRPr="003C3021">
              <w:rPr>
                <w:b w:val="0"/>
                <w:sz w:val="24"/>
                <w:szCs w:val="24"/>
              </w:rPr>
              <w:t>a</w:t>
            </w:r>
            <w:r w:rsidR="00635085" w:rsidRPr="003C3021">
              <w:rPr>
                <w:b w:val="0"/>
                <w:sz w:val="24"/>
                <w:szCs w:val="24"/>
              </w:rPr>
              <w:t xml:space="preserve"> </w:t>
            </w:r>
            <w:r w:rsidR="001128B5" w:rsidRPr="001128B5">
              <w:rPr>
                <w:b w:val="0"/>
                <w:sz w:val="24"/>
                <w:szCs w:val="24"/>
              </w:rPr>
              <w:t>19.pant</w:t>
            </w:r>
            <w:r w:rsidR="001128B5">
              <w:rPr>
                <w:b w:val="0"/>
                <w:sz w:val="24"/>
                <w:szCs w:val="24"/>
              </w:rPr>
              <w:t>s</w:t>
            </w:r>
            <w:r w:rsidR="001128B5" w:rsidRPr="001128B5">
              <w:rPr>
                <w:b w:val="0"/>
                <w:sz w:val="24"/>
                <w:szCs w:val="24"/>
              </w:rPr>
              <w:t xml:space="preserve"> ceturt</w:t>
            </w:r>
            <w:r w:rsidR="00861F95">
              <w:rPr>
                <w:b w:val="0"/>
                <w:sz w:val="24"/>
                <w:szCs w:val="24"/>
              </w:rPr>
              <w:t>ā</w:t>
            </w:r>
            <w:r w:rsidR="001128B5" w:rsidRPr="001128B5">
              <w:rPr>
                <w:b w:val="0"/>
                <w:sz w:val="24"/>
                <w:szCs w:val="24"/>
              </w:rPr>
              <w:t xml:space="preserve"> daļ</w:t>
            </w:r>
            <w:r w:rsidR="00861F95">
              <w:rPr>
                <w:b w:val="0"/>
                <w:sz w:val="24"/>
                <w:szCs w:val="24"/>
              </w:rPr>
              <w:t>a.</w:t>
            </w:r>
          </w:p>
        </w:tc>
      </w:tr>
      <w:tr w:rsidR="00965309" w:rsidRPr="00BA35CF" w:rsidTr="00217FB7">
        <w:trPr>
          <w:trHeight w:val="465"/>
        </w:trPr>
        <w:tc>
          <w:tcPr>
            <w:tcW w:w="376" w:type="pct"/>
          </w:tcPr>
          <w:p w:rsidR="00965309" w:rsidRPr="00157B3D" w:rsidRDefault="00965309" w:rsidP="00217FB7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91" w:type="pct"/>
          </w:tcPr>
          <w:p w:rsidR="00965309" w:rsidRPr="00157B3D" w:rsidRDefault="00965309" w:rsidP="00217FB7">
            <w:pPr>
              <w:ind w:firstLine="0"/>
              <w:jc w:val="left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3033" w:type="pct"/>
          </w:tcPr>
          <w:p w:rsidR="001128B5" w:rsidRPr="005D1C57" w:rsidRDefault="00AC62DD" w:rsidP="003E2DA8">
            <w:pPr>
              <w:ind w:firstLine="400"/>
              <w:rPr>
                <w:bCs/>
                <w:iCs/>
                <w:sz w:val="24"/>
                <w:szCs w:val="24"/>
              </w:rPr>
            </w:pPr>
            <w:r w:rsidRPr="005D1C57">
              <w:rPr>
                <w:iCs/>
                <w:sz w:val="24"/>
                <w:szCs w:val="24"/>
              </w:rPr>
              <w:t>2016.gada 1.oktobrī stājās spēkā Civilās aizsardzības un katastrofas</w:t>
            </w:r>
            <w:r w:rsidR="001128B5" w:rsidRPr="005D1C57">
              <w:rPr>
                <w:iCs/>
                <w:sz w:val="24"/>
                <w:szCs w:val="24"/>
              </w:rPr>
              <w:t xml:space="preserve"> pārvaldīšanas likums. Saskaņā </w:t>
            </w:r>
            <w:r w:rsidRPr="005D1C57">
              <w:rPr>
                <w:iCs/>
                <w:sz w:val="24"/>
                <w:szCs w:val="24"/>
              </w:rPr>
              <w:t xml:space="preserve">ar </w:t>
            </w:r>
            <w:r w:rsidRPr="005D1C57">
              <w:rPr>
                <w:bCs/>
                <w:iCs/>
                <w:sz w:val="24"/>
                <w:szCs w:val="24"/>
              </w:rPr>
              <w:t>Civilās aizsardzības un k</w:t>
            </w:r>
            <w:r w:rsidR="001128B5" w:rsidRPr="005D1C57">
              <w:rPr>
                <w:bCs/>
                <w:iCs/>
                <w:sz w:val="24"/>
                <w:szCs w:val="24"/>
              </w:rPr>
              <w:t>atastrofas pārvaldīšanas likuma</w:t>
            </w:r>
            <w:r w:rsidRPr="005D1C57">
              <w:rPr>
                <w:bCs/>
                <w:iCs/>
                <w:sz w:val="24"/>
                <w:szCs w:val="24"/>
              </w:rPr>
              <w:t xml:space="preserve"> </w:t>
            </w:r>
            <w:r w:rsidR="001128B5" w:rsidRPr="005D1C57">
              <w:rPr>
                <w:sz w:val="24"/>
                <w:szCs w:val="24"/>
              </w:rPr>
              <w:t>19.panta ceturto daļu</w:t>
            </w:r>
            <w:r w:rsidR="001128B5" w:rsidRPr="005D1C57">
              <w:rPr>
                <w:bCs/>
                <w:iCs/>
                <w:sz w:val="24"/>
                <w:szCs w:val="24"/>
              </w:rPr>
              <w:t xml:space="preserve"> </w:t>
            </w:r>
            <w:r w:rsidRPr="005D1C57">
              <w:rPr>
                <w:bCs/>
                <w:iCs/>
                <w:sz w:val="24"/>
                <w:szCs w:val="24"/>
              </w:rPr>
              <w:t>Ministru kabinets nosaka</w:t>
            </w:r>
            <w:r w:rsidR="003E2DA8" w:rsidRPr="005D1C57">
              <w:rPr>
                <w:bCs/>
                <w:iCs/>
                <w:sz w:val="24"/>
                <w:szCs w:val="24"/>
              </w:rPr>
              <w:t xml:space="preserve"> </w:t>
            </w:r>
            <w:r w:rsidR="001128B5" w:rsidRPr="005D1C57">
              <w:rPr>
                <w:iCs/>
                <w:sz w:val="24"/>
                <w:szCs w:val="24"/>
              </w:rPr>
              <w:t xml:space="preserve">Civilās aizsardzības un katastrofas pārvaldīšanas mācību veidus un organizēšanas kārtību. </w:t>
            </w:r>
          </w:p>
          <w:p w:rsidR="00AC62DD" w:rsidRPr="005D1C57" w:rsidRDefault="00AC62DD" w:rsidP="00217FB7">
            <w:pPr>
              <w:autoSpaceDE w:val="0"/>
              <w:autoSpaceDN w:val="0"/>
              <w:adjustRightInd w:val="0"/>
              <w:ind w:firstLine="400"/>
              <w:rPr>
                <w:iCs/>
                <w:sz w:val="24"/>
                <w:szCs w:val="24"/>
              </w:rPr>
            </w:pPr>
            <w:r w:rsidRPr="005D1C57">
              <w:rPr>
                <w:iCs/>
                <w:sz w:val="24"/>
                <w:szCs w:val="24"/>
              </w:rPr>
              <w:t>Saskaņā ar Civilās aizsardzības un katastrofas pārvaldīšanas likuma Pārejas noteikumu 2.punktu</w:t>
            </w:r>
            <w:r w:rsidRPr="005D1C57">
              <w:t xml:space="preserve"> </w:t>
            </w:r>
            <w:r w:rsidRPr="005D1C57">
              <w:rPr>
                <w:iCs/>
                <w:sz w:val="24"/>
                <w:szCs w:val="24"/>
              </w:rPr>
              <w:t xml:space="preserve">Ministru kabinets līdz 2017.gada 1.februārim izdod šā likuma </w:t>
            </w:r>
            <w:hyperlink r:id="rId7" w:anchor="p8" w:tgtFrame="_blank" w:history="1">
              <w:r w:rsidRPr="005D1C57">
                <w:rPr>
                  <w:rStyle w:val="Hipersaite"/>
                  <w:iCs/>
                  <w:color w:val="auto"/>
                  <w:sz w:val="24"/>
                  <w:szCs w:val="24"/>
                  <w:u w:val="none"/>
                </w:rPr>
                <w:t>8.panta</w:t>
              </w:r>
            </w:hyperlink>
            <w:r w:rsidRPr="005D1C57">
              <w:rPr>
                <w:iCs/>
                <w:sz w:val="24"/>
                <w:szCs w:val="24"/>
              </w:rPr>
              <w:t xml:space="preserve"> otrās daļas 2., 3., 4., 5., 6. un 7.punktā, </w:t>
            </w:r>
            <w:hyperlink r:id="rId8" w:anchor="p15" w:tgtFrame="_blank" w:history="1">
              <w:r w:rsidRPr="005D1C57">
                <w:rPr>
                  <w:rStyle w:val="Hipersaite"/>
                  <w:iCs/>
                  <w:color w:val="auto"/>
                  <w:sz w:val="24"/>
                  <w:szCs w:val="24"/>
                  <w:u w:val="none"/>
                </w:rPr>
                <w:t>15.panta</w:t>
              </w:r>
            </w:hyperlink>
            <w:r w:rsidRPr="005D1C57">
              <w:rPr>
                <w:iCs/>
                <w:sz w:val="24"/>
                <w:szCs w:val="24"/>
              </w:rPr>
              <w:t xml:space="preserve"> otrajā daļā, </w:t>
            </w:r>
            <w:hyperlink r:id="rId9" w:anchor="p19" w:tgtFrame="_blank" w:history="1">
              <w:r w:rsidRPr="005D1C57">
                <w:rPr>
                  <w:rStyle w:val="Hipersaite"/>
                  <w:iCs/>
                  <w:color w:val="auto"/>
                  <w:sz w:val="24"/>
                  <w:szCs w:val="24"/>
                  <w:u w:val="none"/>
                </w:rPr>
                <w:t>19.panta</w:t>
              </w:r>
            </w:hyperlink>
            <w:r w:rsidRPr="005D1C57">
              <w:rPr>
                <w:iCs/>
                <w:sz w:val="24"/>
                <w:szCs w:val="24"/>
              </w:rPr>
              <w:t xml:space="preserve"> ceturtajā daļā, </w:t>
            </w:r>
            <w:hyperlink r:id="rId10" w:anchor="p23" w:tgtFrame="_blank" w:history="1">
              <w:r w:rsidRPr="005D1C57">
                <w:rPr>
                  <w:rStyle w:val="Hipersaite"/>
                  <w:iCs/>
                  <w:color w:val="auto"/>
                  <w:sz w:val="24"/>
                  <w:szCs w:val="24"/>
                  <w:u w:val="none"/>
                </w:rPr>
                <w:t>23.panta</w:t>
              </w:r>
            </w:hyperlink>
            <w:r w:rsidRPr="005D1C57">
              <w:rPr>
                <w:iCs/>
                <w:sz w:val="24"/>
                <w:szCs w:val="24"/>
              </w:rPr>
              <w:t xml:space="preserve"> pirmajā un trešajā daļā un </w:t>
            </w:r>
            <w:hyperlink r:id="rId11" w:anchor="p24" w:tgtFrame="_blank" w:history="1">
              <w:r w:rsidRPr="005D1C57">
                <w:rPr>
                  <w:rStyle w:val="Hipersaite"/>
                  <w:iCs/>
                  <w:color w:val="auto"/>
                  <w:sz w:val="24"/>
                  <w:szCs w:val="24"/>
                  <w:u w:val="none"/>
                </w:rPr>
                <w:t>24.panta</w:t>
              </w:r>
            </w:hyperlink>
            <w:r w:rsidRPr="005D1C57">
              <w:rPr>
                <w:iCs/>
                <w:sz w:val="24"/>
                <w:szCs w:val="24"/>
              </w:rPr>
              <w:t xml:space="preserve"> ceturtajā un piektajā daļā paredzētos Ministr</w:t>
            </w:r>
            <w:r w:rsidR="001128B5" w:rsidRPr="005D1C57">
              <w:rPr>
                <w:iCs/>
                <w:sz w:val="24"/>
                <w:szCs w:val="24"/>
              </w:rPr>
              <w:t>u kabineta noteikumus. Savukārt</w:t>
            </w:r>
            <w:r w:rsidRPr="005D1C57">
              <w:rPr>
                <w:iCs/>
                <w:sz w:val="24"/>
                <w:szCs w:val="24"/>
              </w:rPr>
              <w:t xml:space="preserve"> atbilstoši minēta likuma 2.</w:t>
            </w:r>
            <w:r w:rsidR="001128B5" w:rsidRPr="005D1C57">
              <w:rPr>
                <w:iCs/>
                <w:sz w:val="24"/>
                <w:szCs w:val="24"/>
              </w:rPr>
              <w:t>, 6.punktam l</w:t>
            </w:r>
            <w:r w:rsidRPr="005D1C57">
              <w:rPr>
                <w:iCs/>
                <w:sz w:val="24"/>
                <w:szCs w:val="24"/>
              </w:rPr>
              <w:t xml:space="preserve">īdz attiecīgo Ministru kabineta noteikumu spēkā stāšanās dienai, bet ne ilgāk kā līdz 2017.gada 1.decembrim ir piemērojami </w:t>
            </w:r>
            <w:r w:rsidR="00EF0B57" w:rsidRPr="005D1C57">
              <w:rPr>
                <w:iCs/>
                <w:sz w:val="24"/>
                <w:szCs w:val="24"/>
              </w:rPr>
              <w:t>Ministru kabineta 2008.gada 22.septembra noteikumi Nr.772 "Noteikumi par civilās aizsardzības mācību veidiem un organizēšanas kārtību"</w:t>
            </w:r>
            <w:r w:rsidRPr="005D1C57">
              <w:rPr>
                <w:iCs/>
                <w:sz w:val="24"/>
                <w:szCs w:val="24"/>
              </w:rPr>
              <w:t>.</w:t>
            </w:r>
          </w:p>
          <w:p w:rsidR="00AC62DD" w:rsidRPr="005D1C57" w:rsidRDefault="00AC62DD" w:rsidP="00217FB7">
            <w:pPr>
              <w:autoSpaceDE w:val="0"/>
              <w:autoSpaceDN w:val="0"/>
              <w:adjustRightInd w:val="0"/>
              <w:ind w:firstLine="400"/>
              <w:rPr>
                <w:iCs/>
                <w:sz w:val="24"/>
                <w:szCs w:val="24"/>
              </w:rPr>
            </w:pPr>
            <w:r w:rsidRPr="005D1C57">
              <w:rPr>
                <w:iCs/>
                <w:sz w:val="24"/>
                <w:szCs w:val="24"/>
              </w:rPr>
              <w:t xml:space="preserve">Ņemot vērā minēto, ir sagatavots Ministru kabineta noteikumu projekts </w:t>
            </w:r>
            <w:r w:rsidR="00EF0B57" w:rsidRPr="005D1C57">
              <w:t>“</w:t>
            </w:r>
            <w:r w:rsidR="00EF0B57" w:rsidRPr="005D1C57">
              <w:rPr>
                <w:iCs/>
                <w:sz w:val="24"/>
                <w:szCs w:val="24"/>
              </w:rPr>
              <w:t>Noteikumi par civilās aizsardzības un katastrofas pārvaldīšanas mācību veidiem un organizēšanas kārtību</w:t>
            </w:r>
            <w:r w:rsidR="00EF0B57" w:rsidRPr="005D1C57">
              <w:t>”</w:t>
            </w:r>
            <w:r w:rsidR="00EF0B57" w:rsidRPr="005D1C57">
              <w:rPr>
                <w:iCs/>
                <w:sz w:val="24"/>
                <w:szCs w:val="24"/>
              </w:rPr>
              <w:t xml:space="preserve"> </w:t>
            </w:r>
            <w:r w:rsidRPr="005D1C57">
              <w:rPr>
                <w:iCs/>
                <w:sz w:val="24"/>
                <w:szCs w:val="24"/>
              </w:rPr>
              <w:t>(turpmāk – Noteikumu projekts).</w:t>
            </w:r>
          </w:p>
          <w:p w:rsidR="00AC62DD" w:rsidRPr="005D1C57" w:rsidRDefault="00AC62DD" w:rsidP="00217FB7">
            <w:pPr>
              <w:autoSpaceDE w:val="0"/>
              <w:autoSpaceDN w:val="0"/>
              <w:adjustRightInd w:val="0"/>
              <w:ind w:firstLine="400"/>
              <w:rPr>
                <w:iCs/>
                <w:sz w:val="24"/>
                <w:szCs w:val="24"/>
              </w:rPr>
            </w:pPr>
            <w:r w:rsidRPr="005D1C57">
              <w:rPr>
                <w:iCs/>
                <w:sz w:val="24"/>
                <w:szCs w:val="24"/>
              </w:rPr>
              <w:t xml:space="preserve">Noteikumu projekts pēc būtības paredz līdzīgu regulējumu, kāds jau ir noteikts, taču tiek precizētas atsevišķas normas, kas risina problēmas, kuras identificētas, piemērojot spēkā esošo tiesisko regulējumu, kas attiecas uz </w:t>
            </w:r>
            <w:r w:rsidR="003E2DA8" w:rsidRPr="005D1C57">
              <w:rPr>
                <w:iCs/>
                <w:sz w:val="24"/>
                <w:szCs w:val="24"/>
              </w:rPr>
              <w:t>civilās aizsardzības un katastrofas pārvaldīšanas mācību veidiem un organizēšanas kārtību.</w:t>
            </w:r>
          </w:p>
          <w:p w:rsidR="00F828B4" w:rsidRPr="005D1C57" w:rsidRDefault="00F828B4" w:rsidP="00861F95">
            <w:pPr>
              <w:autoSpaceDE w:val="0"/>
              <w:autoSpaceDN w:val="0"/>
              <w:adjustRightInd w:val="0"/>
              <w:ind w:firstLine="400"/>
              <w:rPr>
                <w:iCs/>
                <w:sz w:val="24"/>
                <w:szCs w:val="24"/>
              </w:rPr>
            </w:pPr>
            <w:r w:rsidRPr="005D1C57">
              <w:rPr>
                <w:iCs/>
                <w:sz w:val="24"/>
                <w:szCs w:val="24"/>
              </w:rPr>
              <w:t>Organizējot mācības saskaņā ar s</w:t>
            </w:r>
            <w:r w:rsidR="00F07CE6" w:rsidRPr="005D1C57">
              <w:rPr>
                <w:iCs/>
                <w:sz w:val="24"/>
                <w:szCs w:val="24"/>
              </w:rPr>
              <w:t>pēkā eso</w:t>
            </w:r>
            <w:r w:rsidR="00C7393D" w:rsidRPr="005D1C57">
              <w:rPr>
                <w:iCs/>
                <w:sz w:val="24"/>
                <w:szCs w:val="24"/>
              </w:rPr>
              <w:t>š</w:t>
            </w:r>
            <w:r w:rsidR="00044828" w:rsidRPr="005D1C57">
              <w:rPr>
                <w:iCs/>
                <w:sz w:val="24"/>
                <w:szCs w:val="24"/>
              </w:rPr>
              <w:t>aj</w:t>
            </w:r>
            <w:r w:rsidRPr="005D1C57">
              <w:rPr>
                <w:iCs/>
                <w:sz w:val="24"/>
                <w:szCs w:val="24"/>
              </w:rPr>
              <w:t>iem</w:t>
            </w:r>
            <w:r w:rsidR="00044828" w:rsidRPr="005D1C57">
              <w:rPr>
                <w:iCs/>
                <w:sz w:val="24"/>
                <w:szCs w:val="24"/>
              </w:rPr>
              <w:t xml:space="preserve"> </w:t>
            </w:r>
            <w:r w:rsidR="00861F95" w:rsidRPr="005D1C57">
              <w:rPr>
                <w:iCs/>
                <w:sz w:val="24"/>
                <w:szCs w:val="24"/>
              </w:rPr>
              <w:t>Ministru kabineta 2008.gada 22.septembra noteikum</w:t>
            </w:r>
            <w:r w:rsidRPr="005D1C57">
              <w:rPr>
                <w:iCs/>
                <w:sz w:val="24"/>
                <w:szCs w:val="24"/>
              </w:rPr>
              <w:t>iem</w:t>
            </w:r>
            <w:r w:rsidR="00861F95" w:rsidRPr="005D1C57">
              <w:rPr>
                <w:iCs/>
                <w:sz w:val="24"/>
                <w:szCs w:val="24"/>
              </w:rPr>
              <w:t xml:space="preserve"> Nr.772 “Noteikumi par civilās aizsardzības mācību veidiem un organizēšanas kārtību”</w:t>
            </w:r>
            <w:r w:rsidR="008577CE" w:rsidRPr="005D1C57">
              <w:rPr>
                <w:iCs/>
                <w:sz w:val="24"/>
                <w:szCs w:val="24"/>
              </w:rPr>
              <w:t xml:space="preserve"> </w:t>
            </w:r>
            <w:r w:rsidR="00C7393D" w:rsidRPr="005D1C57">
              <w:rPr>
                <w:iCs/>
                <w:sz w:val="24"/>
                <w:szCs w:val="24"/>
              </w:rPr>
              <w:t>tika</w:t>
            </w:r>
            <w:r w:rsidRPr="005D1C57">
              <w:rPr>
                <w:iCs/>
                <w:sz w:val="24"/>
                <w:szCs w:val="24"/>
              </w:rPr>
              <w:t xml:space="preserve"> konstatētas sekojošas problēmas:</w:t>
            </w:r>
          </w:p>
          <w:p w:rsidR="001C5396" w:rsidRPr="005D1C57" w:rsidRDefault="00F828B4" w:rsidP="00861F95">
            <w:pPr>
              <w:autoSpaceDE w:val="0"/>
              <w:autoSpaceDN w:val="0"/>
              <w:adjustRightInd w:val="0"/>
              <w:ind w:firstLine="400"/>
              <w:rPr>
                <w:iCs/>
                <w:sz w:val="24"/>
                <w:szCs w:val="24"/>
              </w:rPr>
            </w:pPr>
            <w:r w:rsidRPr="005D1C57">
              <w:rPr>
                <w:iCs/>
                <w:sz w:val="24"/>
                <w:szCs w:val="24"/>
              </w:rPr>
              <w:t>1)</w:t>
            </w:r>
            <w:r w:rsidR="00C7393D" w:rsidRPr="005D1C57">
              <w:rPr>
                <w:iCs/>
                <w:sz w:val="24"/>
                <w:szCs w:val="24"/>
              </w:rPr>
              <w:t xml:space="preserve"> </w:t>
            </w:r>
            <w:r w:rsidR="001C5396" w:rsidRPr="005D1C57">
              <w:rPr>
                <w:iCs/>
                <w:sz w:val="24"/>
                <w:szCs w:val="24"/>
              </w:rPr>
              <w:t xml:space="preserve">noteikumos </w:t>
            </w:r>
            <w:r w:rsidR="008577CE" w:rsidRPr="005D1C57">
              <w:rPr>
                <w:iCs/>
                <w:sz w:val="24"/>
                <w:szCs w:val="24"/>
              </w:rPr>
              <w:t>mācību veid</w:t>
            </w:r>
            <w:r w:rsidR="001C5396" w:rsidRPr="005D1C57">
              <w:rPr>
                <w:iCs/>
                <w:sz w:val="24"/>
                <w:szCs w:val="24"/>
              </w:rPr>
              <w:t>u</w:t>
            </w:r>
            <w:r w:rsidR="008577CE" w:rsidRPr="005D1C57">
              <w:rPr>
                <w:iCs/>
                <w:sz w:val="24"/>
                <w:szCs w:val="24"/>
              </w:rPr>
              <w:t xml:space="preserve"> </w:t>
            </w:r>
            <w:r w:rsidR="001C5396" w:rsidRPr="005D1C57">
              <w:rPr>
                <w:iCs/>
                <w:sz w:val="24"/>
                <w:szCs w:val="24"/>
              </w:rPr>
              <w:t xml:space="preserve">definīcijas </w:t>
            </w:r>
            <w:r w:rsidR="008577CE" w:rsidRPr="005D1C57">
              <w:rPr>
                <w:iCs/>
                <w:sz w:val="24"/>
                <w:szCs w:val="24"/>
              </w:rPr>
              <w:t xml:space="preserve">neparedz komersantu un organizāciju </w:t>
            </w:r>
            <w:r w:rsidR="001C5396" w:rsidRPr="005D1C57">
              <w:rPr>
                <w:iCs/>
                <w:sz w:val="24"/>
                <w:szCs w:val="24"/>
              </w:rPr>
              <w:t>iesaisti attiecīgajās mācībās, kas būtiski samazina civilās aizsardzības subjektu</w:t>
            </w:r>
            <w:r w:rsidR="000346D8" w:rsidRPr="005D1C57">
              <w:rPr>
                <w:iCs/>
                <w:sz w:val="24"/>
                <w:szCs w:val="24"/>
              </w:rPr>
              <w:t xml:space="preserve"> spējas reaģēt reālas katastrofas gadījumā</w:t>
            </w:r>
            <w:r w:rsidR="001C5396" w:rsidRPr="005D1C57">
              <w:rPr>
                <w:iCs/>
                <w:sz w:val="24"/>
                <w:szCs w:val="24"/>
              </w:rPr>
              <w:t>;</w:t>
            </w:r>
          </w:p>
          <w:p w:rsidR="00AA35B2" w:rsidRPr="005D1C57" w:rsidRDefault="001C5396" w:rsidP="00AA35B2">
            <w:pPr>
              <w:autoSpaceDE w:val="0"/>
              <w:autoSpaceDN w:val="0"/>
              <w:adjustRightInd w:val="0"/>
              <w:ind w:firstLine="0"/>
            </w:pPr>
            <w:r w:rsidRPr="005D1C57">
              <w:rPr>
                <w:iCs/>
                <w:sz w:val="24"/>
                <w:szCs w:val="24"/>
              </w:rPr>
              <w:t xml:space="preserve">2) </w:t>
            </w:r>
            <w:r w:rsidR="00F67189" w:rsidRPr="005D1C57">
              <w:rPr>
                <w:iCs/>
                <w:sz w:val="24"/>
                <w:szCs w:val="24"/>
              </w:rPr>
              <w:t xml:space="preserve">noteikumos </w:t>
            </w:r>
            <w:r w:rsidR="00AA35B2" w:rsidRPr="005D1C57">
              <w:rPr>
                <w:iCs/>
                <w:sz w:val="24"/>
                <w:szCs w:val="24"/>
              </w:rPr>
              <w:t xml:space="preserve">nepilnīgi </w:t>
            </w:r>
            <w:r w:rsidR="00F67189" w:rsidRPr="005D1C57">
              <w:rPr>
                <w:iCs/>
                <w:sz w:val="24"/>
                <w:szCs w:val="24"/>
              </w:rPr>
              <w:t>definēti novērtētāju pienākumi vērtējot mācību rezultātus</w:t>
            </w:r>
            <w:r w:rsidR="00567A82" w:rsidRPr="005D1C57">
              <w:rPr>
                <w:iCs/>
                <w:sz w:val="24"/>
                <w:szCs w:val="24"/>
              </w:rPr>
              <w:t xml:space="preserve"> </w:t>
            </w:r>
            <w:r w:rsidR="00BF33FF">
              <w:rPr>
                <w:iCs/>
                <w:sz w:val="24"/>
                <w:szCs w:val="24"/>
              </w:rPr>
              <w:t>–</w:t>
            </w:r>
            <w:r w:rsidR="00F67189" w:rsidRPr="005D1C57">
              <w:rPr>
                <w:iCs/>
                <w:sz w:val="24"/>
                <w:szCs w:val="24"/>
              </w:rPr>
              <w:t xml:space="preserve"> </w:t>
            </w:r>
            <w:r w:rsidR="00BF33FF">
              <w:rPr>
                <w:iCs/>
                <w:sz w:val="24"/>
                <w:szCs w:val="24"/>
              </w:rPr>
              <w:t xml:space="preserve">iesniegt </w:t>
            </w:r>
            <w:r w:rsidR="00AA35B2" w:rsidRPr="005D1C57">
              <w:rPr>
                <w:iCs/>
                <w:sz w:val="24"/>
                <w:szCs w:val="24"/>
              </w:rPr>
              <w:t xml:space="preserve">mācību plānošanas grupai informāciju par mācību laikā konstatētajiem novērojumiem, trūkumiem, kā arī </w:t>
            </w:r>
            <w:r w:rsidR="00AA35B2" w:rsidRPr="005D1C57">
              <w:rPr>
                <w:sz w:val="24"/>
                <w:szCs w:val="24"/>
              </w:rPr>
              <w:t xml:space="preserve">priekšlikumiem un </w:t>
            </w:r>
            <w:r w:rsidR="00AA35B2" w:rsidRPr="005D1C57">
              <w:rPr>
                <w:sz w:val="24"/>
                <w:szCs w:val="24"/>
              </w:rPr>
              <w:lastRenderedPageBreak/>
              <w:t>veicamām darbībām to novēršanai</w:t>
            </w:r>
            <w:r w:rsidR="00567A82" w:rsidRPr="005D1C57">
              <w:rPr>
                <w:sz w:val="24"/>
                <w:szCs w:val="24"/>
              </w:rPr>
              <w:t>, norādot novēršanas termiņu.</w:t>
            </w:r>
          </w:p>
          <w:p w:rsidR="00F67189" w:rsidRPr="005D1C57" w:rsidRDefault="001E6914" w:rsidP="001E6914">
            <w:pPr>
              <w:autoSpaceDE w:val="0"/>
              <w:autoSpaceDN w:val="0"/>
              <w:adjustRightInd w:val="0"/>
              <w:ind w:firstLine="400"/>
              <w:rPr>
                <w:iCs/>
                <w:sz w:val="24"/>
                <w:szCs w:val="24"/>
              </w:rPr>
            </w:pPr>
            <w:r w:rsidRPr="005D1C57">
              <w:rPr>
                <w:iCs/>
                <w:sz w:val="24"/>
                <w:szCs w:val="24"/>
              </w:rPr>
              <w:t>Ņemot vērā minēto, Noteikumu projekta definīcijas par mācību veidiem tika papildinātas ar deleģējumu</w:t>
            </w:r>
            <w:r w:rsidR="00BF33FF">
              <w:rPr>
                <w:iCs/>
                <w:sz w:val="24"/>
                <w:szCs w:val="24"/>
              </w:rPr>
              <w:t xml:space="preserve"> komersantiem un organizācijām </w:t>
            </w:r>
            <w:r w:rsidRPr="005D1C57">
              <w:rPr>
                <w:iCs/>
                <w:sz w:val="24"/>
                <w:szCs w:val="24"/>
              </w:rPr>
              <w:t>iesaistīties attiecīgajās mācībās.</w:t>
            </w:r>
          </w:p>
          <w:p w:rsidR="001E6914" w:rsidRPr="00026B5B" w:rsidRDefault="001E6914" w:rsidP="00BF33FF">
            <w:pPr>
              <w:autoSpaceDE w:val="0"/>
              <w:autoSpaceDN w:val="0"/>
              <w:adjustRightInd w:val="0"/>
              <w:ind w:firstLine="400"/>
              <w:rPr>
                <w:iCs/>
                <w:sz w:val="24"/>
                <w:szCs w:val="24"/>
              </w:rPr>
            </w:pPr>
            <w:r w:rsidRPr="005D1C57">
              <w:rPr>
                <w:iCs/>
                <w:sz w:val="24"/>
                <w:szCs w:val="24"/>
              </w:rPr>
              <w:t xml:space="preserve">Tika izstrādāts jauns Noteikumu </w:t>
            </w:r>
            <w:r w:rsidR="005D1C57" w:rsidRPr="005D1C57">
              <w:rPr>
                <w:iCs/>
                <w:sz w:val="24"/>
                <w:szCs w:val="24"/>
              </w:rPr>
              <w:t xml:space="preserve">projekta </w:t>
            </w:r>
            <w:r w:rsidRPr="005D1C57">
              <w:rPr>
                <w:iCs/>
                <w:sz w:val="24"/>
                <w:szCs w:val="24"/>
              </w:rPr>
              <w:t>pielikums</w:t>
            </w:r>
            <w:r w:rsidR="005D1C57" w:rsidRPr="005D1C57">
              <w:rPr>
                <w:iCs/>
                <w:sz w:val="24"/>
                <w:szCs w:val="24"/>
              </w:rPr>
              <w:t xml:space="preserve"> Nr.3</w:t>
            </w:r>
            <w:r w:rsidRPr="005D1C57">
              <w:rPr>
                <w:iCs/>
                <w:sz w:val="24"/>
                <w:szCs w:val="24"/>
              </w:rPr>
              <w:t xml:space="preserve"> </w:t>
            </w:r>
            <w:r w:rsidR="005D1C57" w:rsidRPr="005D1C57">
              <w:rPr>
                <w:iCs/>
                <w:sz w:val="24"/>
                <w:szCs w:val="24"/>
              </w:rPr>
              <w:t xml:space="preserve">“Mācību </w:t>
            </w:r>
            <w:r w:rsidR="00BF33FF">
              <w:rPr>
                <w:iCs/>
                <w:sz w:val="24"/>
                <w:szCs w:val="24"/>
              </w:rPr>
              <w:t xml:space="preserve">novērtēšanas </w:t>
            </w:r>
            <w:r w:rsidR="005D1C57" w:rsidRPr="005D1C57">
              <w:rPr>
                <w:iCs/>
                <w:sz w:val="24"/>
                <w:szCs w:val="24"/>
              </w:rPr>
              <w:t>veidlapa” kas dos iespēju daudz precīzāk izvērtēt mācību norises gaitu, rezultātus un efektīgāk novērst konstatētos trūkumus</w:t>
            </w:r>
            <w:r w:rsidR="00EE19AD">
              <w:rPr>
                <w:iCs/>
                <w:sz w:val="24"/>
                <w:szCs w:val="24"/>
              </w:rPr>
              <w:t>.</w:t>
            </w:r>
            <w:r w:rsidR="005D1C57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965309" w:rsidRPr="00BA35CF" w:rsidTr="00217FB7">
        <w:trPr>
          <w:trHeight w:val="465"/>
        </w:trPr>
        <w:tc>
          <w:tcPr>
            <w:tcW w:w="376" w:type="pct"/>
          </w:tcPr>
          <w:p w:rsidR="00965309" w:rsidRPr="00157B3D" w:rsidRDefault="00965309" w:rsidP="00217FB7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591" w:type="pct"/>
          </w:tcPr>
          <w:p w:rsidR="00965309" w:rsidRPr="00157B3D" w:rsidRDefault="00965309" w:rsidP="00217FB7">
            <w:pPr>
              <w:ind w:firstLine="0"/>
              <w:jc w:val="left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t>Projekta izstrādē iesaistītās institūcijas</w:t>
            </w:r>
          </w:p>
        </w:tc>
        <w:tc>
          <w:tcPr>
            <w:tcW w:w="3033" w:type="pct"/>
          </w:tcPr>
          <w:p w:rsidR="00965309" w:rsidRPr="00157B3D" w:rsidRDefault="00965309" w:rsidP="00217FB7">
            <w:pPr>
              <w:ind w:firstLine="0"/>
              <w:jc w:val="left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t>Iekšlietu ministrija</w:t>
            </w:r>
            <w:r w:rsidR="00390C55">
              <w:rPr>
                <w:sz w:val="24"/>
                <w:szCs w:val="24"/>
                <w:lang w:eastAsia="lv-LV"/>
              </w:rPr>
              <w:t>, Valsts ugunsdzēsības un glābšanas dienests</w:t>
            </w:r>
            <w:r w:rsidRPr="00157B3D">
              <w:rPr>
                <w:sz w:val="24"/>
                <w:szCs w:val="24"/>
                <w:lang w:eastAsia="lv-LV"/>
              </w:rPr>
              <w:t>.</w:t>
            </w:r>
          </w:p>
        </w:tc>
      </w:tr>
      <w:tr w:rsidR="00965309" w:rsidRPr="00BA35CF" w:rsidTr="00217FB7">
        <w:tc>
          <w:tcPr>
            <w:tcW w:w="376" w:type="pct"/>
          </w:tcPr>
          <w:p w:rsidR="00965309" w:rsidRPr="00157B3D" w:rsidRDefault="00965309" w:rsidP="00217FB7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91" w:type="pct"/>
          </w:tcPr>
          <w:p w:rsidR="00965309" w:rsidRPr="00157B3D" w:rsidRDefault="00965309" w:rsidP="00217FB7">
            <w:pPr>
              <w:ind w:firstLine="0"/>
              <w:jc w:val="left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33" w:type="pct"/>
          </w:tcPr>
          <w:p w:rsidR="00965309" w:rsidRPr="00157B3D" w:rsidRDefault="00965309" w:rsidP="00217FB7">
            <w:pPr>
              <w:tabs>
                <w:tab w:val="center" w:pos="3516"/>
              </w:tabs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t>Nav.</w:t>
            </w:r>
            <w:r w:rsidR="00D52F89">
              <w:rPr>
                <w:sz w:val="24"/>
                <w:szCs w:val="24"/>
                <w:lang w:eastAsia="lv-LV"/>
              </w:rPr>
              <w:tab/>
            </w:r>
          </w:p>
        </w:tc>
      </w:tr>
    </w:tbl>
    <w:p w:rsidR="00394F72" w:rsidRDefault="00394F72" w:rsidP="00F50C84">
      <w:pPr>
        <w:ind w:firstLine="0"/>
        <w:jc w:val="left"/>
        <w:rPr>
          <w:sz w:val="24"/>
          <w:szCs w:val="24"/>
          <w:lang w:eastAsia="lv-LV"/>
        </w:rPr>
      </w:pPr>
    </w:p>
    <w:p w:rsidR="00394F72" w:rsidRDefault="00394F72" w:rsidP="00F50C84">
      <w:pPr>
        <w:ind w:firstLine="0"/>
        <w:jc w:val="left"/>
        <w:rPr>
          <w:sz w:val="24"/>
          <w:szCs w:val="24"/>
          <w:lang w:eastAsia="lv-LV"/>
        </w:rPr>
      </w:pPr>
    </w:p>
    <w:tbl>
      <w:tblPr>
        <w:tblStyle w:val="Reatabula"/>
        <w:tblW w:w="9356" w:type="dxa"/>
        <w:tblLook w:val="04A0" w:firstRow="1" w:lastRow="0" w:firstColumn="1" w:lastColumn="0" w:noHBand="0" w:noVBand="1"/>
      </w:tblPr>
      <w:tblGrid>
        <w:gridCol w:w="704"/>
        <w:gridCol w:w="3076"/>
        <w:gridCol w:w="5576"/>
      </w:tblGrid>
      <w:tr w:rsidR="00D1691E" w:rsidRPr="00610F1C" w:rsidTr="00394F72">
        <w:tc>
          <w:tcPr>
            <w:tcW w:w="9356" w:type="dxa"/>
            <w:gridSpan w:val="3"/>
          </w:tcPr>
          <w:p w:rsidR="00D1691E" w:rsidRPr="00610F1C" w:rsidRDefault="00D1691E" w:rsidP="00485A47">
            <w:pPr>
              <w:pStyle w:val="Paraststmeklis"/>
              <w:tabs>
                <w:tab w:val="left" w:pos="552"/>
              </w:tabs>
              <w:spacing w:before="0" w:beforeAutospacing="0" w:after="0" w:afterAutospacing="0"/>
              <w:ind w:firstLine="525"/>
              <w:jc w:val="center"/>
              <w:rPr>
                <w:bCs/>
              </w:rPr>
            </w:pPr>
            <w:r w:rsidRPr="00610F1C">
              <w:rPr>
                <w:b/>
                <w:bCs/>
              </w:rPr>
              <w:t>II. Tiesību akta projekta ietekme uz sabiedrību, tautsaimniecības attīstību un administratīvo slogu</w:t>
            </w:r>
          </w:p>
        </w:tc>
      </w:tr>
      <w:tr w:rsidR="00D1691E" w:rsidRPr="00610F1C" w:rsidTr="00394F72">
        <w:tc>
          <w:tcPr>
            <w:tcW w:w="704" w:type="dxa"/>
          </w:tcPr>
          <w:p w:rsidR="00D1691E" w:rsidRPr="007A7ADE" w:rsidRDefault="00D1691E" w:rsidP="007A7ADE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</w:rPr>
            </w:pPr>
            <w:r w:rsidRPr="007A7ADE">
              <w:rPr>
                <w:sz w:val="24"/>
                <w:szCs w:val="24"/>
              </w:rPr>
              <w:t>1.</w:t>
            </w:r>
          </w:p>
        </w:tc>
        <w:tc>
          <w:tcPr>
            <w:tcW w:w="3076" w:type="dxa"/>
          </w:tcPr>
          <w:p w:rsidR="00D1691E" w:rsidRPr="007A7ADE" w:rsidRDefault="00D1691E" w:rsidP="007A7ADE">
            <w:pPr>
              <w:spacing w:before="100" w:beforeAutospacing="1" w:after="100" w:afterAutospacing="1"/>
              <w:ind w:firstLine="136"/>
              <w:rPr>
                <w:sz w:val="24"/>
                <w:szCs w:val="24"/>
              </w:rPr>
            </w:pPr>
            <w:r w:rsidRPr="007A7ADE">
              <w:rPr>
                <w:sz w:val="24"/>
                <w:szCs w:val="24"/>
              </w:rPr>
              <w:t>Sabiedrības mērķgrupas, kuras tiesiskais regulējums ietekmē vai varētu ietekmēt</w:t>
            </w:r>
          </w:p>
        </w:tc>
        <w:tc>
          <w:tcPr>
            <w:tcW w:w="5576" w:type="dxa"/>
          </w:tcPr>
          <w:p w:rsidR="00D1691E" w:rsidRPr="00683920" w:rsidRDefault="00D1691E" w:rsidP="005D1C57">
            <w:pPr>
              <w:ind w:left="57" w:firstLine="284"/>
              <w:rPr>
                <w:color w:val="0070C0"/>
                <w:sz w:val="24"/>
                <w:szCs w:val="24"/>
              </w:rPr>
            </w:pPr>
            <w:r w:rsidRPr="00BF2ED7">
              <w:rPr>
                <w:sz w:val="24"/>
                <w:szCs w:val="24"/>
              </w:rPr>
              <w:t xml:space="preserve">Noteikumu projekts </w:t>
            </w:r>
            <w:r w:rsidR="00126571" w:rsidRPr="00BF2ED7">
              <w:rPr>
                <w:sz w:val="24"/>
                <w:szCs w:val="24"/>
              </w:rPr>
              <w:t xml:space="preserve">varētu ietekmēt </w:t>
            </w:r>
            <w:r w:rsidR="008D64D3" w:rsidRPr="00BF2ED7">
              <w:rPr>
                <w:sz w:val="24"/>
                <w:szCs w:val="24"/>
              </w:rPr>
              <w:t>fiziskās un juridiskās personas</w:t>
            </w:r>
            <w:r w:rsidR="001C58DA" w:rsidRPr="00BF2ED7">
              <w:rPr>
                <w:sz w:val="24"/>
                <w:szCs w:val="24"/>
              </w:rPr>
              <w:t xml:space="preserve"> (turpmāk – personas)</w:t>
            </w:r>
            <w:r w:rsidR="008D64D3" w:rsidRPr="00BF2ED7">
              <w:rPr>
                <w:sz w:val="24"/>
                <w:szCs w:val="24"/>
              </w:rPr>
              <w:t>, kur</w:t>
            </w:r>
            <w:r w:rsidR="005D1C57">
              <w:rPr>
                <w:sz w:val="24"/>
                <w:szCs w:val="24"/>
              </w:rPr>
              <w:t xml:space="preserve">as tiks iesaistītas </w:t>
            </w:r>
            <w:r w:rsidR="005D1C57" w:rsidRPr="005D1C57">
              <w:rPr>
                <w:sz w:val="24"/>
                <w:szCs w:val="24"/>
              </w:rPr>
              <w:t>civilās aizsardzības un katastrofas pārvaldīšanas mācīb</w:t>
            </w:r>
            <w:r w:rsidR="005D1C57">
              <w:rPr>
                <w:sz w:val="24"/>
                <w:szCs w:val="24"/>
              </w:rPr>
              <w:t>as</w:t>
            </w:r>
          </w:p>
        </w:tc>
      </w:tr>
      <w:tr w:rsidR="00D1691E" w:rsidRPr="00610F1C" w:rsidTr="00394F72">
        <w:trPr>
          <w:trHeight w:val="284"/>
        </w:trPr>
        <w:tc>
          <w:tcPr>
            <w:tcW w:w="704" w:type="dxa"/>
          </w:tcPr>
          <w:p w:rsidR="00D1691E" w:rsidRPr="007A7ADE" w:rsidRDefault="00D1691E" w:rsidP="007A7ADE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</w:rPr>
            </w:pPr>
            <w:r w:rsidRPr="007A7ADE">
              <w:rPr>
                <w:sz w:val="24"/>
                <w:szCs w:val="24"/>
              </w:rPr>
              <w:t>2.</w:t>
            </w:r>
          </w:p>
        </w:tc>
        <w:tc>
          <w:tcPr>
            <w:tcW w:w="3076" w:type="dxa"/>
          </w:tcPr>
          <w:p w:rsidR="00D1691E" w:rsidRPr="007A7ADE" w:rsidRDefault="00D1691E" w:rsidP="007A7ADE">
            <w:pPr>
              <w:spacing w:before="100" w:beforeAutospacing="1" w:after="100" w:afterAutospacing="1"/>
              <w:ind w:firstLine="136"/>
              <w:rPr>
                <w:sz w:val="24"/>
                <w:szCs w:val="24"/>
              </w:rPr>
            </w:pPr>
            <w:r w:rsidRPr="007A7ADE">
              <w:rPr>
                <w:sz w:val="24"/>
                <w:szCs w:val="24"/>
              </w:rPr>
              <w:t>Tiesiskā regulējuma ietekme uz tautsaimniecību un administratīvo slogu</w:t>
            </w:r>
          </w:p>
        </w:tc>
        <w:tc>
          <w:tcPr>
            <w:tcW w:w="5576" w:type="dxa"/>
          </w:tcPr>
          <w:p w:rsidR="00D1691E" w:rsidRPr="007673B9" w:rsidRDefault="007673B9" w:rsidP="005D1C57">
            <w:pPr>
              <w:ind w:firstLine="340"/>
              <w:rPr>
                <w:color w:val="0070C0"/>
                <w:sz w:val="24"/>
                <w:szCs w:val="24"/>
              </w:rPr>
            </w:pPr>
            <w:r w:rsidRPr="007673B9">
              <w:rPr>
                <w:sz w:val="24"/>
                <w:szCs w:val="24"/>
              </w:rPr>
              <w:t>Administratīvais slogs nemainās un sabiedrības grupām un institūcijām projekta tiesiskais regulējums nemaina tiesības un pienākumus, kā arī veicamās darbības</w:t>
            </w:r>
            <w:r w:rsidR="005D1C57">
              <w:rPr>
                <w:sz w:val="24"/>
                <w:szCs w:val="24"/>
              </w:rPr>
              <w:t>.</w:t>
            </w:r>
          </w:p>
        </w:tc>
      </w:tr>
      <w:tr w:rsidR="00D1691E" w:rsidRPr="00610F1C" w:rsidTr="00394F72">
        <w:trPr>
          <w:trHeight w:val="284"/>
        </w:trPr>
        <w:tc>
          <w:tcPr>
            <w:tcW w:w="704" w:type="dxa"/>
          </w:tcPr>
          <w:p w:rsidR="00D1691E" w:rsidRPr="007A7ADE" w:rsidRDefault="00D1691E" w:rsidP="007A7ADE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</w:rPr>
            </w:pPr>
            <w:r w:rsidRPr="007A7ADE">
              <w:rPr>
                <w:sz w:val="24"/>
                <w:szCs w:val="24"/>
              </w:rPr>
              <w:t>3.</w:t>
            </w:r>
          </w:p>
        </w:tc>
        <w:tc>
          <w:tcPr>
            <w:tcW w:w="3076" w:type="dxa"/>
          </w:tcPr>
          <w:p w:rsidR="00D1691E" w:rsidRPr="007A7ADE" w:rsidRDefault="00D1691E" w:rsidP="007A7ADE">
            <w:pPr>
              <w:spacing w:before="100" w:beforeAutospacing="1" w:after="100" w:afterAutospacing="1"/>
              <w:ind w:firstLine="136"/>
              <w:rPr>
                <w:sz w:val="24"/>
                <w:szCs w:val="24"/>
              </w:rPr>
            </w:pPr>
            <w:r w:rsidRPr="007A7ADE">
              <w:rPr>
                <w:sz w:val="24"/>
                <w:szCs w:val="24"/>
              </w:rPr>
              <w:t>Administratīvo izmaksu monetārs novērtējums</w:t>
            </w:r>
          </w:p>
        </w:tc>
        <w:tc>
          <w:tcPr>
            <w:tcW w:w="5576" w:type="dxa"/>
          </w:tcPr>
          <w:p w:rsidR="00D1691E" w:rsidRPr="00EA5740" w:rsidRDefault="007673B9" w:rsidP="007673B9">
            <w:pPr>
              <w:spacing w:before="100" w:beforeAutospacing="1" w:after="100" w:afterAutospacing="1"/>
              <w:ind w:firstLine="340"/>
              <w:rPr>
                <w:color w:val="0070C0"/>
                <w:sz w:val="24"/>
                <w:szCs w:val="24"/>
              </w:rPr>
            </w:pPr>
            <w:r w:rsidRPr="00EA5740">
              <w:rPr>
                <w:sz w:val="24"/>
                <w:szCs w:val="24"/>
              </w:rPr>
              <w:t xml:space="preserve">Administratīvās izmaksas (naudas izteiksmē) gada laikā mērķgrupai, ko veido fiziskas personas nepārsniedz 200 </w:t>
            </w:r>
            <w:r w:rsidRPr="00EA5740">
              <w:rPr>
                <w:i/>
                <w:sz w:val="24"/>
                <w:szCs w:val="24"/>
              </w:rPr>
              <w:t>euro</w:t>
            </w:r>
            <w:r w:rsidRPr="00EA5740">
              <w:rPr>
                <w:sz w:val="24"/>
                <w:szCs w:val="24"/>
              </w:rPr>
              <w:t xml:space="preserve">, bet mērķgrupai, kuru veido juridiskas personas nepārsniedz 2000 </w:t>
            </w:r>
            <w:r w:rsidRPr="00EA5740">
              <w:rPr>
                <w:i/>
                <w:sz w:val="24"/>
                <w:szCs w:val="24"/>
              </w:rPr>
              <w:t>euro</w:t>
            </w:r>
            <w:r w:rsidRPr="00EA5740">
              <w:rPr>
                <w:sz w:val="24"/>
                <w:szCs w:val="24"/>
              </w:rPr>
              <w:t xml:space="preserve">. </w:t>
            </w:r>
          </w:p>
        </w:tc>
      </w:tr>
      <w:tr w:rsidR="00D1691E" w:rsidRPr="00D1691E" w:rsidTr="00394F72">
        <w:trPr>
          <w:trHeight w:val="284"/>
        </w:trPr>
        <w:tc>
          <w:tcPr>
            <w:tcW w:w="704" w:type="dxa"/>
          </w:tcPr>
          <w:p w:rsidR="00D1691E" w:rsidRPr="007A7ADE" w:rsidRDefault="00D1691E" w:rsidP="007A7ADE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</w:rPr>
            </w:pPr>
            <w:r w:rsidRPr="007A7ADE">
              <w:rPr>
                <w:sz w:val="24"/>
                <w:szCs w:val="24"/>
              </w:rPr>
              <w:t>4.</w:t>
            </w:r>
          </w:p>
        </w:tc>
        <w:tc>
          <w:tcPr>
            <w:tcW w:w="3076" w:type="dxa"/>
          </w:tcPr>
          <w:p w:rsidR="00D1691E" w:rsidRPr="007A7ADE" w:rsidRDefault="00D1691E" w:rsidP="001F5735">
            <w:pPr>
              <w:spacing w:before="100" w:beforeAutospacing="1" w:after="100" w:afterAutospacing="1"/>
              <w:ind w:firstLine="131"/>
              <w:rPr>
                <w:sz w:val="24"/>
                <w:szCs w:val="24"/>
              </w:rPr>
            </w:pPr>
            <w:r w:rsidRPr="007A7ADE">
              <w:rPr>
                <w:sz w:val="24"/>
                <w:szCs w:val="24"/>
              </w:rPr>
              <w:t>Cita informācija</w:t>
            </w:r>
          </w:p>
        </w:tc>
        <w:tc>
          <w:tcPr>
            <w:tcW w:w="5576" w:type="dxa"/>
          </w:tcPr>
          <w:p w:rsidR="00D1691E" w:rsidRPr="008D64D3" w:rsidRDefault="00D1691E" w:rsidP="007A7ADE">
            <w:pPr>
              <w:spacing w:before="100" w:beforeAutospacing="1" w:after="100" w:afterAutospacing="1"/>
              <w:ind w:firstLine="340"/>
              <w:rPr>
                <w:sz w:val="24"/>
                <w:szCs w:val="24"/>
              </w:rPr>
            </w:pPr>
            <w:r w:rsidRPr="008D64D3">
              <w:rPr>
                <w:sz w:val="24"/>
                <w:szCs w:val="24"/>
              </w:rPr>
              <w:t>Nav.</w:t>
            </w:r>
          </w:p>
        </w:tc>
      </w:tr>
    </w:tbl>
    <w:p w:rsidR="00394F72" w:rsidRDefault="00394F72" w:rsidP="00F50C84">
      <w:pPr>
        <w:ind w:firstLine="0"/>
        <w:jc w:val="left"/>
        <w:rPr>
          <w:sz w:val="24"/>
          <w:szCs w:val="24"/>
          <w:lang w:eastAsia="lv-LV"/>
        </w:rPr>
      </w:pPr>
    </w:p>
    <w:p w:rsidR="00BF33FF" w:rsidRDefault="00BF33FF" w:rsidP="00F50C84">
      <w:pPr>
        <w:ind w:firstLine="0"/>
        <w:jc w:val="left"/>
        <w:rPr>
          <w:sz w:val="24"/>
          <w:szCs w:val="24"/>
          <w:lang w:eastAsia="lv-LV"/>
        </w:rPr>
      </w:pPr>
    </w:p>
    <w:tbl>
      <w:tblPr>
        <w:tblStyle w:val="Reatabula"/>
        <w:tblW w:w="9356" w:type="dxa"/>
        <w:tblLook w:val="04A0" w:firstRow="1" w:lastRow="0" w:firstColumn="1" w:lastColumn="0" w:noHBand="0" w:noVBand="1"/>
      </w:tblPr>
      <w:tblGrid>
        <w:gridCol w:w="540"/>
        <w:gridCol w:w="3240"/>
        <w:gridCol w:w="5576"/>
      </w:tblGrid>
      <w:tr w:rsidR="00394F72" w:rsidRPr="00394F72" w:rsidTr="00592E2E">
        <w:tc>
          <w:tcPr>
            <w:tcW w:w="9356" w:type="dxa"/>
            <w:gridSpan w:val="3"/>
          </w:tcPr>
          <w:p w:rsidR="00394F72" w:rsidRPr="00394F72" w:rsidRDefault="00394F72" w:rsidP="00485A47">
            <w:pPr>
              <w:pStyle w:val="Paraststmeklis"/>
              <w:tabs>
                <w:tab w:val="left" w:pos="552"/>
                <w:tab w:val="left" w:pos="2145"/>
                <w:tab w:val="center" w:pos="5043"/>
              </w:tabs>
              <w:spacing w:before="0" w:beforeAutospacing="0" w:after="0" w:afterAutospacing="0"/>
              <w:ind w:firstLine="525"/>
              <w:jc w:val="center"/>
              <w:rPr>
                <w:b/>
                <w:bCs/>
              </w:rPr>
            </w:pPr>
            <w:r w:rsidRPr="00394F72">
              <w:rPr>
                <w:b/>
                <w:bCs/>
              </w:rPr>
              <w:t>VI. Sabiedrības līdzdalība un komunikācijas aktivitātes</w:t>
            </w:r>
          </w:p>
        </w:tc>
      </w:tr>
      <w:tr w:rsidR="00394F72" w:rsidRPr="00592E2E" w:rsidTr="00592E2E">
        <w:tc>
          <w:tcPr>
            <w:tcW w:w="540" w:type="dxa"/>
          </w:tcPr>
          <w:p w:rsidR="00394F72" w:rsidRPr="00592E2E" w:rsidRDefault="00394F72" w:rsidP="00592E2E">
            <w:pPr>
              <w:spacing w:before="100" w:beforeAutospacing="1" w:after="100" w:afterAutospacing="1"/>
              <w:ind w:firstLine="29"/>
              <w:rPr>
                <w:sz w:val="24"/>
                <w:szCs w:val="24"/>
              </w:rPr>
            </w:pPr>
            <w:r w:rsidRPr="00592E2E"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394F72" w:rsidRPr="00592E2E" w:rsidRDefault="00394F72" w:rsidP="00592E2E">
            <w:pPr>
              <w:spacing w:before="100" w:beforeAutospacing="1" w:after="100" w:afterAutospacing="1"/>
              <w:ind w:left="-86" w:firstLine="284"/>
              <w:rPr>
                <w:sz w:val="24"/>
                <w:szCs w:val="24"/>
              </w:rPr>
            </w:pPr>
            <w:r w:rsidRPr="00592E2E">
              <w:rPr>
                <w:sz w:val="24"/>
                <w:szCs w:val="24"/>
                <w:shd w:val="clear" w:color="auto" w:fill="FFFFFF"/>
              </w:rPr>
              <w:t>Plānotās sabiedrības līdzdalības un komunikācijas aktivitātes saistībā ar projektu</w:t>
            </w:r>
          </w:p>
        </w:tc>
        <w:tc>
          <w:tcPr>
            <w:tcW w:w="5576" w:type="dxa"/>
          </w:tcPr>
          <w:p w:rsidR="00394F72" w:rsidRPr="00787F59" w:rsidRDefault="00787F59" w:rsidP="00485A47">
            <w:pPr>
              <w:ind w:left="57" w:firstLine="346"/>
              <w:rPr>
                <w:sz w:val="24"/>
                <w:szCs w:val="24"/>
              </w:rPr>
            </w:pPr>
            <w:r w:rsidRPr="00787F59">
              <w:rPr>
                <w:sz w:val="24"/>
                <w:szCs w:val="24"/>
              </w:rPr>
              <w:t>Sabiedrības līdzdalība tika nodrošināta saskaņā ar Ministru kabineta 2009.gada 25.augusta noteikumiem Nr.970 “Sabiedrības līdzdalības kārtība attīstības plānošanas procesā”, sagatavojot un publicējot paziņojumu par līdzdalības procesu.</w:t>
            </w:r>
            <w:r>
              <w:rPr>
                <w:sz w:val="24"/>
                <w:szCs w:val="24"/>
              </w:rPr>
              <w:t xml:space="preserve"> </w:t>
            </w:r>
            <w:r w:rsidR="00592E2E" w:rsidRPr="00787F59">
              <w:rPr>
                <w:sz w:val="24"/>
                <w:szCs w:val="24"/>
              </w:rPr>
              <w:t>Projekts ir publicēts Iekšlietu ministrijas tīmekļa vietnē sadaļā „Sabiedrības līdzdalība”.</w:t>
            </w:r>
          </w:p>
        </w:tc>
      </w:tr>
      <w:tr w:rsidR="00394F72" w:rsidRPr="00592E2E" w:rsidTr="00592E2E">
        <w:trPr>
          <w:trHeight w:val="284"/>
        </w:trPr>
        <w:tc>
          <w:tcPr>
            <w:tcW w:w="540" w:type="dxa"/>
          </w:tcPr>
          <w:p w:rsidR="00394F72" w:rsidRPr="00592E2E" w:rsidRDefault="00394F72" w:rsidP="00592E2E">
            <w:pPr>
              <w:spacing w:before="100" w:beforeAutospacing="1" w:after="100" w:afterAutospacing="1"/>
              <w:ind w:firstLine="29"/>
              <w:rPr>
                <w:sz w:val="24"/>
                <w:szCs w:val="24"/>
              </w:rPr>
            </w:pPr>
            <w:r w:rsidRPr="00592E2E"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394F72" w:rsidRPr="00592E2E" w:rsidRDefault="00394F72" w:rsidP="00592E2E">
            <w:pPr>
              <w:spacing w:before="100" w:beforeAutospacing="1" w:after="100" w:afterAutospacing="1"/>
              <w:ind w:left="-86" w:firstLine="284"/>
              <w:rPr>
                <w:sz w:val="24"/>
                <w:szCs w:val="24"/>
              </w:rPr>
            </w:pPr>
            <w:r w:rsidRPr="00592E2E">
              <w:rPr>
                <w:sz w:val="24"/>
                <w:szCs w:val="24"/>
                <w:shd w:val="clear" w:color="auto" w:fill="FFFFFF"/>
              </w:rPr>
              <w:t>Sabiedrības līdzdalība projekta izstrādē</w:t>
            </w:r>
          </w:p>
        </w:tc>
        <w:tc>
          <w:tcPr>
            <w:tcW w:w="5576" w:type="dxa"/>
          </w:tcPr>
          <w:p w:rsidR="00394F72" w:rsidRPr="00592E2E" w:rsidRDefault="00787F59" w:rsidP="005146EF">
            <w:pPr>
              <w:ind w:left="57" w:firstLine="284"/>
              <w:rPr>
                <w:sz w:val="24"/>
                <w:szCs w:val="24"/>
              </w:rPr>
            </w:pPr>
            <w:r w:rsidRPr="00787F59">
              <w:rPr>
                <w:rFonts w:eastAsia="Times New Roman"/>
                <w:sz w:val="24"/>
                <w:szCs w:val="24"/>
                <w:lang w:eastAsia="lv-LV"/>
              </w:rPr>
              <w:t xml:space="preserve">Projekts un tā sākotnējās ietekmes novērtējuma ziņojums (anotācija) </w:t>
            </w:r>
            <w:r w:rsidR="005146EF">
              <w:rPr>
                <w:rFonts w:eastAsia="Times New Roman"/>
                <w:sz w:val="24"/>
                <w:szCs w:val="24"/>
                <w:lang w:eastAsia="lv-LV"/>
              </w:rPr>
              <w:t xml:space="preserve">tiks </w:t>
            </w:r>
            <w:r w:rsidRPr="00787F59">
              <w:rPr>
                <w:rFonts w:eastAsia="Times New Roman"/>
                <w:sz w:val="24"/>
                <w:szCs w:val="24"/>
                <w:lang w:eastAsia="lv-LV"/>
              </w:rPr>
              <w:t xml:space="preserve">ievietots Iekšlietu ministrijas tīmekļvietnē </w:t>
            </w:r>
            <w:hyperlink r:id="rId12" w:history="1">
              <w:r w:rsidRPr="00582BFC">
                <w:rPr>
                  <w:rFonts w:eastAsia="Times New Roman"/>
                  <w:sz w:val="24"/>
                  <w:szCs w:val="24"/>
                  <w:lang w:eastAsia="lv-LV"/>
                </w:rPr>
                <w:t>www.iem.gov.lv</w:t>
              </w:r>
            </w:hyperlink>
            <w:r w:rsidRPr="00582BFC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Pr="00787F59">
              <w:rPr>
                <w:rFonts w:eastAsia="Times New Roman"/>
                <w:sz w:val="24"/>
                <w:szCs w:val="24"/>
                <w:lang w:eastAsia="lv-LV"/>
              </w:rPr>
              <w:t>sadaļā “Sabiedrības līdzdalība”, aicinot sabiedrību rakstveidā izteikt savu viedokli par projektu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394F72" w:rsidRPr="00592E2E" w:rsidTr="00592E2E">
        <w:trPr>
          <w:trHeight w:val="284"/>
        </w:trPr>
        <w:tc>
          <w:tcPr>
            <w:tcW w:w="540" w:type="dxa"/>
          </w:tcPr>
          <w:p w:rsidR="00394F72" w:rsidRPr="00592E2E" w:rsidRDefault="00394F72" w:rsidP="00592E2E">
            <w:pPr>
              <w:spacing w:before="100" w:beforeAutospacing="1" w:after="100" w:afterAutospacing="1"/>
              <w:ind w:firstLine="29"/>
              <w:rPr>
                <w:sz w:val="24"/>
                <w:szCs w:val="24"/>
              </w:rPr>
            </w:pPr>
            <w:r w:rsidRPr="00592E2E">
              <w:rPr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394F72" w:rsidRPr="00592E2E" w:rsidRDefault="00394F72" w:rsidP="00592E2E">
            <w:pPr>
              <w:spacing w:before="100" w:beforeAutospacing="1" w:after="100" w:afterAutospacing="1"/>
              <w:ind w:left="-86" w:firstLine="284"/>
              <w:rPr>
                <w:sz w:val="24"/>
                <w:szCs w:val="24"/>
              </w:rPr>
            </w:pPr>
            <w:r w:rsidRPr="00592E2E">
              <w:rPr>
                <w:sz w:val="24"/>
                <w:szCs w:val="24"/>
                <w:shd w:val="clear" w:color="auto" w:fill="FFFFFF"/>
              </w:rPr>
              <w:t>Sabiedrības līdzdalības rezultāti</w:t>
            </w:r>
          </w:p>
        </w:tc>
        <w:tc>
          <w:tcPr>
            <w:tcW w:w="5576" w:type="dxa"/>
          </w:tcPr>
          <w:p w:rsidR="00394F72" w:rsidRPr="005146EF" w:rsidRDefault="00394F72" w:rsidP="005146EF">
            <w:pPr>
              <w:ind w:firstLine="0"/>
              <w:rPr>
                <w:sz w:val="24"/>
                <w:szCs w:val="24"/>
              </w:rPr>
            </w:pPr>
          </w:p>
        </w:tc>
      </w:tr>
      <w:tr w:rsidR="00394F72" w:rsidRPr="00592E2E" w:rsidTr="00592E2E">
        <w:trPr>
          <w:trHeight w:val="284"/>
        </w:trPr>
        <w:tc>
          <w:tcPr>
            <w:tcW w:w="540" w:type="dxa"/>
          </w:tcPr>
          <w:p w:rsidR="00394F72" w:rsidRPr="00592E2E" w:rsidRDefault="00394F72" w:rsidP="00592E2E">
            <w:pPr>
              <w:spacing w:before="100" w:beforeAutospacing="1" w:after="100" w:afterAutospacing="1"/>
              <w:ind w:firstLine="29"/>
              <w:rPr>
                <w:sz w:val="24"/>
                <w:szCs w:val="24"/>
              </w:rPr>
            </w:pPr>
            <w:r w:rsidRPr="00592E2E">
              <w:rPr>
                <w:sz w:val="24"/>
                <w:szCs w:val="24"/>
              </w:rPr>
              <w:t>4.</w:t>
            </w:r>
          </w:p>
        </w:tc>
        <w:tc>
          <w:tcPr>
            <w:tcW w:w="3240" w:type="dxa"/>
          </w:tcPr>
          <w:p w:rsidR="00394F72" w:rsidRPr="00592E2E" w:rsidRDefault="00394F72" w:rsidP="00592E2E">
            <w:pPr>
              <w:spacing w:before="100" w:beforeAutospacing="1" w:after="100" w:afterAutospacing="1"/>
              <w:ind w:left="-86" w:firstLine="284"/>
              <w:rPr>
                <w:sz w:val="24"/>
                <w:szCs w:val="24"/>
              </w:rPr>
            </w:pPr>
            <w:r w:rsidRPr="00592E2E">
              <w:rPr>
                <w:sz w:val="24"/>
                <w:szCs w:val="24"/>
                <w:shd w:val="clear" w:color="auto" w:fill="FFFFFF"/>
              </w:rPr>
              <w:t>Cita informācija</w:t>
            </w:r>
          </w:p>
        </w:tc>
        <w:tc>
          <w:tcPr>
            <w:tcW w:w="5576" w:type="dxa"/>
          </w:tcPr>
          <w:p w:rsidR="00394F72" w:rsidRPr="00592E2E" w:rsidRDefault="00394F72" w:rsidP="00485A47">
            <w:pPr>
              <w:spacing w:before="100" w:beforeAutospacing="1" w:after="100" w:afterAutospacing="1"/>
              <w:ind w:firstLine="345"/>
              <w:rPr>
                <w:sz w:val="24"/>
                <w:szCs w:val="24"/>
              </w:rPr>
            </w:pPr>
            <w:r w:rsidRPr="00592E2E">
              <w:rPr>
                <w:sz w:val="24"/>
                <w:szCs w:val="24"/>
              </w:rPr>
              <w:t>Nav.</w:t>
            </w:r>
          </w:p>
        </w:tc>
      </w:tr>
    </w:tbl>
    <w:p w:rsidR="008D64D3" w:rsidRPr="00592E2E" w:rsidRDefault="008D64D3" w:rsidP="00F50C84">
      <w:pPr>
        <w:ind w:firstLine="0"/>
        <w:jc w:val="left"/>
        <w:rPr>
          <w:sz w:val="24"/>
          <w:szCs w:val="24"/>
          <w:lang w:eastAsia="lv-LV"/>
        </w:rPr>
      </w:pPr>
    </w:p>
    <w:p w:rsidR="008D64D3" w:rsidRPr="00D1691E" w:rsidRDefault="008D64D3" w:rsidP="00F50C84">
      <w:pPr>
        <w:ind w:firstLine="0"/>
        <w:jc w:val="left"/>
        <w:rPr>
          <w:sz w:val="24"/>
          <w:szCs w:val="24"/>
          <w:lang w:eastAsia="lv-LV"/>
        </w:rPr>
      </w:pPr>
    </w:p>
    <w:tbl>
      <w:tblPr>
        <w:tblStyle w:val="Reatabula"/>
        <w:tblW w:w="5160" w:type="pct"/>
        <w:tblLook w:val="00A0" w:firstRow="1" w:lastRow="0" w:firstColumn="1" w:lastColumn="0" w:noHBand="0" w:noVBand="0"/>
      </w:tblPr>
      <w:tblGrid>
        <w:gridCol w:w="651"/>
        <w:gridCol w:w="3877"/>
        <w:gridCol w:w="4823"/>
      </w:tblGrid>
      <w:tr w:rsidR="00965309" w:rsidRPr="00BA35CF" w:rsidTr="0039002B">
        <w:trPr>
          <w:trHeight w:val="375"/>
        </w:trPr>
        <w:tc>
          <w:tcPr>
            <w:tcW w:w="5000" w:type="pct"/>
            <w:gridSpan w:val="3"/>
          </w:tcPr>
          <w:p w:rsidR="00965309" w:rsidRPr="00157B3D" w:rsidRDefault="00510DE8" w:rsidP="00862D0F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>
              <w:rPr>
                <w:b/>
                <w:bCs/>
                <w:sz w:val="24"/>
                <w:szCs w:val="24"/>
                <w:lang w:eastAsia="lv-LV"/>
              </w:rPr>
              <w:t>VII</w:t>
            </w:r>
            <w:r w:rsidR="00965309" w:rsidRPr="00157B3D">
              <w:rPr>
                <w:b/>
                <w:bCs/>
                <w:sz w:val="24"/>
                <w:szCs w:val="24"/>
                <w:lang w:eastAsia="lv-LV"/>
              </w:rPr>
              <w:t>. Tiesību akta projekta izpildes nodrošināšana un tās ietekme uz institūcijām</w:t>
            </w:r>
          </w:p>
        </w:tc>
      </w:tr>
      <w:tr w:rsidR="00965309" w:rsidRPr="00BA35CF" w:rsidTr="0039002B">
        <w:trPr>
          <w:trHeight w:val="420"/>
        </w:trPr>
        <w:tc>
          <w:tcPr>
            <w:tcW w:w="348" w:type="pct"/>
          </w:tcPr>
          <w:p w:rsidR="00965309" w:rsidRPr="00157B3D" w:rsidRDefault="00965309" w:rsidP="00862D0F">
            <w:pPr>
              <w:ind w:firstLine="0"/>
              <w:jc w:val="left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073" w:type="pct"/>
          </w:tcPr>
          <w:p w:rsidR="00965309" w:rsidRPr="00157B3D" w:rsidRDefault="00965309" w:rsidP="00862D0F">
            <w:pPr>
              <w:ind w:firstLine="0"/>
              <w:jc w:val="left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2579" w:type="pct"/>
          </w:tcPr>
          <w:p w:rsidR="00965309" w:rsidRPr="00157B3D" w:rsidRDefault="0039002B" w:rsidP="005146EF">
            <w:pPr>
              <w:ind w:hanging="105"/>
              <w:rPr>
                <w:sz w:val="24"/>
                <w:szCs w:val="24"/>
                <w:lang w:eastAsia="lv-LV"/>
              </w:rPr>
            </w:pPr>
            <w:r w:rsidRPr="006F2559">
              <w:rPr>
                <w:sz w:val="24"/>
                <w:szCs w:val="24"/>
                <w:lang w:eastAsia="lv-LV"/>
              </w:rPr>
              <w:t xml:space="preserve">Projekta izpildē var tikt </w:t>
            </w:r>
            <w:r w:rsidR="006F2559" w:rsidRPr="006F2559">
              <w:rPr>
                <w:sz w:val="24"/>
                <w:szCs w:val="24"/>
                <w:lang w:eastAsia="lv-LV"/>
              </w:rPr>
              <w:t xml:space="preserve">iesaistīta </w:t>
            </w:r>
            <w:r w:rsidR="00500AD3" w:rsidRPr="006F2559">
              <w:rPr>
                <w:sz w:val="24"/>
                <w:szCs w:val="24"/>
                <w:lang w:eastAsia="lv-LV"/>
              </w:rPr>
              <w:t>jebkura institūcija</w:t>
            </w:r>
            <w:r w:rsidR="005146EF">
              <w:rPr>
                <w:sz w:val="24"/>
                <w:szCs w:val="24"/>
                <w:lang w:eastAsia="lv-LV"/>
              </w:rPr>
              <w:t>, komersants un organizācija.</w:t>
            </w:r>
            <w:r w:rsidRPr="006F2559">
              <w:rPr>
                <w:sz w:val="24"/>
                <w:szCs w:val="24"/>
                <w:lang w:eastAsia="lv-LV"/>
              </w:rPr>
              <w:t xml:space="preserve"> </w:t>
            </w:r>
          </w:p>
        </w:tc>
      </w:tr>
      <w:tr w:rsidR="00965309" w:rsidRPr="00BA35CF" w:rsidTr="0039002B">
        <w:trPr>
          <w:trHeight w:val="450"/>
        </w:trPr>
        <w:tc>
          <w:tcPr>
            <w:tcW w:w="348" w:type="pct"/>
          </w:tcPr>
          <w:p w:rsidR="00965309" w:rsidRPr="00157B3D" w:rsidRDefault="00965309" w:rsidP="00862D0F">
            <w:pPr>
              <w:ind w:firstLine="0"/>
              <w:jc w:val="left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073" w:type="pct"/>
          </w:tcPr>
          <w:p w:rsidR="00965309" w:rsidRPr="00157B3D" w:rsidRDefault="00965309" w:rsidP="00FF7CC5">
            <w:pPr>
              <w:ind w:firstLine="0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="00FF7CC5">
              <w:rPr>
                <w:sz w:val="24"/>
                <w:szCs w:val="24"/>
                <w:lang w:eastAsia="lv-LV"/>
              </w:rPr>
              <w:t xml:space="preserve"> </w:t>
            </w:r>
            <w:r w:rsidRPr="00157B3D">
              <w:rPr>
                <w:sz w:val="24"/>
                <w:szCs w:val="24"/>
                <w:lang w:eastAsia="lv-LV"/>
              </w:rPr>
              <w:t>Jaunu institūciju izveide, esošu institūciju likvidācija vai reorganizācija, to ietekme uz institūcijas cilvēkresursiem.</w:t>
            </w:r>
          </w:p>
        </w:tc>
        <w:tc>
          <w:tcPr>
            <w:tcW w:w="2579" w:type="pct"/>
          </w:tcPr>
          <w:p w:rsidR="00390C55" w:rsidRPr="00390C55" w:rsidRDefault="00390C55" w:rsidP="0071489B">
            <w:pPr>
              <w:ind w:left="98" w:right="140" w:hanging="105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390C55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Jaunas funkcijas un uzdevumi netiek radīti. </w:t>
            </w:r>
          </w:p>
          <w:p w:rsidR="00390C55" w:rsidRPr="00390C55" w:rsidRDefault="00390C55" w:rsidP="00BF33FF">
            <w:pPr>
              <w:ind w:left="98" w:right="140" w:hanging="105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390C55">
              <w:rPr>
                <w:rFonts w:eastAsia="Times New Roman"/>
                <w:bCs/>
                <w:sz w:val="24"/>
                <w:szCs w:val="24"/>
                <w:lang w:eastAsia="lv-LV"/>
              </w:rPr>
              <w:t>Instit</w:t>
            </w:r>
            <w:r w:rsidR="0071489B">
              <w:rPr>
                <w:rFonts w:eastAsia="Times New Roman"/>
                <w:bCs/>
                <w:sz w:val="24"/>
                <w:szCs w:val="24"/>
                <w:lang w:eastAsia="lv-LV"/>
              </w:rPr>
              <w:t>ūcijai pieejamos cilvēkresursus</w:t>
            </w:r>
            <w:r w:rsidR="00BF33FF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390C55">
              <w:rPr>
                <w:rFonts w:eastAsia="Times New Roman"/>
                <w:bCs/>
                <w:sz w:val="24"/>
                <w:szCs w:val="24"/>
                <w:lang w:eastAsia="lv-LV"/>
              </w:rPr>
              <w:t>neietekmē.</w:t>
            </w:r>
          </w:p>
          <w:p w:rsidR="00390C55" w:rsidRPr="00390C55" w:rsidRDefault="00390C55" w:rsidP="0071489B">
            <w:pPr>
              <w:ind w:left="98" w:right="140" w:hanging="105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390C55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Jaunas institūcijas netiks veidotas. </w:t>
            </w:r>
          </w:p>
          <w:p w:rsidR="00965309" w:rsidRPr="00226A78" w:rsidRDefault="00390C55" w:rsidP="0071489B">
            <w:pPr>
              <w:ind w:hanging="105"/>
              <w:rPr>
                <w:sz w:val="24"/>
                <w:szCs w:val="24"/>
              </w:rPr>
            </w:pPr>
            <w:r w:rsidRPr="00390C55">
              <w:rPr>
                <w:sz w:val="24"/>
                <w:szCs w:val="24"/>
              </w:rPr>
              <w:t>Esošo institūciju likvidācija vai reorganizācija nav plānota.</w:t>
            </w:r>
          </w:p>
        </w:tc>
      </w:tr>
      <w:tr w:rsidR="00965309" w:rsidRPr="00BA35CF" w:rsidTr="0039002B">
        <w:trPr>
          <w:trHeight w:val="390"/>
        </w:trPr>
        <w:tc>
          <w:tcPr>
            <w:tcW w:w="348" w:type="pct"/>
          </w:tcPr>
          <w:p w:rsidR="00965309" w:rsidRPr="00157B3D" w:rsidRDefault="00965309" w:rsidP="00862D0F">
            <w:pPr>
              <w:ind w:firstLine="0"/>
              <w:jc w:val="left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073" w:type="pct"/>
          </w:tcPr>
          <w:p w:rsidR="00965309" w:rsidRPr="00157B3D" w:rsidRDefault="00965309" w:rsidP="00862D0F">
            <w:pPr>
              <w:ind w:firstLine="0"/>
              <w:jc w:val="left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579" w:type="pct"/>
          </w:tcPr>
          <w:p w:rsidR="00965309" w:rsidRPr="00157B3D" w:rsidRDefault="00965309" w:rsidP="00862D0F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  <w:lang w:eastAsia="lv-LV"/>
              </w:rPr>
            </w:pPr>
            <w:r w:rsidRPr="00157B3D">
              <w:rPr>
                <w:sz w:val="24"/>
                <w:szCs w:val="24"/>
                <w:lang w:eastAsia="lv-LV"/>
              </w:rPr>
              <w:t>Nav.</w:t>
            </w:r>
          </w:p>
        </w:tc>
      </w:tr>
    </w:tbl>
    <w:p w:rsidR="00965309" w:rsidRPr="00157B3D" w:rsidRDefault="00965309" w:rsidP="00226A78">
      <w:pPr>
        <w:ind w:firstLine="0"/>
        <w:rPr>
          <w:sz w:val="24"/>
          <w:szCs w:val="24"/>
        </w:rPr>
      </w:pPr>
    </w:p>
    <w:p w:rsidR="00965309" w:rsidRPr="002171F7" w:rsidRDefault="00965309" w:rsidP="00226A78">
      <w:pPr>
        <w:ind w:firstLine="0"/>
        <w:rPr>
          <w:sz w:val="24"/>
          <w:szCs w:val="24"/>
        </w:rPr>
      </w:pPr>
      <w:r w:rsidRPr="002171F7">
        <w:rPr>
          <w:sz w:val="24"/>
          <w:szCs w:val="24"/>
        </w:rPr>
        <w:t>Anotācijas III, IV</w:t>
      </w:r>
      <w:r w:rsidR="000D79E6">
        <w:rPr>
          <w:sz w:val="24"/>
          <w:szCs w:val="24"/>
        </w:rPr>
        <w:t xml:space="preserve"> un</w:t>
      </w:r>
      <w:r w:rsidRPr="002171F7">
        <w:rPr>
          <w:sz w:val="24"/>
          <w:szCs w:val="24"/>
        </w:rPr>
        <w:t xml:space="preserve"> V </w:t>
      </w:r>
      <w:r w:rsidR="000D79E6">
        <w:rPr>
          <w:sz w:val="24"/>
          <w:szCs w:val="24"/>
        </w:rPr>
        <w:t xml:space="preserve"> sadaļa </w:t>
      </w:r>
      <w:r w:rsidRPr="002171F7">
        <w:rPr>
          <w:sz w:val="24"/>
          <w:szCs w:val="24"/>
        </w:rPr>
        <w:t>– projekts šīs jomas neskar.</w:t>
      </w:r>
    </w:p>
    <w:p w:rsidR="00965309" w:rsidRPr="002171F7" w:rsidRDefault="00965309" w:rsidP="00226A78">
      <w:pPr>
        <w:ind w:firstLine="0"/>
        <w:rPr>
          <w:sz w:val="24"/>
          <w:szCs w:val="24"/>
        </w:rPr>
      </w:pPr>
    </w:p>
    <w:p w:rsidR="00965309" w:rsidRDefault="00965309" w:rsidP="00226A78">
      <w:pPr>
        <w:ind w:firstLine="0"/>
        <w:rPr>
          <w:sz w:val="24"/>
          <w:szCs w:val="24"/>
        </w:rPr>
      </w:pPr>
    </w:p>
    <w:p w:rsidR="00BF33FF" w:rsidRPr="002171F7" w:rsidRDefault="00BF33FF" w:rsidP="00226A78">
      <w:pPr>
        <w:ind w:firstLine="0"/>
        <w:rPr>
          <w:sz w:val="24"/>
          <w:szCs w:val="24"/>
        </w:rPr>
      </w:pPr>
    </w:p>
    <w:p w:rsidR="00965309" w:rsidRPr="006F2559" w:rsidRDefault="00965309" w:rsidP="00226A78">
      <w:pPr>
        <w:tabs>
          <w:tab w:val="right" w:pos="9071"/>
        </w:tabs>
        <w:ind w:firstLine="0"/>
        <w:rPr>
          <w:szCs w:val="28"/>
        </w:rPr>
      </w:pPr>
      <w:r w:rsidRPr="006F2559">
        <w:rPr>
          <w:szCs w:val="28"/>
        </w:rPr>
        <w:t>Iekšlietu ministrs</w:t>
      </w:r>
      <w:r w:rsidRPr="006F2559">
        <w:rPr>
          <w:szCs w:val="28"/>
        </w:rPr>
        <w:tab/>
        <w:t>R.Kozlovskis</w:t>
      </w:r>
    </w:p>
    <w:p w:rsidR="00965309" w:rsidRPr="006F2559" w:rsidRDefault="00965309" w:rsidP="00140597">
      <w:pPr>
        <w:ind w:firstLine="0"/>
        <w:rPr>
          <w:szCs w:val="28"/>
        </w:rPr>
      </w:pPr>
    </w:p>
    <w:p w:rsidR="00965309" w:rsidRPr="006F2559" w:rsidRDefault="00965309" w:rsidP="00140597">
      <w:pPr>
        <w:ind w:firstLine="0"/>
        <w:rPr>
          <w:szCs w:val="28"/>
        </w:rPr>
      </w:pPr>
    </w:p>
    <w:p w:rsidR="00965309" w:rsidRPr="002171F7" w:rsidRDefault="000D79E6" w:rsidP="00226A78">
      <w:pPr>
        <w:tabs>
          <w:tab w:val="right" w:pos="9071"/>
        </w:tabs>
        <w:ind w:firstLine="0"/>
        <w:rPr>
          <w:sz w:val="24"/>
          <w:szCs w:val="24"/>
        </w:rPr>
      </w:pPr>
      <w:r>
        <w:rPr>
          <w:szCs w:val="28"/>
        </w:rPr>
        <w:t>Iekšlietu ministrijas v</w:t>
      </w:r>
      <w:r w:rsidR="00965309" w:rsidRPr="006F2559">
        <w:rPr>
          <w:szCs w:val="28"/>
        </w:rPr>
        <w:t>alsts sekretāre</w:t>
      </w:r>
      <w:r w:rsidR="00965309" w:rsidRPr="006F2559">
        <w:rPr>
          <w:szCs w:val="28"/>
        </w:rPr>
        <w:tab/>
        <w:t>I.Pētersone – Godmane</w:t>
      </w:r>
    </w:p>
    <w:p w:rsidR="00965309" w:rsidRPr="002171F7" w:rsidRDefault="00965309" w:rsidP="00140597">
      <w:pPr>
        <w:ind w:firstLine="0"/>
        <w:rPr>
          <w:sz w:val="24"/>
          <w:szCs w:val="24"/>
        </w:rPr>
      </w:pPr>
    </w:p>
    <w:p w:rsidR="00965309" w:rsidRPr="00226A78" w:rsidRDefault="00965309" w:rsidP="00140597">
      <w:pPr>
        <w:ind w:firstLine="0"/>
        <w:rPr>
          <w:sz w:val="20"/>
          <w:szCs w:val="20"/>
        </w:rPr>
      </w:pPr>
    </w:p>
    <w:p w:rsidR="002A5A1F" w:rsidRDefault="002A5A1F" w:rsidP="00140597">
      <w:pPr>
        <w:ind w:firstLine="0"/>
        <w:rPr>
          <w:sz w:val="20"/>
          <w:szCs w:val="20"/>
        </w:rPr>
      </w:pPr>
    </w:p>
    <w:p w:rsidR="002A5A1F" w:rsidRDefault="002A5A1F" w:rsidP="00140597">
      <w:pPr>
        <w:ind w:firstLine="0"/>
        <w:rPr>
          <w:sz w:val="20"/>
          <w:szCs w:val="20"/>
        </w:rPr>
      </w:pPr>
    </w:p>
    <w:p w:rsidR="002A5A1F" w:rsidRDefault="002A5A1F" w:rsidP="00140597">
      <w:pPr>
        <w:ind w:firstLine="0"/>
        <w:rPr>
          <w:sz w:val="20"/>
          <w:szCs w:val="20"/>
        </w:rPr>
      </w:pPr>
    </w:p>
    <w:p w:rsidR="002A5A1F" w:rsidRDefault="002A5A1F" w:rsidP="00140597">
      <w:pPr>
        <w:ind w:firstLine="0"/>
        <w:rPr>
          <w:sz w:val="20"/>
          <w:szCs w:val="20"/>
        </w:rPr>
      </w:pPr>
    </w:p>
    <w:p w:rsidR="002A5A1F" w:rsidRDefault="002A5A1F" w:rsidP="00140597">
      <w:pPr>
        <w:ind w:firstLine="0"/>
        <w:rPr>
          <w:sz w:val="20"/>
          <w:szCs w:val="20"/>
        </w:rPr>
      </w:pPr>
    </w:p>
    <w:p w:rsidR="002A5A1F" w:rsidRDefault="002A5A1F" w:rsidP="00140597">
      <w:pPr>
        <w:ind w:firstLine="0"/>
        <w:rPr>
          <w:sz w:val="20"/>
          <w:szCs w:val="20"/>
        </w:rPr>
      </w:pPr>
    </w:p>
    <w:p w:rsidR="002A5A1F" w:rsidRDefault="002A5A1F" w:rsidP="00140597">
      <w:pPr>
        <w:ind w:firstLine="0"/>
        <w:rPr>
          <w:sz w:val="20"/>
          <w:szCs w:val="20"/>
        </w:rPr>
      </w:pPr>
    </w:p>
    <w:p w:rsidR="002A5A1F" w:rsidRDefault="002A5A1F" w:rsidP="00140597">
      <w:pPr>
        <w:ind w:firstLine="0"/>
        <w:rPr>
          <w:sz w:val="20"/>
          <w:szCs w:val="20"/>
        </w:rPr>
      </w:pPr>
    </w:p>
    <w:p w:rsidR="002A5A1F" w:rsidRDefault="002A5A1F" w:rsidP="00140597">
      <w:pPr>
        <w:ind w:firstLine="0"/>
        <w:rPr>
          <w:sz w:val="20"/>
          <w:szCs w:val="20"/>
        </w:rPr>
      </w:pPr>
    </w:p>
    <w:p w:rsidR="002A5A1F" w:rsidRDefault="002A5A1F" w:rsidP="00140597">
      <w:pPr>
        <w:ind w:firstLine="0"/>
        <w:rPr>
          <w:sz w:val="20"/>
          <w:szCs w:val="20"/>
        </w:rPr>
      </w:pPr>
    </w:p>
    <w:p w:rsidR="002A5A1F" w:rsidRDefault="002A5A1F" w:rsidP="00140597">
      <w:pPr>
        <w:ind w:firstLine="0"/>
        <w:rPr>
          <w:sz w:val="20"/>
          <w:szCs w:val="20"/>
        </w:rPr>
      </w:pPr>
    </w:p>
    <w:p w:rsidR="002A5A1F" w:rsidRDefault="002A5A1F" w:rsidP="00140597">
      <w:pPr>
        <w:ind w:firstLine="0"/>
        <w:rPr>
          <w:sz w:val="20"/>
          <w:szCs w:val="20"/>
        </w:rPr>
      </w:pPr>
    </w:p>
    <w:p w:rsidR="00D364F0" w:rsidRDefault="00D364F0" w:rsidP="00390C55">
      <w:pPr>
        <w:ind w:firstLine="0"/>
        <w:jc w:val="left"/>
        <w:rPr>
          <w:sz w:val="20"/>
          <w:szCs w:val="20"/>
        </w:rPr>
      </w:pPr>
    </w:p>
    <w:p w:rsidR="00D364F0" w:rsidRDefault="00D364F0" w:rsidP="00390C55">
      <w:pPr>
        <w:ind w:firstLine="0"/>
        <w:jc w:val="left"/>
        <w:rPr>
          <w:sz w:val="20"/>
          <w:szCs w:val="20"/>
        </w:rPr>
      </w:pPr>
    </w:p>
    <w:p w:rsidR="00D364F0" w:rsidRDefault="00D364F0" w:rsidP="00390C55">
      <w:pPr>
        <w:ind w:firstLine="0"/>
        <w:jc w:val="left"/>
        <w:rPr>
          <w:sz w:val="20"/>
          <w:szCs w:val="20"/>
        </w:rPr>
      </w:pPr>
    </w:p>
    <w:p w:rsidR="00D364F0" w:rsidRDefault="00D364F0" w:rsidP="00390C55">
      <w:pPr>
        <w:ind w:firstLine="0"/>
        <w:jc w:val="left"/>
        <w:rPr>
          <w:sz w:val="20"/>
          <w:szCs w:val="20"/>
        </w:rPr>
      </w:pPr>
    </w:p>
    <w:p w:rsidR="00D364F0" w:rsidRDefault="00D364F0" w:rsidP="00390C55">
      <w:pPr>
        <w:ind w:firstLine="0"/>
        <w:jc w:val="left"/>
        <w:rPr>
          <w:sz w:val="20"/>
          <w:szCs w:val="20"/>
        </w:rPr>
      </w:pPr>
    </w:p>
    <w:p w:rsidR="002B1A32" w:rsidRDefault="002B1A32" w:rsidP="00390C55">
      <w:pPr>
        <w:ind w:firstLine="0"/>
        <w:jc w:val="left"/>
        <w:rPr>
          <w:sz w:val="20"/>
          <w:szCs w:val="20"/>
        </w:rPr>
      </w:pPr>
    </w:p>
    <w:p w:rsidR="002B1A32" w:rsidRDefault="002B1A32" w:rsidP="00390C55">
      <w:pPr>
        <w:ind w:firstLine="0"/>
        <w:jc w:val="left"/>
        <w:rPr>
          <w:sz w:val="20"/>
          <w:szCs w:val="20"/>
        </w:rPr>
      </w:pPr>
    </w:p>
    <w:p w:rsidR="002B1A32" w:rsidRDefault="002B1A32" w:rsidP="00390C55">
      <w:pPr>
        <w:ind w:firstLine="0"/>
        <w:jc w:val="left"/>
        <w:rPr>
          <w:sz w:val="20"/>
          <w:szCs w:val="20"/>
        </w:rPr>
      </w:pPr>
    </w:p>
    <w:p w:rsidR="002B1A32" w:rsidRDefault="002B1A32" w:rsidP="00390C55">
      <w:pPr>
        <w:ind w:firstLine="0"/>
        <w:jc w:val="left"/>
        <w:rPr>
          <w:sz w:val="20"/>
          <w:szCs w:val="20"/>
        </w:rPr>
      </w:pPr>
    </w:p>
    <w:p w:rsidR="002B1A32" w:rsidRDefault="002B1A32" w:rsidP="00390C55">
      <w:pPr>
        <w:ind w:firstLine="0"/>
        <w:jc w:val="left"/>
        <w:rPr>
          <w:sz w:val="20"/>
          <w:szCs w:val="20"/>
        </w:rPr>
      </w:pPr>
    </w:p>
    <w:p w:rsidR="002B1A32" w:rsidRDefault="002B1A32" w:rsidP="00390C55">
      <w:pPr>
        <w:ind w:firstLine="0"/>
        <w:jc w:val="left"/>
        <w:rPr>
          <w:sz w:val="20"/>
          <w:szCs w:val="20"/>
        </w:rPr>
      </w:pPr>
    </w:p>
    <w:p w:rsidR="002B1A32" w:rsidRDefault="002B1A32" w:rsidP="00390C55">
      <w:pPr>
        <w:ind w:firstLine="0"/>
        <w:jc w:val="left"/>
        <w:rPr>
          <w:sz w:val="20"/>
          <w:szCs w:val="20"/>
        </w:rPr>
      </w:pPr>
    </w:p>
    <w:p w:rsidR="002B1A32" w:rsidRDefault="002B1A32" w:rsidP="00390C55">
      <w:pPr>
        <w:ind w:firstLine="0"/>
        <w:jc w:val="left"/>
        <w:rPr>
          <w:sz w:val="20"/>
          <w:szCs w:val="20"/>
        </w:rPr>
      </w:pPr>
    </w:p>
    <w:p w:rsidR="002B1A32" w:rsidRDefault="002B1A32" w:rsidP="00390C55">
      <w:pPr>
        <w:ind w:firstLine="0"/>
        <w:jc w:val="left"/>
        <w:rPr>
          <w:sz w:val="20"/>
          <w:szCs w:val="20"/>
        </w:rPr>
      </w:pPr>
    </w:p>
    <w:p w:rsidR="00390C55" w:rsidRPr="00390C55" w:rsidRDefault="005146EF" w:rsidP="00390C55">
      <w:pPr>
        <w:ind w:firstLine="0"/>
        <w:jc w:val="left"/>
        <w:rPr>
          <w:rFonts w:eastAsia="Times New Roman"/>
          <w:sz w:val="20"/>
          <w:szCs w:val="20"/>
          <w:lang w:eastAsia="lv-LV"/>
        </w:rPr>
      </w:pPr>
      <w:bookmarkStart w:id="0" w:name="_GoBack"/>
      <w:r>
        <w:rPr>
          <w:sz w:val="20"/>
          <w:szCs w:val="20"/>
        </w:rPr>
        <w:t>Krauklis</w:t>
      </w:r>
      <w:r w:rsidR="00390C55">
        <w:rPr>
          <w:sz w:val="20"/>
          <w:szCs w:val="20"/>
        </w:rPr>
        <w:t xml:space="preserve">, </w:t>
      </w:r>
      <w:r w:rsidR="00390C55" w:rsidRPr="00390C55">
        <w:rPr>
          <w:rFonts w:eastAsia="Times New Roman"/>
          <w:sz w:val="20"/>
          <w:szCs w:val="20"/>
          <w:lang w:eastAsia="lv-LV"/>
        </w:rPr>
        <w:t>670758</w:t>
      </w:r>
      <w:r>
        <w:rPr>
          <w:rFonts w:eastAsia="Times New Roman"/>
          <w:sz w:val="20"/>
          <w:szCs w:val="20"/>
          <w:lang w:eastAsia="lv-LV"/>
        </w:rPr>
        <w:t>17</w:t>
      </w:r>
      <w:r w:rsidR="00390C55" w:rsidRPr="00390C55">
        <w:rPr>
          <w:rFonts w:eastAsia="Times New Roman"/>
          <w:sz w:val="20"/>
          <w:szCs w:val="20"/>
          <w:lang w:eastAsia="lv-LV"/>
        </w:rPr>
        <w:t xml:space="preserve"> </w:t>
      </w:r>
    </w:p>
    <w:p w:rsidR="00965309" w:rsidRDefault="00B31CF9" w:rsidP="00140597">
      <w:pPr>
        <w:ind w:firstLine="0"/>
        <w:rPr>
          <w:sz w:val="20"/>
          <w:szCs w:val="20"/>
        </w:rPr>
      </w:pPr>
      <w:hyperlink r:id="rId13" w:history="1">
        <w:r w:rsidR="005146EF" w:rsidRPr="002B1A32">
          <w:rPr>
            <w:rStyle w:val="Hipersaite"/>
            <w:rFonts w:eastAsia="Times New Roman"/>
            <w:color w:val="auto"/>
            <w:sz w:val="20"/>
            <w:szCs w:val="20"/>
            <w:u w:val="none"/>
            <w:lang w:eastAsia="lv-LV"/>
          </w:rPr>
          <w:t>andrejs.krauklis@vugd.gov.lv</w:t>
        </w:r>
      </w:hyperlink>
      <w:bookmarkEnd w:id="0"/>
    </w:p>
    <w:sectPr w:rsidR="00965309" w:rsidSect="00E86A6C">
      <w:headerReference w:type="default" r:id="rId14"/>
      <w:footerReference w:type="default" r:id="rId15"/>
      <w:footerReference w:type="first" r:id="rId16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CF9" w:rsidRDefault="00B31CF9" w:rsidP="00F3628F">
      <w:r>
        <w:separator/>
      </w:r>
    </w:p>
  </w:endnote>
  <w:endnote w:type="continuationSeparator" w:id="0">
    <w:p w:rsidR="00B31CF9" w:rsidRDefault="00B31CF9" w:rsidP="00F3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C5" w:rsidRPr="00E86A6C" w:rsidRDefault="00ED4313" w:rsidP="00FF7CC5">
    <w:pPr>
      <w:pStyle w:val="Kjene"/>
      <w:ind w:firstLine="0"/>
      <w:rPr>
        <w:sz w:val="20"/>
        <w:szCs w:val="20"/>
      </w:rPr>
    </w:pPr>
    <w:r>
      <w:rPr>
        <w:sz w:val="20"/>
        <w:szCs w:val="20"/>
      </w:rPr>
      <w:t xml:space="preserve"> </w:t>
    </w:r>
  </w:p>
  <w:p w:rsidR="005146EF" w:rsidRPr="00E86A6C" w:rsidRDefault="005146EF" w:rsidP="005146EF">
    <w:pPr>
      <w:pStyle w:val="Kjene"/>
      <w:ind w:firstLine="0"/>
      <w:rPr>
        <w:sz w:val="20"/>
        <w:szCs w:val="20"/>
      </w:rPr>
    </w:pPr>
    <w:r w:rsidRPr="00E86A6C">
      <w:rPr>
        <w:sz w:val="20"/>
        <w:szCs w:val="20"/>
      </w:rPr>
      <w:t>I</w:t>
    </w:r>
    <w:r>
      <w:rPr>
        <w:sz w:val="20"/>
        <w:szCs w:val="20"/>
      </w:rPr>
      <w:t>E</w:t>
    </w:r>
    <w:r w:rsidRPr="00E86A6C">
      <w:rPr>
        <w:sz w:val="20"/>
        <w:szCs w:val="20"/>
      </w:rPr>
      <w:t>M</w:t>
    </w:r>
    <w:r>
      <w:rPr>
        <w:sz w:val="20"/>
        <w:szCs w:val="20"/>
      </w:rPr>
      <w:t>a</w:t>
    </w:r>
    <w:r w:rsidRPr="00E86A6C">
      <w:rPr>
        <w:sz w:val="20"/>
        <w:szCs w:val="20"/>
      </w:rPr>
      <w:t>not_</w:t>
    </w:r>
    <w:r>
      <w:rPr>
        <w:sz w:val="20"/>
        <w:szCs w:val="20"/>
      </w:rPr>
      <w:t>1301</w:t>
    </w:r>
    <w:r w:rsidRPr="00E86A6C">
      <w:rPr>
        <w:sz w:val="20"/>
        <w:szCs w:val="20"/>
      </w:rPr>
      <w:t>1</w:t>
    </w:r>
    <w:r>
      <w:rPr>
        <w:sz w:val="20"/>
        <w:szCs w:val="20"/>
      </w:rPr>
      <w:t>7_</w:t>
    </w:r>
    <w:r w:rsidRPr="00E86A6C">
      <w:rPr>
        <w:sz w:val="20"/>
        <w:szCs w:val="20"/>
      </w:rPr>
      <w:t xml:space="preserve"> </w:t>
    </w:r>
    <w:r w:rsidRPr="005146EF">
      <w:rPr>
        <w:sz w:val="20"/>
        <w:szCs w:val="20"/>
      </w:rPr>
      <w:t>Ministru kabineta noteikumu projekta “Noteikumi par civilās aizsardzības un katastrofas pārvaldīšanas mācību veidiem un organizēšanas kārtību” sākotnējās ietekmes novērtējuma ziņojums (anotācija)</w:t>
    </w:r>
  </w:p>
  <w:p w:rsidR="00965309" w:rsidRPr="00E86A6C" w:rsidRDefault="00965309" w:rsidP="00E86A6C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9E6" w:rsidRPr="00E86A6C" w:rsidRDefault="000D79E6" w:rsidP="000D79E6">
    <w:pPr>
      <w:pStyle w:val="Kjene"/>
      <w:ind w:firstLine="0"/>
      <w:rPr>
        <w:sz w:val="20"/>
        <w:szCs w:val="20"/>
      </w:rPr>
    </w:pPr>
    <w:r w:rsidRPr="00E86A6C">
      <w:rPr>
        <w:sz w:val="20"/>
        <w:szCs w:val="20"/>
      </w:rPr>
      <w:t>I</w:t>
    </w:r>
    <w:r w:rsidR="006A290D">
      <w:rPr>
        <w:sz w:val="20"/>
        <w:szCs w:val="20"/>
      </w:rPr>
      <w:t>E</w:t>
    </w:r>
    <w:r w:rsidRPr="00E86A6C">
      <w:rPr>
        <w:sz w:val="20"/>
        <w:szCs w:val="20"/>
      </w:rPr>
      <w:t>M</w:t>
    </w:r>
    <w:r>
      <w:rPr>
        <w:sz w:val="20"/>
        <w:szCs w:val="20"/>
      </w:rPr>
      <w:t>a</w:t>
    </w:r>
    <w:r w:rsidRPr="00E86A6C">
      <w:rPr>
        <w:sz w:val="20"/>
        <w:szCs w:val="20"/>
      </w:rPr>
      <w:t>not_</w:t>
    </w:r>
    <w:r w:rsidR="005146EF">
      <w:rPr>
        <w:sz w:val="20"/>
        <w:szCs w:val="20"/>
      </w:rPr>
      <w:t>1301</w:t>
    </w:r>
    <w:r w:rsidRPr="00E86A6C">
      <w:rPr>
        <w:sz w:val="20"/>
        <w:szCs w:val="20"/>
      </w:rPr>
      <w:t>1</w:t>
    </w:r>
    <w:r w:rsidR="005146EF">
      <w:rPr>
        <w:sz w:val="20"/>
        <w:szCs w:val="20"/>
      </w:rPr>
      <w:t>7</w:t>
    </w:r>
    <w:r>
      <w:rPr>
        <w:sz w:val="20"/>
        <w:szCs w:val="20"/>
      </w:rPr>
      <w:t>_</w:t>
    </w:r>
    <w:r w:rsidRPr="00E86A6C">
      <w:rPr>
        <w:sz w:val="20"/>
        <w:szCs w:val="20"/>
      </w:rPr>
      <w:t xml:space="preserve"> </w:t>
    </w:r>
    <w:r w:rsidR="005146EF" w:rsidRPr="005146EF">
      <w:rPr>
        <w:sz w:val="20"/>
        <w:szCs w:val="20"/>
      </w:rPr>
      <w:t>Ministru kabineta noteikumu projekta “Noteikumi par civilās aizsardzības un katastrofas pārvaldīšanas mācību veidiem un organizēšanas kārtību” sākotnējās ietekmes novērtējuma ziņojums (anotācija)</w:t>
    </w:r>
  </w:p>
  <w:p w:rsidR="00965309" w:rsidRPr="000D79E6" w:rsidRDefault="00965309" w:rsidP="000D79E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CF9" w:rsidRDefault="00B31CF9" w:rsidP="00F3628F">
      <w:r>
        <w:separator/>
      </w:r>
    </w:p>
  </w:footnote>
  <w:footnote w:type="continuationSeparator" w:id="0">
    <w:p w:rsidR="00B31CF9" w:rsidRDefault="00B31CF9" w:rsidP="00F36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09" w:rsidRPr="00F50C84" w:rsidRDefault="00965309">
    <w:pPr>
      <w:pStyle w:val="Galvene"/>
      <w:jc w:val="center"/>
      <w:rPr>
        <w:sz w:val="24"/>
        <w:szCs w:val="24"/>
      </w:rPr>
    </w:pPr>
    <w:r w:rsidRPr="00F50C84">
      <w:rPr>
        <w:sz w:val="24"/>
        <w:szCs w:val="24"/>
      </w:rPr>
      <w:fldChar w:fldCharType="begin"/>
    </w:r>
    <w:r w:rsidRPr="00F50C84">
      <w:rPr>
        <w:sz w:val="24"/>
        <w:szCs w:val="24"/>
      </w:rPr>
      <w:instrText xml:space="preserve"> PAGE   \* MERGEFORMAT </w:instrText>
    </w:r>
    <w:r w:rsidRPr="00F50C84">
      <w:rPr>
        <w:sz w:val="24"/>
        <w:szCs w:val="24"/>
      </w:rPr>
      <w:fldChar w:fldCharType="separate"/>
    </w:r>
    <w:r w:rsidR="004C0102">
      <w:rPr>
        <w:noProof/>
        <w:sz w:val="24"/>
        <w:szCs w:val="24"/>
      </w:rPr>
      <w:t>2</w:t>
    </w:r>
    <w:r w:rsidRPr="00F50C84">
      <w:rPr>
        <w:sz w:val="24"/>
        <w:szCs w:val="24"/>
      </w:rPr>
      <w:fldChar w:fldCharType="end"/>
    </w:r>
  </w:p>
  <w:p w:rsidR="00965309" w:rsidRPr="00F50C84" w:rsidRDefault="00965309">
    <w:pPr>
      <w:pStyle w:val="Galven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B5"/>
    <w:multiLevelType w:val="hybridMultilevel"/>
    <w:tmpl w:val="EF50613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E459FF"/>
    <w:multiLevelType w:val="hybridMultilevel"/>
    <w:tmpl w:val="8C66A744"/>
    <w:lvl w:ilvl="0" w:tplc="F0F6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5D0B"/>
    <w:multiLevelType w:val="hybridMultilevel"/>
    <w:tmpl w:val="F5D8F722"/>
    <w:lvl w:ilvl="0" w:tplc="458806FA">
      <w:start w:val="201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A2C5AA4"/>
    <w:multiLevelType w:val="hybridMultilevel"/>
    <w:tmpl w:val="EF50613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713258"/>
    <w:multiLevelType w:val="hybridMultilevel"/>
    <w:tmpl w:val="8C2AD162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C74D31"/>
    <w:multiLevelType w:val="hybridMultilevel"/>
    <w:tmpl w:val="A57860EA"/>
    <w:lvl w:ilvl="0" w:tplc="8EDC1F4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80" w:hanging="360"/>
      </w:pPr>
    </w:lvl>
    <w:lvl w:ilvl="2" w:tplc="0426001B" w:tentative="1">
      <w:start w:val="1"/>
      <w:numFmt w:val="lowerRoman"/>
      <w:lvlText w:val="%3."/>
      <w:lvlJc w:val="right"/>
      <w:pPr>
        <w:ind w:left="2200" w:hanging="180"/>
      </w:pPr>
    </w:lvl>
    <w:lvl w:ilvl="3" w:tplc="0426000F" w:tentative="1">
      <w:start w:val="1"/>
      <w:numFmt w:val="decimal"/>
      <w:lvlText w:val="%4."/>
      <w:lvlJc w:val="left"/>
      <w:pPr>
        <w:ind w:left="2920" w:hanging="360"/>
      </w:pPr>
    </w:lvl>
    <w:lvl w:ilvl="4" w:tplc="04260019" w:tentative="1">
      <w:start w:val="1"/>
      <w:numFmt w:val="lowerLetter"/>
      <w:lvlText w:val="%5."/>
      <w:lvlJc w:val="left"/>
      <w:pPr>
        <w:ind w:left="3640" w:hanging="360"/>
      </w:pPr>
    </w:lvl>
    <w:lvl w:ilvl="5" w:tplc="0426001B" w:tentative="1">
      <w:start w:val="1"/>
      <w:numFmt w:val="lowerRoman"/>
      <w:lvlText w:val="%6."/>
      <w:lvlJc w:val="right"/>
      <w:pPr>
        <w:ind w:left="4360" w:hanging="180"/>
      </w:pPr>
    </w:lvl>
    <w:lvl w:ilvl="6" w:tplc="0426000F" w:tentative="1">
      <w:start w:val="1"/>
      <w:numFmt w:val="decimal"/>
      <w:lvlText w:val="%7."/>
      <w:lvlJc w:val="left"/>
      <w:pPr>
        <w:ind w:left="5080" w:hanging="360"/>
      </w:pPr>
    </w:lvl>
    <w:lvl w:ilvl="7" w:tplc="04260019" w:tentative="1">
      <w:start w:val="1"/>
      <w:numFmt w:val="lowerLetter"/>
      <w:lvlText w:val="%8."/>
      <w:lvlJc w:val="left"/>
      <w:pPr>
        <w:ind w:left="5800" w:hanging="360"/>
      </w:pPr>
    </w:lvl>
    <w:lvl w:ilvl="8" w:tplc="042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FCE6809"/>
    <w:multiLevelType w:val="hybridMultilevel"/>
    <w:tmpl w:val="185A8E2A"/>
    <w:lvl w:ilvl="0" w:tplc="5AD07B06">
      <w:start w:val="2013"/>
      <w:numFmt w:val="bullet"/>
      <w:lvlText w:val="-"/>
      <w:lvlJc w:val="left"/>
      <w:pPr>
        <w:ind w:left="76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6B9B5BF9"/>
    <w:multiLevelType w:val="hybridMultilevel"/>
    <w:tmpl w:val="88D6E3C8"/>
    <w:lvl w:ilvl="0" w:tplc="9C3AF17A">
      <w:start w:val="2"/>
      <w:numFmt w:val="bullet"/>
      <w:lvlText w:val="–"/>
      <w:lvlJc w:val="left"/>
      <w:pPr>
        <w:ind w:left="701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8" w15:restartNumberingAfterBreak="0">
    <w:nsid w:val="6E0D3663"/>
    <w:multiLevelType w:val="hybridMultilevel"/>
    <w:tmpl w:val="89CCBAB0"/>
    <w:lvl w:ilvl="0" w:tplc="F0F69B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1D6E08"/>
    <w:multiLevelType w:val="hybridMultilevel"/>
    <w:tmpl w:val="FAA0778A"/>
    <w:lvl w:ilvl="0" w:tplc="E4AE95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AA43FC3"/>
    <w:multiLevelType w:val="hybridMultilevel"/>
    <w:tmpl w:val="CA84BF3A"/>
    <w:lvl w:ilvl="0" w:tplc="F0F69B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0F"/>
    <w:rsid w:val="00001823"/>
    <w:rsid w:val="00003E54"/>
    <w:rsid w:val="00004C67"/>
    <w:rsid w:val="0001142B"/>
    <w:rsid w:val="00014974"/>
    <w:rsid w:val="00021077"/>
    <w:rsid w:val="00026B5B"/>
    <w:rsid w:val="000346D8"/>
    <w:rsid w:val="00035347"/>
    <w:rsid w:val="0004061E"/>
    <w:rsid w:val="000446D7"/>
    <w:rsid w:val="00044828"/>
    <w:rsid w:val="000513C2"/>
    <w:rsid w:val="000662E7"/>
    <w:rsid w:val="00067791"/>
    <w:rsid w:val="00071778"/>
    <w:rsid w:val="0007566F"/>
    <w:rsid w:val="00083D16"/>
    <w:rsid w:val="0008799E"/>
    <w:rsid w:val="00095E60"/>
    <w:rsid w:val="000C02DA"/>
    <w:rsid w:val="000C4566"/>
    <w:rsid w:val="000C6111"/>
    <w:rsid w:val="000D28E0"/>
    <w:rsid w:val="000D513D"/>
    <w:rsid w:val="000D79E6"/>
    <w:rsid w:val="000E5184"/>
    <w:rsid w:val="000E5608"/>
    <w:rsid w:val="000E7ED0"/>
    <w:rsid w:val="000F6679"/>
    <w:rsid w:val="00101211"/>
    <w:rsid w:val="001128B5"/>
    <w:rsid w:val="00117AFC"/>
    <w:rsid w:val="00126571"/>
    <w:rsid w:val="0013070F"/>
    <w:rsid w:val="001347D1"/>
    <w:rsid w:val="0013550B"/>
    <w:rsid w:val="0013569A"/>
    <w:rsid w:val="00140597"/>
    <w:rsid w:val="00141133"/>
    <w:rsid w:val="0014431E"/>
    <w:rsid w:val="00151C8F"/>
    <w:rsid w:val="001538D6"/>
    <w:rsid w:val="0015601D"/>
    <w:rsid w:val="00157B3D"/>
    <w:rsid w:val="00161FC1"/>
    <w:rsid w:val="00164382"/>
    <w:rsid w:val="00171E4F"/>
    <w:rsid w:val="00173968"/>
    <w:rsid w:val="001816BD"/>
    <w:rsid w:val="00183AE1"/>
    <w:rsid w:val="001865B0"/>
    <w:rsid w:val="001963E5"/>
    <w:rsid w:val="001A0BAB"/>
    <w:rsid w:val="001A1E8C"/>
    <w:rsid w:val="001A4487"/>
    <w:rsid w:val="001B71B1"/>
    <w:rsid w:val="001C1E10"/>
    <w:rsid w:val="001C5396"/>
    <w:rsid w:val="001C56BA"/>
    <w:rsid w:val="001C58DA"/>
    <w:rsid w:val="001D0E04"/>
    <w:rsid w:val="001D510D"/>
    <w:rsid w:val="001D5646"/>
    <w:rsid w:val="001D681A"/>
    <w:rsid w:val="001E4331"/>
    <w:rsid w:val="001E4DC4"/>
    <w:rsid w:val="001E6914"/>
    <w:rsid w:val="001F5735"/>
    <w:rsid w:val="00205CD5"/>
    <w:rsid w:val="00206680"/>
    <w:rsid w:val="0021213F"/>
    <w:rsid w:val="002121FE"/>
    <w:rsid w:val="002171F7"/>
    <w:rsid w:val="00217FB7"/>
    <w:rsid w:val="00221A97"/>
    <w:rsid w:val="00221C68"/>
    <w:rsid w:val="00223C57"/>
    <w:rsid w:val="00226A78"/>
    <w:rsid w:val="00226D12"/>
    <w:rsid w:val="00227ED8"/>
    <w:rsid w:val="00230A3D"/>
    <w:rsid w:val="00243873"/>
    <w:rsid w:val="002572D4"/>
    <w:rsid w:val="0025773E"/>
    <w:rsid w:val="0027319E"/>
    <w:rsid w:val="0027455A"/>
    <w:rsid w:val="0027656E"/>
    <w:rsid w:val="00282ADF"/>
    <w:rsid w:val="002836E1"/>
    <w:rsid w:val="00294B40"/>
    <w:rsid w:val="00295EA0"/>
    <w:rsid w:val="00296449"/>
    <w:rsid w:val="002A3D3A"/>
    <w:rsid w:val="002A5A1F"/>
    <w:rsid w:val="002A6CD7"/>
    <w:rsid w:val="002B1A32"/>
    <w:rsid w:val="002B51B0"/>
    <w:rsid w:val="002C01C2"/>
    <w:rsid w:val="002C20B4"/>
    <w:rsid w:val="002C307E"/>
    <w:rsid w:val="002D2B36"/>
    <w:rsid w:val="002D7A33"/>
    <w:rsid w:val="002E13FB"/>
    <w:rsid w:val="002E4A57"/>
    <w:rsid w:val="003102AA"/>
    <w:rsid w:val="003124CB"/>
    <w:rsid w:val="00313576"/>
    <w:rsid w:val="003149E9"/>
    <w:rsid w:val="00321EEC"/>
    <w:rsid w:val="003235AA"/>
    <w:rsid w:val="003265F3"/>
    <w:rsid w:val="00327260"/>
    <w:rsid w:val="00332417"/>
    <w:rsid w:val="003417A9"/>
    <w:rsid w:val="00345C48"/>
    <w:rsid w:val="0036053F"/>
    <w:rsid w:val="0036204A"/>
    <w:rsid w:val="00372B9A"/>
    <w:rsid w:val="00374EE1"/>
    <w:rsid w:val="00381DB1"/>
    <w:rsid w:val="0039002B"/>
    <w:rsid w:val="00390C55"/>
    <w:rsid w:val="00394F72"/>
    <w:rsid w:val="003A451A"/>
    <w:rsid w:val="003A6E22"/>
    <w:rsid w:val="003C3021"/>
    <w:rsid w:val="003C5128"/>
    <w:rsid w:val="003C530F"/>
    <w:rsid w:val="003D171B"/>
    <w:rsid w:val="003D6EA8"/>
    <w:rsid w:val="003E2DA8"/>
    <w:rsid w:val="00407DCE"/>
    <w:rsid w:val="004118C9"/>
    <w:rsid w:val="00420A06"/>
    <w:rsid w:val="004261EB"/>
    <w:rsid w:val="00430257"/>
    <w:rsid w:val="0044584E"/>
    <w:rsid w:val="00446D53"/>
    <w:rsid w:val="00451713"/>
    <w:rsid w:val="00457411"/>
    <w:rsid w:val="004625F8"/>
    <w:rsid w:val="004701FD"/>
    <w:rsid w:val="004734AF"/>
    <w:rsid w:val="00476B02"/>
    <w:rsid w:val="00476E9D"/>
    <w:rsid w:val="00483FFF"/>
    <w:rsid w:val="00490159"/>
    <w:rsid w:val="004B1DA3"/>
    <w:rsid w:val="004C0102"/>
    <w:rsid w:val="004C5BEA"/>
    <w:rsid w:val="004D2053"/>
    <w:rsid w:val="004D5AEA"/>
    <w:rsid w:val="004D79D0"/>
    <w:rsid w:val="004E1697"/>
    <w:rsid w:val="004F55B2"/>
    <w:rsid w:val="004F62C2"/>
    <w:rsid w:val="00500AD3"/>
    <w:rsid w:val="00506EE0"/>
    <w:rsid w:val="00507BA0"/>
    <w:rsid w:val="00510DE8"/>
    <w:rsid w:val="00512301"/>
    <w:rsid w:val="005146EF"/>
    <w:rsid w:val="00516DA6"/>
    <w:rsid w:val="005401E9"/>
    <w:rsid w:val="00541B5D"/>
    <w:rsid w:val="005575B9"/>
    <w:rsid w:val="00567A82"/>
    <w:rsid w:val="00571B50"/>
    <w:rsid w:val="00580DDF"/>
    <w:rsid w:val="00582BFC"/>
    <w:rsid w:val="00583CFA"/>
    <w:rsid w:val="005855AB"/>
    <w:rsid w:val="00587970"/>
    <w:rsid w:val="00587B5D"/>
    <w:rsid w:val="00592E2E"/>
    <w:rsid w:val="005937BE"/>
    <w:rsid w:val="005978A6"/>
    <w:rsid w:val="005A2741"/>
    <w:rsid w:val="005B7774"/>
    <w:rsid w:val="005D08F3"/>
    <w:rsid w:val="005D1C57"/>
    <w:rsid w:val="005D5148"/>
    <w:rsid w:val="005E36D1"/>
    <w:rsid w:val="005F1404"/>
    <w:rsid w:val="006020DB"/>
    <w:rsid w:val="00616CC7"/>
    <w:rsid w:val="00617E10"/>
    <w:rsid w:val="006206EC"/>
    <w:rsid w:val="00622F65"/>
    <w:rsid w:val="00623A32"/>
    <w:rsid w:val="00635085"/>
    <w:rsid w:val="006462A7"/>
    <w:rsid w:val="006569D9"/>
    <w:rsid w:val="006569DF"/>
    <w:rsid w:val="00683920"/>
    <w:rsid w:val="00683BBE"/>
    <w:rsid w:val="00687DEE"/>
    <w:rsid w:val="006A290D"/>
    <w:rsid w:val="006A4326"/>
    <w:rsid w:val="006B01BA"/>
    <w:rsid w:val="006B279B"/>
    <w:rsid w:val="006C06CF"/>
    <w:rsid w:val="006C7180"/>
    <w:rsid w:val="006C76BC"/>
    <w:rsid w:val="006D6A94"/>
    <w:rsid w:val="006F0E22"/>
    <w:rsid w:val="006F223E"/>
    <w:rsid w:val="006F2559"/>
    <w:rsid w:val="0070036B"/>
    <w:rsid w:val="00707F33"/>
    <w:rsid w:val="0071489B"/>
    <w:rsid w:val="00714D96"/>
    <w:rsid w:val="00715FE0"/>
    <w:rsid w:val="00721B5C"/>
    <w:rsid w:val="00727142"/>
    <w:rsid w:val="007341F5"/>
    <w:rsid w:val="0073700E"/>
    <w:rsid w:val="007536A2"/>
    <w:rsid w:val="007552DE"/>
    <w:rsid w:val="0076636C"/>
    <w:rsid w:val="007673B9"/>
    <w:rsid w:val="007747B8"/>
    <w:rsid w:val="0078077B"/>
    <w:rsid w:val="00785725"/>
    <w:rsid w:val="00787F59"/>
    <w:rsid w:val="00791DB5"/>
    <w:rsid w:val="007A37EB"/>
    <w:rsid w:val="007A7ADE"/>
    <w:rsid w:val="007B2C1F"/>
    <w:rsid w:val="007C3329"/>
    <w:rsid w:val="007D3319"/>
    <w:rsid w:val="007E03A6"/>
    <w:rsid w:val="007E0AEF"/>
    <w:rsid w:val="007E486A"/>
    <w:rsid w:val="007F3BE1"/>
    <w:rsid w:val="007F459D"/>
    <w:rsid w:val="007F50AD"/>
    <w:rsid w:val="007F5ACC"/>
    <w:rsid w:val="00800BE8"/>
    <w:rsid w:val="0080485C"/>
    <w:rsid w:val="0081050B"/>
    <w:rsid w:val="008230AB"/>
    <w:rsid w:val="0083114B"/>
    <w:rsid w:val="0084143A"/>
    <w:rsid w:val="00844FE7"/>
    <w:rsid w:val="00845DE8"/>
    <w:rsid w:val="00850A1C"/>
    <w:rsid w:val="008577CE"/>
    <w:rsid w:val="00861F95"/>
    <w:rsid w:val="00862D0F"/>
    <w:rsid w:val="00864391"/>
    <w:rsid w:val="008773AE"/>
    <w:rsid w:val="0088221C"/>
    <w:rsid w:val="00887DF1"/>
    <w:rsid w:val="008925DF"/>
    <w:rsid w:val="00893484"/>
    <w:rsid w:val="0089767B"/>
    <w:rsid w:val="008A295E"/>
    <w:rsid w:val="008A427F"/>
    <w:rsid w:val="008A504B"/>
    <w:rsid w:val="008A7E54"/>
    <w:rsid w:val="008B0502"/>
    <w:rsid w:val="008C16EE"/>
    <w:rsid w:val="008C7F21"/>
    <w:rsid w:val="008D46B1"/>
    <w:rsid w:val="008D5E43"/>
    <w:rsid w:val="008D64D3"/>
    <w:rsid w:val="008D71A1"/>
    <w:rsid w:val="008D722E"/>
    <w:rsid w:val="008E2044"/>
    <w:rsid w:val="008E398C"/>
    <w:rsid w:val="008F4718"/>
    <w:rsid w:val="008F4997"/>
    <w:rsid w:val="00902BE1"/>
    <w:rsid w:val="009043E0"/>
    <w:rsid w:val="00907B1F"/>
    <w:rsid w:val="00915D58"/>
    <w:rsid w:val="0092222F"/>
    <w:rsid w:val="009310A1"/>
    <w:rsid w:val="00954D39"/>
    <w:rsid w:val="0095578D"/>
    <w:rsid w:val="009566B4"/>
    <w:rsid w:val="00957BD6"/>
    <w:rsid w:val="00961452"/>
    <w:rsid w:val="009629B8"/>
    <w:rsid w:val="00963E11"/>
    <w:rsid w:val="00965309"/>
    <w:rsid w:val="009677AF"/>
    <w:rsid w:val="00977A7F"/>
    <w:rsid w:val="00990253"/>
    <w:rsid w:val="009A0E3A"/>
    <w:rsid w:val="009B2E47"/>
    <w:rsid w:val="009B479F"/>
    <w:rsid w:val="009C1D16"/>
    <w:rsid w:val="009C5B54"/>
    <w:rsid w:val="009D6FFF"/>
    <w:rsid w:val="009E49B1"/>
    <w:rsid w:val="009E6169"/>
    <w:rsid w:val="009F49C6"/>
    <w:rsid w:val="009F78BC"/>
    <w:rsid w:val="00A0497D"/>
    <w:rsid w:val="00A24594"/>
    <w:rsid w:val="00A26085"/>
    <w:rsid w:val="00A5312C"/>
    <w:rsid w:val="00A67BC0"/>
    <w:rsid w:val="00A770C7"/>
    <w:rsid w:val="00A82305"/>
    <w:rsid w:val="00A900F4"/>
    <w:rsid w:val="00A9559E"/>
    <w:rsid w:val="00A974F2"/>
    <w:rsid w:val="00A97B27"/>
    <w:rsid w:val="00AA12CF"/>
    <w:rsid w:val="00AA35B2"/>
    <w:rsid w:val="00AB6F4E"/>
    <w:rsid w:val="00AC62DD"/>
    <w:rsid w:val="00AF1141"/>
    <w:rsid w:val="00AF1735"/>
    <w:rsid w:val="00AF2B4C"/>
    <w:rsid w:val="00AF4B51"/>
    <w:rsid w:val="00AF6149"/>
    <w:rsid w:val="00AF7FCC"/>
    <w:rsid w:val="00B00591"/>
    <w:rsid w:val="00B140F4"/>
    <w:rsid w:val="00B16423"/>
    <w:rsid w:val="00B21D01"/>
    <w:rsid w:val="00B30091"/>
    <w:rsid w:val="00B31CF9"/>
    <w:rsid w:val="00B37FF8"/>
    <w:rsid w:val="00B40AF0"/>
    <w:rsid w:val="00B43A58"/>
    <w:rsid w:val="00B603FA"/>
    <w:rsid w:val="00B605EA"/>
    <w:rsid w:val="00B66D7F"/>
    <w:rsid w:val="00B725BF"/>
    <w:rsid w:val="00B75620"/>
    <w:rsid w:val="00B91689"/>
    <w:rsid w:val="00B94FE3"/>
    <w:rsid w:val="00BA35CF"/>
    <w:rsid w:val="00BA5524"/>
    <w:rsid w:val="00BA60EB"/>
    <w:rsid w:val="00BA74DB"/>
    <w:rsid w:val="00BB56D9"/>
    <w:rsid w:val="00BC485F"/>
    <w:rsid w:val="00BC7D5C"/>
    <w:rsid w:val="00BE147B"/>
    <w:rsid w:val="00BE22DB"/>
    <w:rsid w:val="00BE3F75"/>
    <w:rsid w:val="00BE5F28"/>
    <w:rsid w:val="00BE6D54"/>
    <w:rsid w:val="00BF2ED7"/>
    <w:rsid w:val="00BF33FF"/>
    <w:rsid w:val="00BF4C08"/>
    <w:rsid w:val="00C00BF4"/>
    <w:rsid w:val="00C139B6"/>
    <w:rsid w:val="00C20BB3"/>
    <w:rsid w:val="00C22A7A"/>
    <w:rsid w:val="00C46783"/>
    <w:rsid w:val="00C4697D"/>
    <w:rsid w:val="00C469CC"/>
    <w:rsid w:val="00C544AD"/>
    <w:rsid w:val="00C6177A"/>
    <w:rsid w:val="00C64146"/>
    <w:rsid w:val="00C735B1"/>
    <w:rsid w:val="00C7393D"/>
    <w:rsid w:val="00C75CD7"/>
    <w:rsid w:val="00CA2C35"/>
    <w:rsid w:val="00CB0FEC"/>
    <w:rsid w:val="00CC131A"/>
    <w:rsid w:val="00CC29F8"/>
    <w:rsid w:val="00CD3498"/>
    <w:rsid w:val="00CD6044"/>
    <w:rsid w:val="00CE29C6"/>
    <w:rsid w:val="00CE60DB"/>
    <w:rsid w:val="00CF1022"/>
    <w:rsid w:val="00CF35F7"/>
    <w:rsid w:val="00D03670"/>
    <w:rsid w:val="00D068AD"/>
    <w:rsid w:val="00D0737C"/>
    <w:rsid w:val="00D10525"/>
    <w:rsid w:val="00D12454"/>
    <w:rsid w:val="00D12AF7"/>
    <w:rsid w:val="00D1691E"/>
    <w:rsid w:val="00D16D46"/>
    <w:rsid w:val="00D22081"/>
    <w:rsid w:val="00D2380C"/>
    <w:rsid w:val="00D364F0"/>
    <w:rsid w:val="00D37BC1"/>
    <w:rsid w:val="00D40C1D"/>
    <w:rsid w:val="00D4453F"/>
    <w:rsid w:val="00D52F89"/>
    <w:rsid w:val="00D5553F"/>
    <w:rsid w:val="00D559AC"/>
    <w:rsid w:val="00D63A07"/>
    <w:rsid w:val="00D82659"/>
    <w:rsid w:val="00D846DD"/>
    <w:rsid w:val="00D847A7"/>
    <w:rsid w:val="00D87E7A"/>
    <w:rsid w:val="00D910B0"/>
    <w:rsid w:val="00D92DCC"/>
    <w:rsid w:val="00DA01E7"/>
    <w:rsid w:val="00DA192D"/>
    <w:rsid w:val="00DB0ED8"/>
    <w:rsid w:val="00DB1169"/>
    <w:rsid w:val="00DC27BA"/>
    <w:rsid w:val="00DC7DDC"/>
    <w:rsid w:val="00DD20F4"/>
    <w:rsid w:val="00DD22B3"/>
    <w:rsid w:val="00DD7078"/>
    <w:rsid w:val="00DE0A42"/>
    <w:rsid w:val="00DF0D9F"/>
    <w:rsid w:val="00DF157D"/>
    <w:rsid w:val="00DF183D"/>
    <w:rsid w:val="00DF1871"/>
    <w:rsid w:val="00DF3ACB"/>
    <w:rsid w:val="00E100ED"/>
    <w:rsid w:val="00E13D23"/>
    <w:rsid w:val="00E13F52"/>
    <w:rsid w:val="00E16A33"/>
    <w:rsid w:val="00E21D7E"/>
    <w:rsid w:val="00E2692A"/>
    <w:rsid w:val="00E27ED1"/>
    <w:rsid w:val="00E3289B"/>
    <w:rsid w:val="00E361DC"/>
    <w:rsid w:val="00E42023"/>
    <w:rsid w:val="00E655B2"/>
    <w:rsid w:val="00E74BF6"/>
    <w:rsid w:val="00E84650"/>
    <w:rsid w:val="00E86A6C"/>
    <w:rsid w:val="00E93F6A"/>
    <w:rsid w:val="00EA0FC6"/>
    <w:rsid w:val="00EA1991"/>
    <w:rsid w:val="00EA402B"/>
    <w:rsid w:val="00EA5740"/>
    <w:rsid w:val="00EB0963"/>
    <w:rsid w:val="00EC1DC1"/>
    <w:rsid w:val="00ED4313"/>
    <w:rsid w:val="00EE19AD"/>
    <w:rsid w:val="00EF0B57"/>
    <w:rsid w:val="00EF0B69"/>
    <w:rsid w:val="00EF35E7"/>
    <w:rsid w:val="00EF52DE"/>
    <w:rsid w:val="00F0237B"/>
    <w:rsid w:val="00F03016"/>
    <w:rsid w:val="00F03494"/>
    <w:rsid w:val="00F04140"/>
    <w:rsid w:val="00F07CE6"/>
    <w:rsid w:val="00F1568B"/>
    <w:rsid w:val="00F26636"/>
    <w:rsid w:val="00F34631"/>
    <w:rsid w:val="00F3474A"/>
    <w:rsid w:val="00F3628F"/>
    <w:rsid w:val="00F36502"/>
    <w:rsid w:val="00F37DCD"/>
    <w:rsid w:val="00F37EB7"/>
    <w:rsid w:val="00F42508"/>
    <w:rsid w:val="00F50C84"/>
    <w:rsid w:val="00F51BD6"/>
    <w:rsid w:val="00F6068A"/>
    <w:rsid w:val="00F620BE"/>
    <w:rsid w:val="00F66AD9"/>
    <w:rsid w:val="00F67189"/>
    <w:rsid w:val="00F705E3"/>
    <w:rsid w:val="00F71F05"/>
    <w:rsid w:val="00F73CB8"/>
    <w:rsid w:val="00F771CE"/>
    <w:rsid w:val="00F81D8F"/>
    <w:rsid w:val="00F8250F"/>
    <w:rsid w:val="00F828B4"/>
    <w:rsid w:val="00F83BDB"/>
    <w:rsid w:val="00F86EBD"/>
    <w:rsid w:val="00F90E64"/>
    <w:rsid w:val="00F953D7"/>
    <w:rsid w:val="00FC6E7B"/>
    <w:rsid w:val="00FD45F9"/>
    <w:rsid w:val="00FD61B9"/>
    <w:rsid w:val="00FE09C7"/>
    <w:rsid w:val="00FE68D5"/>
    <w:rsid w:val="00FE794E"/>
    <w:rsid w:val="00FF0E79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AD76D92E-6027-4CAE-BDB2-A78DD90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14D96"/>
    <w:pPr>
      <w:ind w:firstLine="720"/>
      <w:jc w:val="both"/>
    </w:pPr>
    <w:rPr>
      <w:sz w:val="28"/>
      <w:lang w:eastAsia="en-US"/>
    </w:rPr>
  </w:style>
  <w:style w:type="paragraph" w:styleId="Virsraksts5">
    <w:name w:val="heading 5"/>
    <w:basedOn w:val="Parasts"/>
    <w:next w:val="Parasts"/>
    <w:link w:val="Virsraksts5Rakstz"/>
    <w:qFormat/>
    <w:locked/>
    <w:rsid w:val="00864391"/>
    <w:pPr>
      <w:keepNext/>
      <w:autoSpaceDE w:val="0"/>
      <w:autoSpaceDN w:val="0"/>
      <w:adjustRightInd w:val="0"/>
      <w:ind w:firstLine="0"/>
      <w:jc w:val="center"/>
      <w:outlineLvl w:val="4"/>
    </w:pPr>
    <w:rPr>
      <w:rFonts w:eastAsia="Times New Roman"/>
      <w:b/>
      <w:bCs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normal--char">
    <w:name w:val="normal--char"/>
    <w:uiPriority w:val="99"/>
    <w:rsid w:val="001D510D"/>
    <w:rPr>
      <w:rFonts w:ascii="Times New Roman" w:hAnsi="Times New Roman"/>
    </w:rPr>
  </w:style>
  <w:style w:type="paragraph" w:styleId="Vresteksts">
    <w:name w:val="footnote text"/>
    <w:basedOn w:val="Parasts"/>
    <w:link w:val="VrestekstsRakstz"/>
    <w:uiPriority w:val="99"/>
    <w:rsid w:val="00F3628F"/>
    <w:pPr>
      <w:ind w:firstLine="0"/>
      <w:jc w:val="left"/>
    </w:pPr>
    <w:rPr>
      <w:rFonts w:eastAsia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locked/>
    <w:rsid w:val="00F3628F"/>
    <w:rPr>
      <w:rFonts w:eastAsia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"/>
    <w:basedOn w:val="Noklusjumarindkopasfonts"/>
    <w:uiPriority w:val="99"/>
    <w:rsid w:val="00F3628F"/>
    <w:rPr>
      <w:rFonts w:cs="Times New Roman"/>
      <w:vertAlign w:val="superscript"/>
    </w:rPr>
  </w:style>
  <w:style w:type="paragraph" w:customStyle="1" w:styleId="naisf">
    <w:name w:val="naisf"/>
    <w:basedOn w:val="Parasts"/>
    <w:uiPriority w:val="99"/>
    <w:rsid w:val="00F3628F"/>
    <w:pPr>
      <w:spacing w:before="75" w:after="75"/>
      <w:ind w:firstLine="375"/>
    </w:pPr>
    <w:rPr>
      <w:sz w:val="24"/>
      <w:szCs w:val="24"/>
      <w:lang w:eastAsia="lv-LV"/>
    </w:rPr>
  </w:style>
  <w:style w:type="paragraph" w:styleId="Sarakstarindkopa">
    <w:name w:val="List Paragraph"/>
    <w:basedOn w:val="Parasts"/>
    <w:uiPriority w:val="99"/>
    <w:qFormat/>
    <w:rsid w:val="00623A32"/>
    <w:pPr>
      <w:ind w:left="720"/>
      <w:contextualSpacing/>
    </w:pPr>
  </w:style>
  <w:style w:type="paragraph" w:customStyle="1" w:styleId="naisnod">
    <w:name w:val="naisnod"/>
    <w:basedOn w:val="Parasts"/>
    <w:rsid w:val="003D6EA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lv-LV"/>
    </w:rPr>
  </w:style>
  <w:style w:type="paragraph" w:customStyle="1" w:styleId="naiskr">
    <w:name w:val="naiskr"/>
    <w:basedOn w:val="Parasts"/>
    <w:uiPriority w:val="99"/>
    <w:rsid w:val="003D6EA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rsid w:val="003D6EA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rsid w:val="00B605E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B605EA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B605E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B605EA"/>
    <w:rPr>
      <w:rFonts w:cs="Times New Roman"/>
    </w:rPr>
  </w:style>
  <w:style w:type="paragraph" w:styleId="Balonteksts">
    <w:name w:val="Balloon Text"/>
    <w:basedOn w:val="Parasts"/>
    <w:link w:val="BalontekstsRakstz"/>
    <w:uiPriority w:val="99"/>
    <w:semiHidden/>
    <w:rsid w:val="00887DF1"/>
    <w:rPr>
      <w:rFonts w:ascii="Arial" w:hAnsi="Arial" w:cs="Arial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887DF1"/>
    <w:rPr>
      <w:rFonts w:ascii="Arial" w:hAnsi="Arial" w:cs="Arial"/>
      <w:sz w:val="18"/>
      <w:szCs w:val="18"/>
    </w:rPr>
  </w:style>
  <w:style w:type="character" w:styleId="Hipersaite">
    <w:name w:val="Hyperlink"/>
    <w:basedOn w:val="Noklusjumarindkopasfonts"/>
    <w:uiPriority w:val="99"/>
    <w:rsid w:val="00963E11"/>
    <w:rPr>
      <w:rFonts w:cs="Times New Roman"/>
      <w:color w:val="0563C1"/>
      <w:u w:val="single"/>
    </w:rPr>
  </w:style>
  <w:style w:type="character" w:customStyle="1" w:styleId="Virsraksts5Rakstz">
    <w:name w:val="Virsraksts 5 Rakstz."/>
    <w:basedOn w:val="Noklusjumarindkopasfonts"/>
    <w:link w:val="Virsraksts5"/>
    <w:rsid w:val="00864391"/>
    <w:rPr>
      <w:rFonts w:eastAsia="Times New Roman"/>
      <w:b/>
      <w:bCs/>
      <w:sz w:val="28"/>
      <w:szCs w:val="28"/>
      <w:lang w:eastAsia="en-US"/>
    </w:rPr>
  </w:style>
  <w:style w:type="table" w:styleId="Reatabula">
    <w:name w:val="Table Grid"/>
    <w:basedOn w:val="Parastatabula"/>
    <w:locked/>
    <w:rsid w:val="00394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146E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146E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146EF"/>
    <w:rPr>
      <w:sz w:val="20"/>
      <w:szCs w:val="20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146E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146E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37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65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ta/id/282333-civilas-aizsardzibas-un-katastrofas-parvaldisanas-likums" TargetMode="External"/><Relationship Id="rId13" Type="http://schemas.openxmlformats.org/officeDocument/2006/relationships/hyperlink" Target="mailto:andrejs.krauklis@vugd.gov.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kumi.lv/ta/id/282333-civilas-aizsardzibas-un-katastrofas-parvaldisanas-likums" TargetMode="External"/><Relationship Id="rId12" Type="http://schemas.openxmlformats.org/officeDocument/2006/relationships/hyperlink" Target="http://www.iem.gov.l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kumi.lv/ta/id/282333-civilas-aizsardzibas-un-katastrofas-parvaldisanas-likum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likumi.lv/ta/id/282333-civilas-aizsardzibas-un-katastrofas-parvaldisanas-lik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kumi.lv/ta/id/282333-civilas-aizsardzibas-un-katastrofas-parvaldisanas-likum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4092</Words>
  <Characters>2334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noteikumu projekta “Noteikumi par civilās aizsardzības un katastrofas pārvaldīšanas mācību veidiem un organizēšanas kārtību” sākotnējās ietekmes novērtējuma ziņojums (anotācija)</vt:lpstr>
      <vt:lpstr>Ministru kabineta rīkojuma projekta anotācija</vt:lpstr>
    </vt:vector>
  </TitlesOfParts>
  <Company>IeM</Company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“Noteikumi par civilās aizsardzības un katastrofas pārvaldīšanas mācību veidiem un organizēšanas kārtību” sākotnējās ietekmes novērtējuma ziņojums (anotācija)</dc:title>
  <dc:subject>Anotācija</dc:subject>
  <dc:creator>Andrejs Krauklis</dc:creator>
  <cp:keywords/>
  <dc:description>andrejs.krauklis@vugd.gov.lv  tel.: 67075817</dc:description>
  <cp:lastModifiedBy>Andrejs Krauklis</cp:lastModifiedBy>
  <cp:revision>3</cp:revision>
  <cp:lastPrinted>2016-09-02T10:53:00Z</cp:lastPrinted>
  <dcterms:created xsi:type="dcterms:W3CDTF">2017-01-19T08:38:00Z</dcterms:created>
  <dcterms:modified xsi:type="dcterms:W3CDTF">2017-01-19T09:12:00Z</dcterms:modified>
</cp:coreProperties>
</file>