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0FA" w:rsidRPr="00E2627C" w:rsidRDefault="000710FA" w:rsidP="000710FA">
      <w:pPr>
        <w:spacing w:after="0" w:line="240" w:lineRule="auto"/>
        <w:jc w:val="center"/>
        <w:outlineLvl w:val="0"/>
        <w:rPr>
          <w:rFonts w:ascii="Times New Roman" w:hAnsi="Times New Roman"/>
          <w:b/>
          <w:bCs/>
          <w:sz w:val="28"/>
          <w:szCs w:val="28"/>
          <w:lang w:val="lv-LV"/>
        </w:rPr>
      </w:pPr>
      <w:r w:rsidRPr="00E2627C">
        <w:rPr>
          <w:rFonts w:ascii="Times New Roman" w:hAnsi="Times New Roman"/>
          <w:b/>
          <w:bCs/>
          <w:sz w:val="28"/>
          <w:szCs w:val="28"/>
          <w:lang w:val="lv-LV"/>
        </w:rPr>
        <w:t>Likumprojekta</w:t>
      </w:r>
      <w:r w:rsidR="00876033" w:rsidRPr="00E2627C">
        <w:rPr>
          <w:rFonts w:ascii="Times New Roman" w:hAnsi="Times New Roman"/>
          <w:b/>
          <w:bCs/>
          <w:sz w:val="28"/>
          <w:szCs w:val="28"/>
          <w:lang w:val="lv-LV"/>
        </w:rPr>
        <w:t xml:space="preserve"> „Grozījumi</w:t>
      </w:r>
      <w:r w:rsidRPr="00E2627C">
        <w:rPr>
          <w:rFonts w:ascii="Times New Roman" w:hAnsi="Times New Roman"/>
          <w:b/>
          <w:bCs/>
          <w:sz w:val="28"/>
          <w:szCs w:val="28"/>
          <w:lang w:val="lv-LV"/>
        </w:rPr>
        <w:t xml:space="preserve"> Ugunsdrošības un ugunsdzēsības likumā</w:t>
      </w:r>
      <w:r w:rsidR="00C4715D" w:rsidRPr="00E2627C">
        <w:rPr>
          <w:rFonts w:ascii="Times New Roman" w:hAnsi="Times New Roman"/>
          <w:b/>
          <w:bCs/>
          <w:sz w:val="28"/>
          <w:szCs w:val="28"/>
          <w:lang w:val="lv-LV"/>
        </w:rPr>
        <w:t xml:space="preserve">” </w:t>
      </w:r>
    </w:p>
    <w:p w:rsidR="00C4715D" w:rsidRPr="00E2627C" w:rsidRDefault="00C4715D" w:rsidP="00DA5EB0">
      <w:pPr>
        <w:pStyle w:val="Kjene"/>
        <w:tabs>
          <w:tab w:val="clear" w:pos="4320"/>
          <w:tab w:val="clear" w:pos="8640"/>
        </w:tabs>
        <w:spacing w:after="240"/>
        <w:jc w:val="center"/>
        <w:rPr>
          <w:rFonts w:ascii="Times New Roman" w:hAnsi="Times New Roman"/>
          <w:b/>
          <w:bCs/>
          <w:sz w:val="28"/>
          <w:szCs w:val="28"/>
          <w:lang w:val="lv-LV"/>
        </w:rPr>
      </w:pPr>
      <w:r w:rsidRPr="00E2627C">
        <w:rPr>
          <w:rFonts w:ascii="Times New Roman" w:hAnsi="Times New Roman"/>
          <w:b/>
          <w:bCs/>
          <w:sz w:val="28"/>
          <w:szCs w:val="28"/>
          <w:lang w:val="lv-LV"/>
        </w:rPr>
        <w:t xml:space="preserve">sākotnējās ietekmes novērtējuma </w:t>
      </w:r>
      <w:smartTag w:uri="schemas-tilde-lv/tildestengine" w:element="veidnes">
        <w:smartTagPr>
          <w:attr w:name="id" w:val="-1"/>
          <w:attr w:name="baseform" w:val="ziņojums"/>
          <w:attr w:name="text" w:val="ziņojums"/>
        </w:smartTagPr>
        <w:r w:rsidRPr="00E2627C">
          <w:rPr>
            <w:rFonts w:ascii="Times New Roman" w:hAnsi="Times New Roman"/>
            <w:b/>
            <w:bCs/>
            <w:sz w:val="28"/>
            <w:szCs w:val="28"/>
            <w:lang w:val="lv-LV"/>
          </w:rPr>
          <w:t>ziņojums</w:t>
        </w:r>
      </w:smartTag>
      <w:r w:rsidRPr="00E2627C">
        <w:rPr>
          <w:rFonts w:ascii="Times New Roman" w:hAnsi="Times New Roman"/>
          <w:b/>
          <w:bCs/>
          <w:sz w:val="28"/>
          <w:szCs w:val="28"/>
          <w:lang w:val="lv-LV"/>
        </w:rPr>
        <w:t xml:space="preserve"> (anotācija)</w:t>
      </w:r>
    </w:p>
    <w:tbl>
      <w:tblPr>
        <w:tblStyle w:val="Reatabula"/>
        <w:tblW w:w="0" w:type="auto"/>
        <w:jc w:val="center"/>
        <w:tblLook w:val="04A0" w:firstRow="1" w:lastRow="0" w:firstColumn="1" w:lastColumn="0" w:noHBand="0" w:noVBand="1"/>
      </w:tblPr>
      <w:tblGrid>
        <w:gridCol w:w="673"/>
        <w:gridCol w:w="2966"/>
        <w:gridCol w:w="5649"/>
      </w:tblGrid>
      <w:tr w:rsidR="00C4715D" w:rsidRPr="00E2627C" w:rsidTr="00C4715D">
        <w:trPr>
          <w:jc w:val="center"/>
        </w:trPr>
        <w:tc>
          <w:tcPr>
            <w:tcW w:w="9322" w:type="dxa"/>
            <w:gridSpan w:val="3"/>
          </w:tcPr>
          <w:p w:rsidR="00C4715D" w:rsidRPr="00E2627C" w:rsidRDefault="00C4715D" w:rsidP="00C4715D">
            <w:pPr>
              <w:jc w:val="center"/>
              <w:rPr>
                <w:rFonts w:ascii="Times New Roman" w:hAnsi="Times New Roman"/>
                <w:sz w:val="24"/>
                <w:szCs w:val="24"/>
                <w:lang w:val="lv-LV"/>
              </w:rPr>
            </w:pPr>
            <w:r w:rsidRPr="00E2627C">
              <w:rPr>
                <w:rFonts w:ascii="Times New Roman" w:hAnsi="Times New Roman"/>
                <w:b/>
                <w:sz w:val="24"/>
                <w:szCs w:val="24"/>
                <w:lang w:val="lv-LV"/>
              </w:rPr>
              <w:t>I. Tiesību akta projekta izstrādes nepieciešamība</w:t>
            </w:r>
          </w:p>
        </w:tc>
      </w:tr>
      <w:tr w:rsidR="00C4715D" w:rsidRPr="00E2627C" w:rsidTr="00C4715D">
        <w:trPr>
          <w:jc w:val="center"/>
        </w:trPr>
        <w:tc>
          <w:tcPr>
            <w:tcW w:w="675" w:type="dxa"/>
          </w:tcPr>
          <w:p w:rsidR="00C4715D" w:rsidRPr="00E2627C" w:rsidRDefault="00C4715D" w:rsidP="00C4715D">
            <w:pPr>
              <w:jc w:val="center"/>
              <w:rPr>
                <w:rFonts w:ascii="Times New Roman" w:hAnsi="Times New Roman"/>
                <w:sz w:val="24"/>
                <w:szCs w:val="24"/>
                <w:lang w:val="lv-LV"/>
              </w:rPr>
            </w:pPr>
            <w:r w:rsidRPr="00E2627C">
              <w:rPr>
                <w:rFonts w:ascii="Times New Roman" w:hAnsi="Times New Roman"/>
                <w:sz w:val="24"/>
                <w:szCs w:val="24"/>
                <w:lang w:val="lv-LV"/>
              </w:rPr>
              <w:t>1.</w:t>
            </w:r>
          </w:p>
        </w:tc>
        <w:tc>
          <w:tcPr>
            <w:tcW w:w="2977" w:type="dxa"/>
          </w:tcPr>
          <w:p w:rsidR="00C4715D" w:rsidRPr="00E2627C" w:rsidRDefault="00C4715D" w:rsidP="00C4715D">
            <w:pPr>
              <w:rPr>
                <w:rFonts w:ascii="Times New Roman" w:hAnsi="Times New Roman"/>
                <w:sz w:val="24"/>
                <w:szCs w:val="24"/>
                <w:lang w:val="lv-LV"/>
              </w:rPr>
            </w:pPr>
            <w:r w:rsidRPr="00E2627C">
              <w:rPr>
                <w:rFonts w:ascii="Times New Roman" w:hAnsi="Times New Roman"/>
                <w:sz w:val="24"/>
                <w:szCs w:val="24"/>
                <w:lang w:val="lv-LV"/>
              </w:rPr>
              <w:t>Pamatojums</w:t>
            </w:r>
          </w:p>
        </w:tc>
        <w:tc>
          <w:tcPr>
            <w:tcW w:w="5670" w:type="dxa"/>
          </w:tcPr>
          <w:p w:rsidR="001F745E" w:rsidRPr="00E2627C" w:rsidRDefault="00820D1B" w:rsidP="00CD6B08">
            <w:pPr>
              <w:ind w:firstLine="329"/>
              <w:jc w:val="both"/>
              <w:rPr>
                <w:rFonts w:ascii="Times New Roman" w:hAnsi="Times New Roman"/>
                <w:sz w:val="24"/>
                <w:szCs w:val="24"/>
                <w:lang w:val="lv-LV"/>
              </w:rPr>
            </w:pPr>
            <w:r w:rsidRPr="00E2627C">
              <w:rPr>
                <w:rFonts w:ascii="Times New Roman" w:hAnsi="Times New Roman"/>
                <w:sz w:val="24"/>
                <w:szCs w:val="24"/>
                <w:lang w:val="lv-LV"/>
              </w:rPr>
              <w:t>Likumprojekts „</w:t>
            </w:r>
            <w:r w:rsidRPr="00E2627C">
              <w:rPr>
                <w:rFonts w:ascii="Times New Roman" w:hAnsi="Times New Roman"/>
                <w:bCs/>
                <w:sz w:val="24"/>
                <w:szCs w:val="24"/>
                <w:lang w:val="lv-LV"/>
              </w:rPr>
              <w:t>Grozījumi Ugunsdrošības un ugunsdzēsības likumā</w:t>
            </w:r>
            <w:r w:rsidRPr="00E2627C">
              <w:rPr>
                <w:rFonts w:ascii="Times New Roman" w:hAnsi="Times New Roman"/>
                <w:sz w:val="24"/>
                <w:szCs w:val="24"/>
                <w:lang w:val="lv-LV"/>
              </w:rPr>
              <w:t xml:space="preserve">” (turpmāk – likumprojekts) ir izstrādāts </w:t>
            </w:r>
            <w:r w:rsidRPr="00E2627C">
              <w:rPr>
                <w:rFonts w:ascii="Times New Roman" w:hAnsi="Times New Roman"/>
                <w:bCs/>
                <w:sz w:val="24"/>
                <w:szCs w:val="24"/>
                <w:lang w:val="lv-LV"/>
              </w:rPr>
              <w:t>pēc Iekšlietu ministrijas iniciatīvas.</w:t>
            </w:r>
          </w:p>
        </w:tc>
      </w:tr>
      <w:tr w:rsidR="00C4715D" w:rsidRPr="00E2627C" w:rsidTr="00C4715D">
        <w:trPr>
          <w:jc w:val="center"/>
        </w:trPr>
        <w:tc>
          <w:tcPr>
            <w:tcW w:w="675" w:type="dxa"/>
          </w:tcPr>
          <w:p w:rsidR="00C4715D" w:rsidRPr="00E2627C" w:rsidRDefault="00C4715D" w:rsidP="00C4715D">
            <w:pPr>
              <w:jc w:val="center"/>
              <w:rPr>
                <w:rFonts w:ascii="Times New Roman" w:hAnsi="Times New Roman"/>
                <w:sz w:val="24"/>
                <w:szCs w:val="24"/>
                <w:lang w:val="lv-LV"/>
              </w:rPr>
            </w:pPr>
            <w:r w:rsidRPr="00E2627C">
              <w:rPr>
                <w:rFonts w:ascii="Times New Roman" w:hAnsi="Times New Roman"/>
                <w:sz w:val="24"/>
                <w:szCs w:val="24"/>
                <w:lang w:val="lv-LV"/>
              </w:rPr>
              <w:t>2.</w:t>
            </w:r>
          </w:p>
        </w:tc>
        <w:tc>
          <w:tcPr>
            <w:tcW w:w="2977" w:type="dxa"/>
          </w:tcPr>
          <w:p w:rsidR="00C4715D" w:rsidRPr="00E2627C" w:rsidRDefault="00C4715D" w:rsidP="00C4715D">
            <w:pPr>
              <w:jc w:val="both"/>
              <w:rPr>
                <w:rFonts w:ascii="Times New Roman" w:hAnsi="Times New Roman"/>
                <w:sz w:val="24"/>
                <w:szCs w:val="24"/>
                <w:lang w:val="lv-LV"/>
              </w:rPr>
            </w:pPr>
            <w:r w:rsidRPr="00E2627C">
              <w:rPr>
                <w:rFonts w:ascii="Times New Roman" w:hAnsi="Times New Roman"/>
                <w:sz w:val="24"/>
                <w:szCs w:val="24"/>
                <w:lang w:val="lv-LV"/>
              </w:rPr>
              <w:t>Pašreizējā situācija un problēmas, kuru risināšanai tiesību akta projekts izstrādāts, tiesiskā regulējuma mērķis un būtība</w:t>
            </w:r>
          </w:p>
        </w:tc>
        <w:tc>
          <w:tcPr>
            <w:tcW w:w="5670" w:type="dxa"/>
          </w:tcPr>
          <w:p w:rsidR="00BC013C" w:rsidRPr="00E2627C" w:rsidRDefault="00820D1B" w:rsidP="00BC013C">
            <w:pPr>
              <w:pStyle w:val="tv2131"/>
              <w:spacing w:line="240" w:lineRule="auto"/>
              <w:ind w:firstLine="329"/>
              <w:jc w:val="both"/>
              <w:rPr>
                <w:bCs/>
                <w:color w:val="auto"/>
                <w:sz w:val="24"/>
                <w:szCs w:val="24"/>
              </w:rPr>
            </w:pPr>
            <w:r w:rsidRPr="00E2627C">
              <w:rPr>
                <w:bCs/>
                <w:color w:val="auto"/>
                <w:sz w:val="24"/>
                <w:szCs w:val="24"/>
              </w:rPr>
              <w:t>Ugunsdrošības un ugunsdzēsības likums (turpmāk</w:t>
            </w:r>
            <w:r w:rsidR="00E1282E" w:rsidRPr="00E2627C">
              <w:rPr>
                <w:bCs/>
                <w:color w:val="auto"/>
                <w:sz w:val="24"/>
                <w:szCs w:val="24"/>
              </w:rPr>
              <w:t xml:space="preserve"> </w:t>
            </w:r>
            <w:r w:rsidRPr="00E2627C">
              <w:rPr>
                <w:bCs/>
                <w:color w:val="auto"/>
                <w:sz w:val="24"/>
                <w:szCs w:val="24"/>
              </w:rPr>
              <w:t xml:space="preserve">–likums) nosaka </w:t>
            </w:r>
            <w:r w:rsidR="00BC013C" w:rsidRPr="00E2627C">
              <w:rPr>
                <w:color w:val="auto"/>
                <w:sz w:val="24"/>
                <w:szCs w:val="24"/>
              </w:rPr>
              <w:t>ugunsdrošības, ugunsdzēsības un glābšanas dienestu un organizāciju sistēmu, fizisko un juridisko personu uzdevumus un kompetenci ugunsdrošības un ugunsdzēsības jomā, kā arī Valsts ugunsdzēsības un glābšanas dienesta (turpmāk</w:t>
            </w:r>
            <w:r w:rsidR="003B2B58" w:rsidRPr="00E2627C">
              <w:rPr>
                <w:color w:val="auto"/>
                <w:sz w:val="24"/>
                <w:szCs w:val="24"/>
              </w:rPr>
              <w:t xml:space="preserve"> </w:t>
            </w:r>
            <w:r w:rsidR="00126709" w:rsidRPr="00E2627C">
              <w:rPr>
                <w:color w:val="auto"/>
                <w:sz w:val="24"/>
                <w:szCs w:val="24"/>
              </w:rPr>
              <w:t xml:space="preserve">– VUGD) </w:t>
            </w:r>
            <w:r w:rsidR="00BC013C" w:rsidRPr="00E2627C">
              <w:rPr>
                <w:color w:val="auto"/>
                <w:sz w:val="24"/>
                <w:szCs w:val="24"/>
              </w:rPr>
              <w:t>funkcijas un VUGD amatpersonu ar speciālajām dienesta pakāpēm (turpmāk –</w:t>
            </w:r>
            <w:r w:rsidR="007655B1" w:rsidRPr="00E2627C">
              <w:rPr>
                <w:color w:val="auto"/>
                <w:sz w:val="24"/>
                <w:szCs w:val="24"/>
              </w:rPr>
              <w:t xml:space="preserve"> amatpersona</w:t>
            </w:r>
            <w:r w:rsidR="00BC013C" w:rsidRPr="00E2627C">
              <w:rPr>
                <w:color w:val="auto"/>
                <w:sz w:val="24"/>
                <w:szCs w:val="24"/>
              </w:rPr>
              <w:t>) pienākumus, tiesības un tiesisko aizsardzību.</w:t>
            </w:r>
          </w:p>
          <w:p w:rsidR="008D2E1B" w:rsidRPr="00E2627C" w:rsidRDefault="005E470A" w:rsidP="004C1E1D">
            <w:pPr>
              <w:pStyle w:val="tv2131"/>
              <w:spacing w:line="240" w:lineRule="auto"/>
              <w:ind w:firstLine="329"/>
              <w:jc w:val="both"/>
              <w:rPr>
                <w:bCs/>
                <w:color w:val="auto"/>
                <w:sz w:val="24"/>
                <w:szCs w:val="24"/>
              </w:rPr>
            </w:pPr>
            <w:r w:rsidRPr="00E2627C">
              <w:rPr>
                <w:bCs/>
                <w:color w:val="auto"/>
                <w:sz w:val="24"/>
                <w:szCs w:val="24"/>
              </w:rPr>
              <w:t>Savukārt</w:t>
            </w:r>
            <w:r w:rsidR="00CD0560">
              <w:rPr>
                <w:bCs/>
                <w:color w:val="auto"/>
                <w:sz w:val="24"/>
                <w:szCs w:val="24"/>
              </w:rPr>
              <w:t>,</w:t>
            </w:r>
            <w:r w:rsidRPr="00E2627C">
              <w:rPr>
                <w:bCs/>
                <w:color w:val="auto"/>
                <w:sz w:val="24"/>
                <w:szCs w:val="24"/>
              </w:rPr>
              <w:t xml:space="preserve"> </w:t>
            </w:r>
            <w:r w:rsidRPr="00E2627C">
              <w:rPr>
                <w:color w:val="auto"/>
                <w:sz w:val="24"/>
                <w:szCs w:val="24"/>
              </w:rPr>
              <w:t>Ministru kabineta 2016.gada 19.aprīļa noteikumu Nr.238 „Ugunsdrošības noteikumi” (turpmāk – Ugunsdrošības noteikumi)</w:t>
            </w:r>
            <w:r w:rsidR="00DF1E2E" w:rsidRPr="00E2627C">
              <w:rPr>
                <w:color w:val="auto"/>
                <w:sz w:val="24"/>
                <w:szCs w:val="24"/>
              </w:rPr>
              <w:t>, kas izdoti saskaņā ar likuma 12.pantu,</w:t>
            </w:r>
            <w:r w:rsidRPr="00E2627C">
              <w:rPr>
                <w:color w:val="auto"/>
                <w:sz w:val="24"/>
                <w:szCs w:val="24"/>
              </w:rPr>
              <w:t xml:space="preserve"> nosaka ugunsdrošības prasības, kas fiziskām un juridiskās personām jāievēro, lai novērstu un sekmīgi dzēstu ugunsgrēkus, kā arī mazinātu to sekas neatkarīgi no objekta īpašuma formas un atrašanās vietas.</w:t>
            </w:r>
          </w:p>
          <w:p w:rsidR="008447E8" w:rsidRPr="00E2627C" w:rsidRDefault="005E470A" w:rsidP="005971C2">
            <w:pPr>
              <w:pStyle w:val="tv2131"/>
              <w:spacing w:line="240" w:lineRule="auto"/>
              <w:ind w:firstLine="329"/>
              <w:jc w:val="both"/>
              <w:rPr>
                <w:rFonts w:eastAsiaTheme="minorHAnsi"/>
                <w:color w:val="auto"/>
                <w:sz w:val="24"/>
                <w:szCs w:val="24"/>
              </w:rPr>
            </w:pPr>
            <w:r w:rsidRPr="00E2627C">
              <w:rPr>
                <w:color w:val="auto"/>
                <w:sz w:val="24"/>
                <w:szCs w:val="24"/>
              </w:rPr>
              <w:t>Ugunsdrošības noteikumu</w:t>
            </w:r>
            <w:r w:rsidR="001F1EBB" w:rsidRPr="00E2627C">
              <w:rPr>
                <w:color w:val="auto"/>
                <w:sz w:val="24"/>
                <w:szCs w:val="24"/>
              </w:rPr>
              <w:t xml:space="preserve"> 1</w:t>
            </w:r>
            <w:r w:rsidR="00EA5B2B" w:rsidRPr="00E2627C">
              <w:rPr>
                <w:color w:val="auto"/>
                <w:sz w:val="24"/>
                <w:szCs w:val="24"/>
              </w:rPr>
              <w:t>78.punktā ir noteikts, ka t</w:t>
            </w:r>
            <w:r w:rsidR="00DF1E2E" w:rsidRPr="00E2627C">
              <w:rPr>
                <w:rFonts w:eastAsiaTheme="minorHAnsi"/>
                <w:color w:val="auto"/>
                <w:sz w:val="24"/>
                <w:szCs w:val="24"/>
              </w:rPr>
              <w:t xml:space="preserve">iesības </w:t>
            </w:r>
            <w:r w:rsidR="008447E8" w:rsidRPr="00E2627C">
              <w:rPr>
                <w:rFonts w:eastAsiaTheme="minorHAnsi"/>
                <w:color w:val="auto"/>
                <w:sz w:val="24"/>
                <w:szCs w:val="24"/>
              </w:rPr>
              <w:t>izstrādāt ugunsdrošības instrukciju, veikt ugunsdrošības instruktāžu, praktiskās nodarbības,</w:t>
            </w:r>
            <w:r w:rsidR="005971C2" w:rsidRPr="00E2627C">
              <w:rPr>
                <w:rFonts w:eastAsiaTheme="minorHAnsi"/>
                <w:color w:val="auto"/>
                <w:sz w:val="24"/>
                <w:szCs w:val="24"/>
              </w:rPr>
              <w:t xml:space="preserve"> </w:t>
            </w:r>
            <w:r w:rsidR="008447E8" w:rsidRPr="00E2627C">
              <w:rPr>
                <w:rFonts w:eastAsiaTheme="minorHAnsi"/>
                <w:color w:val="auto"/>
                <w:sz w:val="24"/>
                <w:szCs w:val="24"/>
              </w:rPr>
              <w:t xml:space="preserve">ugunsdzēsības hidrantu un iekšējā ugunsdzēsības ūdensvada pārbaudi ir personai, </w:t>
            </w:r>
            <w:r w:rsidR="00EA5B2B" w:rsidRPr="00E2627C">
              <w:rPr>
                <w:rFonts w:eastAsiaTheme="minorHAnsi"/>
                <w:color w:val="auto"/>
                <w:sz w:val="24"/>
                <w:szCs w:val="24"/>
              </w:rPr>
              <w:t xml:space="preserve">kura ir ieguvusi profesionālo </w:t>
            </w:r>
            <w:r w:rsidR="008447E8" w:rsidRPr="00E2627C">
              <w:rPr>
                <w:rFonts w:eastAsiaTheme="minorHAnsi"/>
                <w:color w:val="auto"/>
                <w:sz w:val="24"/>
                <w:szCs w:val="24"/>
              </w:rPr>
              <w:t>izglītību ugunsdrošībā vai saņēmusi apmācību ugunsdrošības jomā</w:t>
            </w:r>
            <w:r w:rsidR="00E33FD7" w:rsidRPr="00E2627C">
              <w:rPr>
                <w:rFonts w:eastAsiaTheme="minorHAnsi"/>
                <w:color w:val="auto"/>
                <w:sz w:val="24"/>
                <w:szCs w:val="24"/>
              </w:rPr>
              <w:t xml:space="preserve"> (turpmāk – par ugunsdrošību </w:t>
            </w:r>
            <w:r w:rsidR="004E6654" w:rsidRPr="00E2627C">
              <w:rPr>
                <w:rFonts w:eastAsiaTheme="minorHAnsi"/>
                <w:color w:val="auto"/>
                <w:sz w:val="24"/>
                <w:szCs w:val="24"/>
              </w:rPr>
              <w:t xml:space="preserve">objektā </w:t>
            </w:r>
            <w:r w:rsidR="00E33FD7" w:rsidRPr="00E2627C">
              <w:rPr>
                <w:rFonts w:eastAsiaTheme="minorHAnsi"/>
                <w:color w:val="auto"/>
                <w:sz w:val="24"/>
                <w:szCs w:val="24"/>
              </w:rPr>
              <w:t>atbildīgā persona)</w:t>
            </w:r>
            <w:r w:rsidRPr="00E2627C">
              <w:rPr>
                <w:rFonts w:eastAsiaTheme="minorHAnsi"/>
                <w:color w:val="auto"/>
                <w:sz w:val="24"/>
                <w:szCs w:val="24"/>
              </w:rPr>
              <w:t>:</w:t>
            </w:r>
          </w:p>
          <w:p w:rsidR="008447E8" w:rsidRPr="00E2627C" w:rsidRDefault="008447E8" w:rsidP="005E470A">
            <w:pPr>
              <w:autoSpaceDE w:val="0"/>
              <w:autoSpaceDN w:val="0"/>
              <w:adjustRightInd w:val="0"/>
              <w:jc w:val="both"/>
              <w:rPr>
                <w:rFonts w:ascii="Times New Roman" w:eastAsiaTheme="minorHAnsi" w:hAnsi="Times New Roman"/>
                <w:sz w:val="24"/>
                <w:szCs w:val="24"/>
                <w:lang w:val="lv-LV"/>
              </w:rPr>
            </w:pPr>
            <w:r w:rsidRPr="00E2627C">
              <w:rPr>
                <w:rFonts w:ascii="Times New Roman" w:eastAsiaTheme="minorHAnsi" w:hAnsi="Times New Roman"/>
                <w:sz w:val="24"/>
                <w:szCs w:val="24"/>
                <w:lang w:val="lv-LV"/>
              </w:rPr>
              <w:t xml:space="preserve">178.1. saimnieciskās darbības objektam un publiskam objektam, kurā var atrasties no 10 līdz 50 cilvēkiem, kā arī saimnieciskās darbības objektam ar sprādzienbīstamu vidi </w:t>
            </w:r>
            <w:r w:rsidR="00B118EE" w:rsidRPr="00E2627C">
              <w:rPr>
                <w:rFonts w:ascii="Times New Roman" w:eastAsiaTheme="minorHAnsi" w:hAnsi="Times New Roman"/>
                <w:sz w:val="24"/>
                <w:szCs w:val="24"/>
                <w:lang w:val="lv-LV"/>
              </w:rPr>
              <w:t>–</w:t>
            </w:r>
            <w:r w:rsidRPr="00E2627C">
              <w:rPr>
                <w:rFonts w:ascii="Times New Roman" w:eastAsiaTheme="minorHAnsi" w:hAnsi="Times New Roman"/>
                <w:sz w:val="24"/>
                <w:szCs w:val="24"/>
                <w:lang w:val="lv-LV"/>
              </w:rPr>
              <w:t xml:space="preserve"> atbilstoši VUGD izstrādātai mācību programmai (ne mazāk par 20 stundām);</w:t>
            </w:r>
          </w:p>
          <w:p w:rsidR="008447E8" w:rsidRPr="00E2627C" w:rsidRDefault="008447E8" w:rsidP="008447E8">
            <w:pPr>
              <w:autoSpaceDE w:val="0"/>
              <w:autoSpaceDN w:val="0"/>
              <w:adjustRightInd w:val="0"/>
              <w:jc w:val="both"/>
              <w:rPr>
                <w:rFonts w:ascii="Times New Roman" w:eastAsiaTheme="minorHAnsi" w:hAnsi="Times New Roman"/>
                <w:sz w:val="24"/>
                <w:szCs w:val="24"/>
                <w:lang w:val="lv-LV"/>
              </w:rPr>
            </w:pPr>
            <w:r w:rsidRPr="00E2627C">
              <w:rPr>
                <w:rFonts w:ascii="Times New Roman" w:eastAsiaTheme="minorHAnsi" w:hAnsi="Times New Roman"/>
                <w:sz w:val="24"/>
                <w:szCs w:val="24"/>
                <w:lang w:val="lv-LV"/>
              </w:rPr>
              <w:t xml:space="preserve">178.2. saimnieciskās darbības objektam un publiskam objektam, kurā var atrasties vairāk par 50 cilvēkiem, kā arī paaugstinātas bīstamības saimnieciskās darbības objektam </w:t>
            </w:r>
            <w:r w:rsidR="00B118EE" w:rsidRPr="00E2627C">
              <w:rPr>
                <w:rFonts w:ascii="Times New Roman" w:eastAsiaTheme="minorHAnsi" w:hAnsi="Times New Roman"/>
                <w:sz w:val="24"/>
                <w:szCs w:val="24"/>
                <w:lang w:val="lv-LV"/>
              </w:rPr>
              <w:t>–</w:t>
            </w:r>
            <w:r w:rsidRPr="00E2627C">
              <w:rPr>
                <w:rFonts w:ascii="Times New Roman" w:eastAsiaTheme="minorHAnsi" w:hAnsi="Times New Roman"/>
                <w:sz w:val="24"/>
                <w:szCs w:val="24"/>
                <w:lang w:val="lv-LV"/>
              </w:rPr>
              <w:t xml:space="preserve"> atbilstoši Izglītības un zinātnes ministrijas licencētai profesionālās izglītības progra</w:t>
            </w:r>
            <w:r w:rsidR="005971C2" w:rsidRPr="00E2627C">
              <w:rPr>
                <w:rFonts w:ascii="Times New Roman" w:eastAsiaTheme="minorHAnsi" w:hAnsi="Times New Roman"/>
                <w:sz w:val="24"/>
                <w:szCs w:val="24"/>
                <w:lang w:val="lv-LV"/>
              </w:rPr>
              <w:t>mmai (ne mazāk par 160 stundām).</w:t>
            </w:r>
          </w:p>
          <w:p w:rsidR="00EA5B2B" w:rsidRPr="00E2627C" w:rsidRDefault="000E52AA" w:rsidP="00EA5B2B">
            <w:pPr>
              <w:pStyle w:val="tv2131"/>
              <w:spacing w:line="240" w:lineRule="auto"/>
              <w:ind w:firstLine="329"/>
              <w:jc w:val="both"/>
              <w:rPr>
                <w:bCs/>
                <w:color w:val="auto"/>
                <w:sz w:val="24"/>
                <w:szCs w:val="24"/>
              </w:rPr>
            </w:pPr>
            <w:r w:rsidRPr="00E2627C">
              <w:rPr>
                <w:bCs/>
                <w:color w:val="auto"/>
                <w:sz w:val="24"/>
                <w:szCs w:val="24"/>
              </w:rPr>
              <w:t>Profesionālo izglītību ugunsdrošības jomā var iegūt</w:t>
            </w:r>
            <w:r w:rsidR="00C46D1C" w:rsidRPr="00E2627C">
              <w:rPr>
                <w:bCs/>
                <w:color w:val="auto"/>
                <w:sz w:val="24"/>
                <w:szCs w:val="24"/>
              </w:rPr>
              <w:t xml:space="preserve"> VUGD </w:t>
            </w:r>
            <w:r w:rsidRPr="00E2627C">
              <w:rPr>
                <w:bCs/>
                <w:color w:val="auto"/>
                <w:sz w:val="24"/>
                <w:szCs w:val="24"/>
              </w:rPr>
              <w:t>Ugunsdrošības un civilās aizsardzības koledžā</w:t>
            </w:r>
            <w:r w:rsidR="00F06C8E" w:rsidRPr="00E2627C">
              <w:rPr>
                <w:bCs/>
                <w:color w:val="auto"/>
                <w:sz w:val="24"/>
                <w:szCs w:val="24"/>
              </w:rPr>
              <w:t xml:space="preserve"> (turpmāk </w:t>
            </w:r>
            <w:r w:rsidR="00EA5B2B" w:rsidRPr="00E2627C">
              <w:rPr>
                <w:bCs/>
                <w:color w:val="auto"/>
                <w:sz w:val="24"/>
                <w:szCs w:val="24"/>
              </w:rPr>
              <w:t>– Koledža</w:t>
            </w:r>
            <w:r w:rsidR="002C2B51" w:rsidRPr="00E2627C">
              <w:rPr>
                <w:bCs/>
                <w:color w:val="auto"/>
                <w:sz w:val="24"/>
                <w:szCs w:val="24"/>
              </w:rPr>
              <w:t>)</w:t>
            </w:r>
            <w:r w:rsidRPr="00E2627C">
              <w:rPr>
                <w:bCs/>
                <w:color w:val="auto"/>
                <w:sz w:val="24"/>
                <w:szCs w:val="24"/>
              </w:rPr>
              <w:t xml:space="preserve"> un Rīgas Tehniskajā universitātē</w:t>
            </w:r>
            <w:r w:rsidR="00B517FB" w:rsidRPr="00E2627C">
              <w:rPr>
                <w:bCs/>
                <w:color w:val="auto"/>
                <w:sz w:val="24"/>
                <w:szCs w:val="24"/>
              </w:rPr>
              <w:t xml:space="preserve"> (turpmāk –</w:t>
            </w:r>
            <w:r w:rsidR="00C46D1C" w:rsidRPr="00E2627C">
              <w:rPr>
                <w:bCs/>
                <w:color w:val="auto"/>
                <w:sz w:val="24"/>
                <w:szCs w:val="24"/>
              </w:rPr>
              <w:t xml:space="preserve"> </w:t>
            </w:r>
            <w:r w:rsidR="00B517FB" w:rsidRPr="00E2627C">
              <w:rPr>
                <w:bCs/>
                <w:color w:val="auto"/>
                <w:sz w:val="24"/>
                <w:szCs w:val="24"/>
              </w:rPr>
              <w:t>RTU)</w:t>
            </w:r>
            <w:r w:rsidRPr="00E2627C">
              <w:rPr>
                <w:bCs/>
                <w:color w:val="auto"/>
                <w:sz w:val="24"/>
                <w:szCs w:val="24"/>
              </w:rPr>
              <w:t>.</w:t>
            </w:r>
          </w:p>
          <w:p w:rsidR="00EA5B2B" w:rsidRPr="00E2627C" w:rsidRDefault="00EA5B2B" w:rsidP="00B118EE">
            <w:pPr>
              <w:pStyle w:val="tv2131"/>
              <w:spacing w:line="240" w:lineRule="auto"/>
              <w:ind w:firstLine="329"/>
              <w:jc w:val="both"/>
              <w:rPr>
                <w:b/>
                <w:bCs/>
                <w:color w:val="auto"/>
                <w:sz w:val="24"/>
                <w:szCs w:val="24"/>
              </w:rPr>
            </w:pPr>
            <w:r w:rsidRPr="00E2627C">
              <w:rPr>
                <w:iCs/>
                <w:color w:val="auto"/>
                <w:sz w:val="24"/>
                <w:szCs w:val="24"/>
              </w:rPr>
              <w:t>Koledža ir VUGD pakļautībā esoša izglītības iestāde.</w:t>
            </w:r>
            <w:r w:rsidR="00C46D1C" w:rsidRPr="00E2627C">
              <w:rPr>
                <w:iCs/>
                <w:color w:val="auto"/>
                <w:sz w:val="24"/>
                <w:szCs w:val="24"/>
              </w:rPr>
              <w:t xml:space="preserve"> </w:t>
            </w:r>
            <w:r w:rsidRPr="00E2627C">
              <w:rPr>
                <w:iCs/>
                <w:color w:val="auto"/>
                <w:sz w:val="24"/>
                <w:szCs w:val="24"/>
              </w:rPr>
              <w:t>Viena no Koledžas īstenotajām izglītības programmām ir pirmā līmeņa profesionālā</w:t>
            </w:r>
            <w:r w:rsidR="00B517FB" w:rsidRPr="00E2627C">
              <w:rPr>
                <w:iCs/>
                <w:color w:val="auto"/>
                <w:sz w:val="24"/>
                <w:szCs w:val="24"/>
              </w:rPr>
              <w:t>s augstākās izglītības programma</w:t>
            </w:r>
            <w:r w:rsidRPr="00E2627C">
              <w:rPr>
                <w:iCs/>
                <w:color w:val="auto"/>
                <w:sz w:val="24"/>
                <w:szCs w:val="24"/>
              </w:rPr>
              <w:t xml:space="preserve"> „Ugunsdrošība un ugunsdzēsība” ar iegūstamo kvalifikāciju – </w:t>
            </w:r>
            <w:r w:rsidRPr="00E2627C">
              <w:rPr>
                <w:bCs/>
                <w:iCs/>
                <w:color w:val="auto"/>
                <w:sz w:val="24"/>
                <w:szCs w:val="24"/>
              </w:rPr>
              <w:t>ugunsdrošības un civilās aizsardzības tehniķis</w:t>
            </w:r>
            <w:r w:rsidRPr="00E2627C">
              <w:rPr>
                <w:iCs/>
                <w:color w:val="auto"/>
                <w:sz w:val="24"/>
                <w:szCs w:val="24"/>
              </w:rPr>
              <w:t xml:space="preserve"> (4.profesionālās kvalifikācijas </w:t>
            </w:r>
            <w:r w:rsidRPr="00E2627C">
              <w:rPr>
                <w:iCs/>
                <w:color w:val="auto"/>
                <w:sz w:val="24"/>
                <w:szCs w:val="24"/>
              </w:rPr>
              <w:lastRenderedPageBreak/>
              <w:t>līmenis).</w:t>
            </w:r>
            <w:r w:rsidR="00B517FB" w:rsidRPr="00E2627C">
              <w:rPr>
                <w:iCs/>
                <w:color w:val="auto"/>
                <w:sz w:val="24"/>
                <w:szCs w:val="24"/>
              </w:rPr>
              <w:t xml:space="preserve"> Tāpat Koledža </w:t>
            </w:r>
            <w:r w:rsidR="00B118EE" w:rsidRPr="00E2627C">
              <w:rPr>
                <w:iCs/>
                <w:color w:val="auto"/>
                <w:sz w:val="24"/>
                <w:szCs w:val="24"/>
              </w:rPr>
              <w:t xml:space="preserve">īsteno </w:t>
            </w:r>
            <w:r w:rsidR="0036239C" w:rsidRPr="00E2627C">
              <w:rPr>
                <w:iCs/>
                <w:color w:val="auto"/>
                <w:sz w:val="24"/>
                <w:szCs w:val="24"/>
              </w:rPr>
              <w:t xml:space="preserve">160 stundu </w:t>
            </w:r>
            <w:r w:rsidRPr="00E2627C">
              <w:rPr>
                <w:iCs/>
                <w:color w:val="auto"/>
                <w:sz w:val="24"/>
                <w:szCs w:val="24"/>
              </w:rPr>
              <w:t>profesionālās</w:t>
            </w:r>
            <w:r w:rsidR="00B118EE" w:rsidRPr="00E2627C">
              <w:rPr>
                <w:iCs/>
                <w:color w:val="auto"/>
                <w:sz w:val="24"/>
                <w:szCs w:val="24"/>
              </w:rPr>
              <w:t xml:space="preserve"> </w:t>
            </w:r>
            <w:r w:rsidR="00C46D1C" w:rsidRPr="00E2627C">
              <w:rPr>
                <w:iCs/>
                <w:color w:val="auto"/>
                <w:sz w:val="24"/>
                <w:szCs w:val="24"/>
              </w:rPr>
              <w:t xml:space="preserve">pilnveides </w:t>
            </w:r>
            <w:r w:rsidR="00B118EE" w:rsidRPr="00E2627C">
              <w:rPr>
                <w:iCs/>
                <w:color w:val="auto"/>
                <w:sz w:val="24"/>
                <w:szCs w:val="24"/>
              </w:rPr>
              <w:t>izglītības programmu</w:t>
            </w:r>
            <w:r w:rsidRPr="00E2627C">
              <w:rPr>
                <w:iCs/>
                <w:color w:val="auto"/>
                <w:sz w:val="24"/>
                <w:szCs w:val="24"/>
              </w:rPr>
              <w:t xml:space="preserve">  </w:t>
            </w:r>
            <w:r w:rsidRPr="00E2627C">
              <w:rPr>
                <w:rStyle w:val="Izteiksmgs"/>
                <w:b w:val="0"/>
                <w:iCs/>
                <w:color w:val="auto"/>
                <w:sz w:val="24"/>
                <w:szCs w:val="24"/>
              </w:rPr>
              <w:t>„Pamatlīmeņa zināšanu programma par objekta ugunsdrošību atbildīgajiem darbiniekiem”</w:t>
            </w:r>
            <w:r w:rsidR="00B118EE" w:rsidRPr="00E2627C">
              <w:rPr>
                <w:iCs/>
                <w:color w:val="auto"/>
                <w:sz w:val="24"/>
                <w:szCs w:val="24"/>
              </w:rPr>
              <w:t xml:space="preserve"> </w:t>
            </w:r>
            <w:r w:rsidR="0036239C" w:rsidRPr="00E2627C">
              <w:rPr>
                <w:iCs/>
                <w:color w:val="auto"/>
                <w:sz w:val="24"/>
                <w:szCs w:val="24"/>
              </w:rPr>
              <w:t xml:space="preserve"> (turpmāk – 160 stundu programma) </w:t>
            </w:r>
            <w:r w:rsidR="00B118EE" w:rsidRPr="00E2627C">
              <w:rPr>
                <w:iCs/>
                <w:color w:val="auto"/>
                <w:sz w:val="24"/>
                <w:szCs w:val="24"/>
              </w:rPr>
              <w:t xml:space="preserve">un ir iespēja apgūt arī </w:t>
            </w:r>
            <w:r w:rsidR="001E3DD7" w:rsidRPr="00E2627C">
              <w:rPr>
                <w:iCs/>
                <w:color w:val="auto"/>
                <w:sz w:val="24"/>
                <w:szCs w:val="24"/>
              </w:rPr>
              <w:t xml:space="preserve">20 stundu </w:t>
            </w:r>
            <w:r w:rsidR="00B517FB" w:rsidRPr="00E2627C">
              <w:rPr>
                <w:iCs/>
                <w:color w:val="auto"/>
                <w:sz w:val="24"/>
                <w:szCs w:val="24"/>
              </w:rPr>
              <w:t xml:space="preserve">VUGD apstiprinātu mācību programmu </w:t>
            </w:r>
            <w:r w:rsidR="001E3DD7" w:rsidRPr="00E2627C">
              <w:rPr>
                <w:iCs/>
                <w:color w:val="auto"/>
                <w:sz w:val="24"/>
                <w:szCs w:val="24"/>
              </w:rPr>
              <w:t>u</w:t>
            </w:r>
            <w:r w:rsidR="001E3DD7" w:rsidRPr="00E2627C">
              <w:rPr>
                <w:rStyle w:val="Izteiksmgs"/>
                <w:b w:val="0"/>
                <w:iCs/>
                <w:color w:val="auto"/>
                <w:sz w:val="24"/>
                <w:szCs w:val="24"/>
              </w:rPr>
              <w:t>gunsdrošībā</w:t>
            </w:r>
            <w:r w:rsidR="004E6654" w:rsidRPr="00E2627C">
              <w:rPr>
                <w:rStyle w:val="Izteiksmgs"/>
                <w:b w:val="0"/>
                <w:iCs/>
                <w:color w:val="auto"/>
                <w:sz w:val="24"/>
                <w:szCs w:val="24"/>
              </w:rPr>
              <w:t xml:space="preserve"> </w:t>
            </w:r>
            <w:r w:rsidR="00C46D1C" w:rsidRPr="00E2627C">
              <w:rPr>
                <w:iCs/>
                <w:color w:val="auto"/>
                <w:sz w:val="24"/>
                <w:szCs w:val="24"/>
              </w:rPr>
              <w:t xml:space="preserve">(turpmāk – </w:t>
            </w:r>
            <w:r w:rsidR="004E6654" w:rsidRPr="00E2627C">
              <w:rPr>
                <w:iCs/>
                <w:color w:val="auto"/>
                <w:sz w:val="24"/>
                <w:szCs w:val="24"/>
              </w:rPr>
              <w:t>20 stundu programma)</w:t>
            </w:r>
            <w:r w:rsidR="001E3DD7" w:rsidRPr="00E2627C">
              <w:rPr>
                <w:rStyle w:val="Izteiksmgs"/>
                <w:b w:val="0"/>
                <w:iCs/>
                <w:color w:val="auto"/>
                <w:sz w:val="24"/>
                <w:szCs w:val="24"/>
              </w:rPr>
              <w:t>.</w:t>
            </w:r>
          </w:p>
          <w:p w:rsidR="00B517FB" w:rsidRPr="00E2627C" w:rsidRDefault="002B7E45" w:rsidP="00B118EE">
            <w:pPr>
              <w:pStyle w:val="tv2131"/>
              <w:spacing w:line="240" w:lineRule="auto"/>
              <w:ind w:firstLine="329"/>
              <w:jc w:val="both"/>
              <w:rPr>
                <w:iCs/>
                <w:color w:val="auto"/>
                <w:sz w:val="24"/>
                <w:szCs w:val="24"/>
              </w:rPr>
            </w:pPr>
            <w:r w:rsidRPr="00E2627C">
              <w:rPr>
                <w:iCs/>
                <w:color w:val="auto"/>
                <w:sz w:val="24"/>
                <w:szCs w:val="24"/>
              </w:rPr>
              <w:t>Savuk</w:t>
            </w:r>
            <w:r w:rsidR="008E357F" w:rsidRPr="00E2627C">
              <w:rPr>
                <w:iCs/>
                <w:color w:val="auto"/>
                <w:sz w:val="24"/>
                <w:szCs w:val="24"/>
              </w:rPr>
              <w:t>ārt</w:t>
            </w:r>
            <w:r w:rsidR="00CD0560">
              <w:rPr>
                <w:iCs/>
                <w:color w:val="auto"/>
                <w:sz w:val="24"/>
                <w:szCs w:val="24"/>
              </w:rPr>
              <w:t>,</w:t>
            </w:r>
            <w:r w:rsidR="008E357F" w:rsidRPr="00E2627C">
              <w:rPr>
                <w:iCs/>
                <w:color w:val="auto"/>
                <w:sz w:val="24"/>
                <w:szCs w:val="24"/>
              </w:rPr>
              <w:t xml:space="preserve"> </w:t>
            </w:r>
            <w:r w:rsidR="00B517FB" w:rsidRPr="00E2627C">
              <w:rPr>
                <w:iCs/>
                <w:color w:val="auto"/>
                <w:sz w:val="24"/>
                <w:szCs w:val="24"/>
              </w:rPr>
              <w:t xml:space="preserve">RTU ir iespēja apgūt </w:t>
            </w:r>
            <w:r w:rsidR="00B118EE" w:rsidRPr="00E2627C">
              <w:rPr>
                <w:iCs/>
                <w:color w:val="auto"/>
                <w:sz w:val="24"/>
                <w:szCs w:val="24"/>
              </w:rPr>
              <w:t>inženiera profesionālo studiju programmu „Ugunsdroš</w:t>
            </w:r>
            <w:r w:rsidR="004E0395" w:rsidRPr="00E2627C">
              <w:rPr>
                <w:iCs/>
                <w:color w:val="auto"/>
                <w:sz w:val="24"/>
                <w:szCs w:val="24"/>
              </w:rPr>
              <w:t xml:space="preserve">ība un civilā aizsardzībā” ar </w:t>
            </w:r>
            <w:r w:rsidR="00B118EE" w:rsidRPr="00E2627C">
              <w:rPr>
                <w:iCs/>
                <w:color w:val="auto"/>
                <w:sz w:val="24"/>
                <w:szCs w:val="24"/>
              </w:rPr>
              <w:t>i</w:t>
            </w:r>
            <w:r w:rsidR="00B118EE" w:rsidRPr="00E2627C">
              <w:rPr>
                <w:color w:val="auto"/>
                <w:sz w:val="24"/>
                <w:szCs w:val="24"/>
              </w:rPr>
              <w:t xml:space="preserve">egūstamo kvalifikāciju – ugunsdrošības un civilās aizsardzības inženiera kvalifikācija </w:t>
            </w:r>
            <w:r w:rsidR="00B118EE" w:rsidRPr="00E2627C">
              <w:rPr>
                <w:iCs/>
                <w:color w:val="auto"/>
                <w:sz w:val="24"/>
                <w:szCs w:val="24"/>
              </w:rPr>
              <w:t>(</w:t>
            </w:r>
            <w:r w:rsidR="00BE52E3" w:rsidRPr="00E2627C">
              <w:rPr>
                <w:iCs/>
                <w:color w:val="auto"/>
                <w:sz w:val="24"/>
                <w:szCs w:val="24"/>
              </w:rPr>
              <w:t>5</w:t>
            </w:r>
            <w:r w:rsidR="00B118EE" w:rsidRPr="00E2627C">
              <w:rPr>
                <w:iCs/>
                <w:color w:val="auto"/>
                <w:sz w:val="24"/>
                <w:szCs w:val="24"/>
              </w:rPr>
              <w:t xml:space="preserve">.profesionālās kvalifikācijas līmenis). </w:t>
            </w:r>
            <w:r w:rsidR="00CD0560">
              <w:rPr>
                <w:iCs/>
                <w:color w:val="auto"/>
                <w:sz w:val="24"/>
                <w:szCs w:val="24"/>
              </w:rPr>
              <w:t>I</w:t>
            </w:r>
            <w:r w:rsidR="00B118EE" w:rsidRPr="00E2627C">
              <w:rPr>
                <w:rFonts w:eastAsiaTheme="minorHAnsi"/>
                <w:color w:val="auto"/>
                <w:sz w:val="24"/>
                <w:szCs w:val="24"/>
              </w:rPr>
              <w:t xml:space="preserve">zglītojamie minētajā inženiera profesionālo studiju programmā </w:t>
            </w:r>
            <w:r w:rsidR="00B517FB" w:rsidRPr="00E2627C">
              <w:rPr>
                <w:rFonts w:eastAsiaTheme="minorHAnsi"/>
                <w:color w:val="auto"/>
                <w:sz w:val="24"/>
                <w:szCs w:val="24"/>
              </w:rPr>
              <w:t xml:space="preserve">tiek imatrikulēti tikai pēc </w:t>
            </w:r>
            <w:r w:rsidR="00B118EE" w:rsidRPr="00E2627C">
              <w:rPr>
                <w:rFonts w:eastAsiaTheme="minorHAnsi"/>
                <w:color w:val="auto"/>
                <w:sz w:val="24"/>
                <w:szCs w:val="24"/>
              </w:rPr>
              <w:t>K</w:t>
            </w:r>
            <w:r w:rsidR="00B517FB" w:rsidRPr="00E2627C">
              <w:rPr>
                <w:rFonts w:eastAsiaTheme="minorHAnsi"/>
                <w:color w:val="auto"/>
                <w:sz w:val="24"/>
                <w:szCs w:val="24"/>
              </w:rPr>
              <w:t xml:space="preserve">oledžas </w:t>
            </w:r>
            <w:r w:rsidR="00B118EE" w:rsidRPr="00E2627C">
              <w:rPr>
                <w:rFonts w:eastAsiaTheme="minorHAnsi"/>
                <w:color w:val="auto"/>
                <w:sz w:val="24"/>
                <w:szCs w:val="24"/>
              </w:rPr>
              <w:t>pirmā līmeņa profesionālās augstākās izglītības programmas „</w:t>
            </w:r>
            <w:r w:rsidR="00B118EE" w:rsidRPr="00E2627C">
              <w:rPr>
                <w:iCs/>
                <w:color w:val="auto"/>
                <w:sz w:val="24"/>
                <w:szCs w:val="24"/>
              </w:rPr>
              <w:t>Ugunsdrošība un ugunsdzēsība</w:t>
            </w:r>
            <w:r w:rsidR="00B118EE" w:rsidRPr="00E2627C">
              <w:rPr>
                <w:rFonts w:eastAsiaTheme="minorHAnsi"/>
                <w:color w:val="auto"/>
                <w:sz w:val="24"/>
                <w:szCs w:val="24"/>
              </w:rPr>
              <w:t>”</w:t>
            </w:r>
            <w:r w:rsidR="00B517FB" w:rsidRPr="00E2627C">
              <w:rPr>
                <w:rFonts w:eastAsiaTheme="minorHAnsi"/>
                <w:color w:val="auto"/>
                <w:sz w:val="24"/>
                <w:szCs w:val="24"/>
              </w:rPr>
              <w:t xml:space="preserve"> pabeigšanas.</w:t>
            </w:r>
          </w:p>
          <w:p w:rsidR="005971C2" w:rsidRPr="00E2627C" w:rsidRDefault="001E3DD7" w:rsidP="005971C2">
            <w:pPr>
              <w:pStyle w:val="tv2131"/>
              <w:spacing w:line="240" w:lineRule="auto"/>
              <w:ind w:firstLine="329"/>
              <w:jc w:val="both"/>
              <w:rPr>
                <w:color w:val="auto"/>
                <w:sz w:val="24"/>
                <w:szCs w:val="24"/>
              </w:rPr>
            </w:pPr>
            <w:r w:rsidRPr="00E2627C">
              <w:rPr>
                <w:bCs/>
                <w:color w:val="auto"/>
                <w:sz w:val="24"/>
                <w:szCs w:val="24"/>
              </w:rPr>
              <w:t>A</w:t>
            </w:r>
            <w:r w:rsidR="004E0395" w:rsidRPr="00E2627C">
              <w:rPr>
                <w:bCs/>
                <w:color w:val="auto"/>
                <w:sz w:val="24"/>
                <w:szCs w:val="24"/>
              </w:rPr>
              <w:t xml:space="preserve">pmācība </w:t>
            </w:r>
            <w:r w:rsidR="000E52AA" w:rsidRPr="00E2627C">
              <w:rPr>
                <w:bCs/>
                <w:color w:val="auto"/>
                <w:sz w:val="24"/>
                <w:szCs w:val="24"/>
              </w:rPr>
              <w:t xml:space="preserve">ugunsdrošības jomā </w:t>
            </w:r>
            <w:r w:rsidR="004E0395" w:rsidRPr="00E2627C">
              <w:rPr>
                <w:bCs/>
                <w:color w:val="auto"/>
                <w:sz w:val="24"/>
                <w:szCs w:val="24"/>
              </w:rPr>
              <w:t xml:space="preserve">tiek </w:t>
            </w:r>
            <w:r w:rsidR="005971C2" w:rsidRPr="00E2627C">
              <w:rPr>
                <w:bCs/>
                <w:color w:val="auto"/>
                <w:sz w:val="24"/>
                <w:szCs w:val="24"/>
              </w:rPr>
              <w:t>īsteno</w:t>
            </w:r>
            <w:r w:rsidR="004E0395" w:rsidRPr="00E2627C">
              <w:rPr>
                <w:bCs/>
                <w:color w:val="auto"/>
                <w:sz w:val="24"/>
                <w:szCs w:val="24"/>
              </w:rPr>
              <w:t>ta</w:t>
            </w:r>
            <w:r w:rsidR="005971C2" w:rsidRPr="00E2627C">
              <w:rPr>
                <w:bCs/>
                <w:color w:val="auto"/>
                <w:sz w:val="24"/>
                <w:szCs w:val="24"/>
              </w:rPr>
              <w:t xml:space="preserve"> </w:t>
            </w:r>
            <w:r w:rsidR="004723FB">
              <w:rPr>
                <w:color w:val="auto"/>
                <w:sz w:val="24"/>
                <w:szCs w:val="24"/>
              </w:rPr>
              <w:t>izglītības iestādē</w:t>
            </w:r>
            <w:r w:rsidR="00B03034" w:rsidRPr="00E2627C">
              <w:rPr>
                <w:color w:val="auto"/>
                <w:sz w:val="24"/>
                <w:szCs w:val="24"/>
              </w:rPr>
              <w:t>s</w:t>
            </w:r>
            <w:r w:rsidR="005971C2" w:rsidRPr="00E2627C">
              <w:rPr>
                <w:color w:val="auto"/>
                <w:sz w:val="24"/>
                <w:szCs w:val="24"/>
              </w:rPr>
              <w:t xml:space="preserve">, kurām </w:t>
            </w:r>
            <w:r w:rsidR="00C46D1C" w:rsidRPr="00E2627C">
              <w:rPr>
                <w:color w:val="auto"/>
                <w:sz w:val="24"/>
                <w:szCs w:val="24"/>
              </w:rPr>
              <w:t xml:space="preserve">ir izsniegtas </w:t>
            </w:r>
            <w:r w:rsidR="005971C2" w:rsidRPr="00E2627C">
              <w:rPr>
                <w:color w:val="auto"/>
                <w:sz w:val="24"/>
                <w:szCs w:val="24"/>
              </w:rPr>
              <w:t>licences profesionālās pilnveides izglītības</w:t>
            </w:r>
            <w:r w:rsidR="004E0395" w:rsidRPr="00E2627C">
              <w:rPr>
                <w:color w:val="auto"/>
                <w:sz w:val="24"/>
                <w:szCs w:val="24"/>
              </w:rPr>
              <w:t xml:space="preserve"> programmas ugunsdrošības jomā </w:t>
            </w:r>
            <w:r w:rsidR="005971C2" w:rsidRPr="00E2627C">
              <w:rPr>
                <w:color w:val="auto"/>
                <w:sz w:val="24"/>
                <w:szCs w:val="24"/>
              </w:rPr>
              <w:t xml:space="preserve">īstenošanai. Saskaņā ar Ugunsdrošības noteikumu 179.punktā noteikto, </w:t>
            </w:r>
            <w:r w:rsidR="004E6654" w:rsidRPr="00E2627C">
              <w:rPr>
                <w:iCs/>
                <w:color w:val="auto"/>
                <w:sz w:val="24"/>
                <w:szCs w:val="24"/>
              </w:rPr>
              <w:t xml:space="preserve">20 stundu </w:t>
            </w:r>
            <w:r w:rsidR="005971C2" w:rsidRPr="00E2627C">
              <w:rPr>
                <w:iCs/>
                <w:color w:val="auto"/>
                <w:sz w:val="24"/>
                <w:szCs w:val="24"/>
              </w:rPr>
              <w:t>programmu u</w:t>
            </w:r>
            <w:r w:rsidR="005971C2" w:rsidRPr="00E2627C">
              <w:rPr>
                <w:rStyle w:val="Izteiksmgs"/>
                <w:b w:val="0"/>
                <w:iCs/>
                <w:color w:val="auto"/>
                <w:sz w:val="24"/>
                <w:szCs w:val="24"/>
              </w:rPr>
              <w:t>gunsdrošībā ir tiesīgas īstenot izglītības iestādes, kas īsteno</w:t>
            </w:r>
            <w:r w:rsidR="005971C2" w:rsidRPr="00E2627C">
              <w:rPr>
                <w:color w:val="auto"/>
                <w:sz w:val="24"/>
                <w:szCs w:val="24"/>
              </w:rPr>
              <w:t xml:space="preserve"> </w:t>
            </w:r>
            <w:r w:rsidR="0036239C" w:rsidRPr="00E2627C">
              <w:rPr>
                <w:color w:val="auto"/>
                <w:sz w:val="24"/>
                <w:szCs w:val="24"/>
              </w:rPr>
              <w:t xml:space="preserve">160 stundu programmu </w:t>
            </w:r>
            <w:r w:rsidR="005971C2" w:rsidRPr="00E2627C">
              <w:rPr>
                <w:rFonts w:eastAsiaTheme="minorHAnsi"/>
                <w:color w:val="auto"/>
                <w:sz w:val="24"/>
                <w:szCs w:val="24"/>
              </w:rPr>
              <w:t>(</w:t>
            </w:r>
            <w:r w:rsidR="005971C2" w:rsidRPr="00E2627C">
              <w:rPr>
                <w:color w:val="auto"/>
                <w:sz w:val="24"/>
                <w:szCs w:val="24"/>
              </w:rPr>
              <w:t>izglītības programmas klasifikācijas kods – 20P 86106).</w:t>
            </w:r>
            <w:r w:rsidR="008E357F" w:rsidRPr="00E2627C">
              <w:rPr>
                <w:color w:val="auto"/>
                <w:sz w:val="24"/>
                <w:szCs w:val="24"/>
              </w:rPr>
              <w:t xml:space="preserve"> </w:t>
            </w:r>
          </w:p>
          <w:p w:rsidR="00443BC6" w:rsidRPr="00E2627C" w:rsidRDefault="008E357F" w:rsidP="005971C2">
            <w:pPr>
              <w:pStyle w:val="tv2131"/>
              <w:spacing w:line="240" w:lineRule="auto"/>
              <w:ind w:firstLine="329"/>
              <w:jc w:val="both"/>
              <w:rPr>
                <w:color w:val="auto"/>
                <w:sz w:val="24"/>
                <w:szCs w:val="24"/>
              </w:rPr>
            </w:pPr>
            <w:r w:rsidRPr="00E2627C">
              <w:rPr>
                <w:color w:val="auto"/>
                <w:sz w:val="24"/>
                <w:szCs w:val="24"/>
              </w:rPr>
              <w:t>Apmācība ugunsdrošības</w:t>
            </w:r>
            <w:r w:rsidR="00443BC6" w:rsidRPr="00E2627C">
              <w:rPr>
                <w:color w:val="auto"/>
                <w:sz w:val="24"/>
                <w:szCs w:val="24"/>
              </w:rPr>
              <w:t xml:space="preserve"> </w:t>
            </w:r>
            <w:r w:rsidR="00E33FD7" w:rsidRPr="00E2627C">
              <w:rPr>
                <w:color w:val="auto"/>
                <w:sz w:val="24"/>
                <w:szCs w:val="24"/>
              </w:rPr>
              <w:t xml:space="preserve">jomā galvenokārt tiek organizēta lekciju un praktisko </w:t>
            </w:r>
            <w:r w:rsidR="00443BC6" w:rsidRPr="00E2627C">
              <w:rPr>
                <w:color w:val="auto"/>
                <w:sz w:val="24"/>
                <w:szCs w:val="24"/>
              </w:rPr>
              <w:t>demonstrējumu</w:t>
            </w:r>
            <w:r w:rsidR="00E33FD7" w:rsidRPr="00E2627C">
              <w:rPr>
                <w:color w:val="auto"/>
                <w:sz w:val="24"/>
                <w:szCs w:val="24"/>
              </w:rPr>
              <w:t xml:space="preserve"> veidā.</w:t>
            </w:r>
            <w:r w:rsidR="00443BC6" w:rsidRPr="00E2627C">
              <w:rPr>
                <w:color w:val="auto"/>
                <w:sz w:val="24"/>
                <w:szCs w:val="24"/>
              </w:rPr>
              <w:t xml:space="preserve"> Piem</w:t>
            </w:r>
            <w:r w:rsidR="0036239C" w:rsidRPr="00E2627C">
              <w:rPr>
                <w:color w:val="auto"/>
                <w:sz w:val="24"/>
                <w:szCs w:val="24"/>
              </w:rPr>
              <w:t>ēram, 160 stundu programmā ir paredzētas 70 teorijas kontaktstundas, no tām 4 – noslēguma pārbaudījums</w:t>
            </w:r>
            <w:r w:rsidR="004E6654" w:rsidRPr="00E2627C">
              <w:rPr>
                <w:bCs/>
                <w:sz w:val="24"/>
                <w:szCs w:val="24"/>
              </w:rPr>
              <w:t xml:space="preserve"> </w:t>
            </w:r>
            <w:r w:rsidR="004E6654" w:rsidRPr="00E2627C">
              <w:rPr>
                <w:bCs/>
                <w:color w:val="auto"/>
                <w:sz w:val="24"/>
                <w:szCs w:val="24"/>
              </w:rPr>
              <w:t>jeb integrētais eksāmens</w:t>
            </w:r>
            <w:r w:rsidR="0036239C" w:rsidRPr="00E2627C">
              <w:rPr>
                <w:color w:val="auto"/>
                <w:sz w:val="24"/>
                <w:szCs w:val="24"/>
              </w:rPr>
              <w:t>, kā arī 90 praktiskās mācības, no tām 80 – prakse attiecīgajā objektā.</w:t>
            </w:r>
            <w:r w:rsidR="004E6654" w:rsidRPr="00E2627C">
              <w:rPr>
                <w:color w:val="auto"/>
                <w:sz w:val="24"/>
                <w:szCs w:val="24"/>
              </w:rPr>
              <w:t xml:space="preserve"> Toties </w:t>
            </w:r>
            <w:r w:rsidR="001B6B72" w:rsidRPr="00E2627C">
              <w:rPr>
                <w:color w:val="auto"/>
                <w:sz w:val="24"/>
                <w:szCs w:val="24"/>
              </w:rPr>
              <w:t>20 stundu programmā ir paredzētas 16 teorijas kontaktstundas, no tām 1 – noslēguma ieskaite un 4 praktiskās nodarbības.</w:t>
            </w:r>
            <w:r w:rsidR="00E833FA" w:rsidRPr="00E2627C">
              <w:rPr>
                <w:color w:val="auto"/>
                <w:sz w:val="24"/>
                <w:szCs w:val="24"/>
              </w:rPr>
              <w:t xml:space="preserve"> </w:t>
            </w:r>
            <w:r w:rsidR="008D6E5B" w:rsidRPr="00E2627C">
              <w:rPr>
                <w:color w:val="auto"/>
                <w:sz w:val="24"/>
                <w:szCs w:val="24"/>
              </w:rPr>
              <w:t>Integrēto eksāmenu vai noslēguma ieskaiti (turpmāk – noslēguma pārbaudījums)</w:t>
            </w:r>
            <w:r w:rsidR="00E833FA" w:rsidRPr="00E2627C">
              <w:rPr>
                <w:color w:val="auto"/>
                <w:sz w:val="24"/>
                <w:szCs w:val="24"/>
              </w:rPr>
              <w:t xml:space="preserve"> personas kārto izglītības iestādē.</w:t>
            </w:r>
          </w:p>
          <w:p w:rsidR="009F601D" w:rsidRPr="00E2627C" w:rsidRDefault="009F601D" w:rsidP="009F601D">
            <w:pPr>
              <w:pStyle w:val="tv2131"/>
              <w:spacing w:line="240" w:lineRule="auto"/>
              <w:ind w:firstLine="329"/>
              <w:jc w:val="both"/>
              <w:rPr>
                <w:color w:val="auto"/>
                <w:sz w:val="24"/>
                <w:szCs w:val="24"/>
              </w:rPr>
            </w:pPr>
            <w:r w:rsidRPr="00E2627C">
              <w:rPr>
                <w:color w:val="auto"/>
                <w:sz w:val="24"/>
                <w:szCs w:val="24"/>
              </w:rPr>
              <w:t>Veicot ugunsdrošība</w:t>
            </w:r>
            <w:r w:rsidR="007655B1" w:rsidRPr="00E2627C">
              <w:rPr>
                <w:color w:val="auto"/>
                <w:sz w:val="24"/>
                <w:szCs w:val="24"/>
              </w:rPr>
              <w:t xml:space="preserve">s uzraudzību, VUGD amatpersonas </w:t>
            </w:r>
            <w:r w:rsidRPr="00E2627C">
              <w:rPr>
                <w:color w:val="auto"/>
                <w:sz w:val="24"/>
                <w:szCs w:val="24"/>
              </w:rPr>
              <w:t>ir konstatējušas, ka par objek</w:t>
            </w:r>
            <w:r w:rsidR="00E33FD7" w:rsidRPr="00E2627C">
              <w:rPr>
                <w:color w:val="auto"/>
                <w:sz w:val="24"/>
                <w:szCs w:val="24"/>
              </w:rPr>
              <w:t>tu ugunsdrošību atbildīgajām personām, kuras</w:t>
            </w:r>
            <w:r w:rsidRPr="00E2627C">
              <w:rPr>
                <w:color w:val="auto"/>
                <w:sz w:val="24"/>
                <w:szCs w:val="24"/>
              </w:rPr>
              <w:t xml:space="preserve"> tikko </w:t>
            </w:r>
            <w:r w:rsidR="002B7E45" w:rsidRPr="00E2627C">
              <w:rPr>
                <w:color w:val="auto"/>
                <w:sz w:val="24"/>
                <w:szCs w:val="24"/>
              </w:rPr>
              <w:t>saņēmu</w:t>
            </w:r>
            <w:r w:rsidR="00E33FD7" w:rsidRPr="00E2627C">
              <w:rPr>
                <w:color w:val="auto"/>
                <w:sz w:val="24"/>
                <w:szCs w:val="24"/>
              </w:rPr>
              <w:t>šas</w:t>
            </w:r>
            <w:r w:rsidR="007A2345" w:rsidRPr="00E2627C">
              <w:rPr>
                <w:color w:val="auto"/>
                <w:sz w:val="24"/>
                <w:szCs w:val="24"/>
              </w:rPr>
              <w:t xml:space="preserve"> </w:t>
            </w:r>
            <w:r w:rsidR="002B7E45" w:rsidRPr="00E2627C">
              <w:rPr>
                <w:color w:val="auto"/>
                <w:sz w:val="24"/>
                <w:szCs w:val="24"/>
              </w:rPr>
              <w:t xml:space="preserve">apmācību </w:t>
            </w:r>
            <w:r w:rsidR="00E33FD7" w:rsidRPr="00E2627C">
              <w:rPr>
                <w:color w:val="auto"/>
                <w:sz w:val="24"/>
                <w:szCs w:val="24"/>
              </w:rPr>
              <w:t>ugunsdrošības jomā</w:t>
            </w:r>
            <w:r w:rsidR="0029741B" w:rsidRPr="00E2627C">
              <w:rPr>
                <w:color w:val="auto"/>
                <w:sz w:val="24"/>
                <w:szCs w:val="24"/>
              </w:rPr>
              <w:t>,</w:t>
            </w:r>
            <w:r w:rsidRPr="00E2627C">
              <w:rPr>
                <w:color w:val="auto"/>
                <w:sz w:val="24"/>
                <w:szCs w:val="24"/>
              </w:rPr>
              <w:t xml:space="preserve"> nav attiecīgo </w:t>
            </w:r>
            <w:r w:rsidR="0029741B" w:rsidRPr="00E2627C">
              <w:rPr>
                <w:color w:val="auto"/>
                <w:sz w:val="24"/>
                <w:szCs w:val="24"/>
              </w:rPr>
              <w:t>profesionālo</w:t>
            </w:r>
            <w:r w:rsidRPr="00E2627C">
              <w:rPr>
                <w:color w:val="auto"/>
                <w:sz w:val="24"/>
                <w:szCs w:val="24"/>
              </w:rPr>
              <w:t xml:space="preserve"> zināšanu par ugunsdrošības prasībām objekt</w:t>
            </w:r>
            <w:r w:rsidR="004E6654" w:rsidRPr="00E2627C">
              <w:rPr>
                <w:color w:val="auto"/>
                <w:sz w:val="24"/>
                <w:szCs w:val="24"/>
              </w:rPr>
              <w:t>ā, kā arī trūkst praktisko ie</w:t>
            </w:r>
            <w:r w:rsidR="0026732C" w:rsidRPr="00E2627C">
              <w:rPr>
                <w:color w:val="auto"/>
                <w:sz w:val="24"/>
                <w:szCs w:val="24"/>
              </w:rPr>
              <w:t xml:space="preserve">maņu ugunsdrošības </w:t>
            </w:r>
            <w:r w:rsidR="002B2DA1" w:rsidRPr="00E2627C">
              <w:rPr>
                <w:color w:val="auto"/>
                <w:sz w:val="24"/>
                <w:szCs w:val="24"/>
              </w:rPr>
              <w:t xml:space="preserve">dokumentācijas </w:t>
            </w:r>
            <w:r w:rsidR="004E6654" w:rsidRPr="00E2627C">
              <w:rPr>
                <w:color w:val="auto"/>
                <w:sz w:val="24"/>
                <w:szCs w:val="24"/>
              </w:rPr>
              <w:t>izstrād</w:t>
            </w:r>
            <w:r w:rsidR="007655B1" w:rsidRPr="00E2627C">
              <w:rPr>
                <w:color w:val="auto"/>
                <w:sz w:val="24"/>
                <w:szCs w:val="24"/>
              </w:rPr>
              <w:t xml:space="preserve">ē vai </w:t>
            </w:r>
            <w:r w:rsidR="00CD0560">
              <w:rPr>
                <w:color w:val="auto"/>
                <w:sz w:val="24"/>
                <w:szCs w:val="24"/>
              </w:rPr>
              <w:t>minētās personas</w:t>
            </w:r>
            <w:r w:rsidR="004723FB">
              <w:rPr>
                <w:color w:val="auto"/>
                <w:sz w:val="24"/>
                <w:szCs w:val="24"/>
              </w:rPr>
              <w:t xml:space="preserve"> </w:t>
            </w:r>
            <w:r w:rsidR="007655B1" w:rsidRPr="00E2627C">
              <w:rPr>
                <w:color w:val="auto"/>
                <w:sz w:val="24"/>
                <w:szCs w:val="24"/>
              </w:rPr>
              <w:t>nepārzina ugunsdzēsības līdzekļu izmantošanas kārtību.</w:t>
            </w:r>
          </w:p>
          <w:p w:rsidR="003E7B3E" w:rsidRPr="00E2627C" w:rsidRDefault="00C46D1C" w:rsidP="007655B1">
            <w:pPr>
              <w:pStyle w:val="tv2131"/>
              <w:spacing w:line="240" w:lineRule="auto"/>
              <w:ind w:firstLine="329"/>
              <w:jc w:val="both"/>
              <w:rPr>
                <w:color w:val="auto"/>
                <w:sz w:val="24"/>
                <w:szCs w:val="24"/>
              </w:rPr>
            </w:pPr>
            <w:r w:rsidRPr="00E2627C">
              <w:rPr>
                <w:color w:val="auto"/>
                <w:sz w:val="24"/>
                <w:szCs w:val="24"/>
              </w:rPr>
              <w:t xml:space="preserve">Tāpat, </w:t>
            </w:r>
            <w:r w:rsidR="0029741B" w:rsidRPr="00E2627C">
              <w:rPr>
                <w:color w:val="auto"/>
                <w:sz w:val="24"/>
                <w:szCs w:val="24"/>
              </w:rPr>
              <w:t xml:space="preserve">veicot ugunsdrošības uzraudzību, </w:t>
            </w:r>
            <w:r w:rsidRPr="00E2627C">
              <w:rPr>
                <w:color w:val="auto"/>
                <w:sz w:val="24"/>
                <w:szCs w:val="24"/>
              </w:rPr>
              <w:t xml:space="preserve">VUGD </w:t>
            </w:r>
            <w:r w:rsidR="0029741B" w:rsidRPr="00E2627C">
              <w:rPr>
                <w:color w:val="auto"/>
                <w:sz w:val="24"/>
                <w:szCs w:val="24"/>
              </w:rPr>
              <w:t xml:space="preserve">amatpersonām ir tapis zināms, ka </w:t>
            </w:r>
            <w:r w:rsidRPr="00E2627C">
              <w:rPr>
                <w:color w:val="auto"/>
                <w:sz w:val="24"/>
                <w:szCs w:val="24"/>
              </w:rPr>
              <w:t xml:space="preserve">atsevišķos gadījumos atsevišķās </w:t>
            </w:r>
            <w:r w:rsidR="0029741B" w:rsidRPr="00E2627C">
              <w:rPr>
                <w:color w:val="auto"/>
                <w:sz w:val="24"/>
                <w:szCs w:val="24"/>
              </w:rPr>
              <w:t>izglītības iestādēs</w:t>
            </w:r>
            <w:r w:rsidR="0090770E" w:rsidRPr="00E2627C">
              <w:rPr>
                <w:color w:val="auto"/>
                <w:sz w:val="24"/>
                <w:szCs w:val="24"/>
              </w:rPr>
              <w:t>, kurās</w:t>
            </w:r>
            <w:r w:rsidR="0029741B" w:rsidRPr="00E2627C">
              <w:rPr>
                <w:color w:val="auto"/>
                <w:sz w:val="24"/>
                <w:szCs w:val="24"/>
              </w:rPr>
              <w:t xml:space="preserve"> </w:t>
            </w:r>
            <w:r w:rsidR="00E33FD7" w:rsidRPr="00E2627C">
              <w:rPr>
                <w:color w:val="auto"/>
                <w:sz w:val="24"/>
                <w:szCs w:val="24"/>
              </w:rPr>
              <w:t xml:space="preserve">tiek </w:t>
            </w:r>
            <w:r w:rsidR="0029741B" w:rsidRPr="00E2627C">
              <w:rPr>
                <w:color w:val="auto"/>
                <w:sz w:val="24"/>
                <w:szCs w:val="24"/>
              </w:rPr>
              <w:t>īsteno</w:t>
            </w:r>
            <w:r w:rsidR="00E33FD7" w:rsidRPr="00E2627C">
              <w:rPr>
                <w:color w:val="auto"/>
                <w:sz w:val="24"/>
                <w:szCs w:val="24"/>
              </w:rPr>
              <w:t>ta</w:t>
            </w:r>
            <w:r w:rsidR="0029741B" w:rsidRPr="00E2627C">
              <w:rPr>
                <w:color w:val="auto"/>
                <w:sz w:val="24"/>
                <w:szCs w:val="24"/>
              </w:rPr>
              <w:t xml:space="preserve"> </w:t>
            </w:r>
            <w:r w:rsidR="008E357F" w:rsidRPr="00E2627C">
              <w:rPr>
                <w:color w:val="auto"/>
                <w:sz w:val="24"/>
                <w:szCs w:val="24"/>
              </w:rPr>
              <w:t>apmāc</w:t>
            </w:r>
            <w:r w:rsidR="00E33FD7" w:rsidRPr="00E2627C">
              <w:rPr>
                <w:color w:val="auto"/>
                <w:sz w:val="24"/>
                <w:szCs w:val="24"/>
              </w:rPr>
              <w:t>ība ugunsdrošības jomā</w:t>
            </w:r>
            <w:r w:rsidR="0029741B" w:rsidRPr="00E2627C">
              <w:rPr>
                <w:color w:val="auto"/>
                <w:sz w:val="24"/>
                <w:szCs w:val="24"/>
              </w:rPr>
              <w:t>,</w:t>
            </w:r>
            <w:r w:rsidR="00962790" w:rsidRPr="00E2627C">
              <w:rPr>
                <w:color w:val="auto"/>
                <w:sz w:val="24"/>
                <w:szCs w:val="24"/>
              </w:rPr>
              <w:t xml:space="preserve"> </w:t>
            </w:r>
            <w:r w:rsidR="0090770E" w:rsidRPr="00E2627C">
              <w:rPr>
                <w:color w:val="auto"/>
                <w:sz w:val="24"/>
                <w:szCs w:val="24"/>
              </w:rPr>
              <w:t xml:space="preserve">lekcijas </w:t>
            </w:r>
            <w:r w:rsidR="00553709" w:rsidRPr="00E2627C">
              <w:rPr>
                <w:color w:val="auto"/>
                <w:sz w:val="24"/>
                <w:szCs w:val="24"/>
              </w:rPr>
              <w:t xml:space="preserve">notiek formāli vai </w:t>
            </w:r>
            <w:r w:rsidR="0029741B" w:rsidRPr="00E2627C">
              <w:rPr>
                <w:color w:val="auto"/>
                <w:sz w:val="24"/>
                <w:szCs w:val="24"/>
              </w:rPr>
              <w:t>nenotiek</w:t>
            </w:r>
            <w:r w:rsidR="003E7B3E" w:rsidRPr="00E2627C">
              <w:rPr>
                <w:color w:val="auto"/>
                <w:sz w:val="24"/>
                <w:szCs w:val="24"/>
              </w:rPr>
              <w:t>, jo personas, kuras apgūst 20 vai 160 stundu programmu</w:t>
            </w:r>
            <w:r w:rsidR="007655B1" w:rsidRPr="00E2627C">
              <w:rPr>
                <w:color w:val="auto"/>
                <w:sz w:val="24"/>
                <w:szCs w:val="24"/>
              </w:rPr>
              <w:t xml:space="preserve"> visbiežāk par </w:t>
            </w:r>
            <w:r w:rsidR="007655B1" w:rsidRPr="00E2627C">
              <w:rPr>
                <w:rFonts w:eastAsiaTheme="minorHAnsi"/>
                <w:color w:val="auto"/>
                <w:sz w:val="24"/>
                <w:szCs w:val="24"/>
              </w:rPr>
              <w:t xml:space="preserve">ugunsdrošību objektā atbildīgās personas pienākumus veic līdztekus citiem amata pienākumiem, kā rezultātā, </w:t>
            </w:r>
            <w:r w:rsidR="004E6654" w:rsidRPr="00E2627C">
              <w:rPr>
                <w:color w:val="auto"/>
                <w:sz w:val="24"/>
                <w:szCs w:val="24"/>
              </w:rPr>
              <w:t>izgl</w:t>
            </w:r>
            <w:r w:rsidR="003E7B3E" w:rsidRPr="00E2627C">
              <w:rPr>
                <w:color w:val="auto"/>
                <w:sz w:val="24"/>
                <w:szCs w:val="24"/>
              </w:rPr>
              <w:t xml:space="preserve">ītojamo apmācība </w:t>
            </w:r>
            <w:r w:rsidR="003E7B3E" w:rsidRPr="00E2627C">
              <w:rPr>
                <w:color w:val="auto"/>
                <w:sz w:val="24"/>
                <w:szCs w:val="24"/>
              </w:rPr>
              <w:lastRenderedPageBreak/>
              <w:t xml:space="preserve">ugunsdrošības jomā </w:t>
            </w:r>
            <w:r w:rsidR="002B2DA1" w:rsidRPr="00E2627C">
              <w:rPr>
                <w:color w:val="auto"/>
                <w:sz w:val="24"/>
                <w:szCs w:val="24"/>
              </w:rPr>
              <w:t xml:space="preserve">galvenokārt </w:t>
            </w:r>
            <w:r w:rsidR="003E7B3E" w:rsidRPr="00E2627C">
              <w:rPr>
                <w:color w:val="auto"/>
                <w:sz w:val="24"/>
                <w:szCs w:val="24"/>
              </w:rPr>
              <w:t>notiek pašapmācības ceļā, izmantojot</w:t>
            </w:r>
            <w:r w:rsidR="003C13FF" w:rsidRPr="00E2627C">
              <w:rPr>
                <w:color w:val="auto"/>
                <w:sz w:val="24"/>
                <w:szCs w:val="24"/>
              </w:rPr>
              <w:t xml:space="preserve"> izsniegtos izdales materiālus.</w:t>
            </w:r>
          </w:p>
          <w:p w:rsidR="0090770E" w:rsidRPr="00E2627C" w:rsidRDefault="004723FB" w:rsidP="0090770E">
            <w:pPr>
              <w:pStyle w:val="tv2131"/>
              <w:spacing w:line="240" w:lineRule="auto"/>
              <w:ind w:firstLine="329"/>
              <w:jc w:val="both"/>
              <w:rPr>
                <w:color w:val="auto"/>
                <w:sz w:val="24"/>
                <w:szCs w:val="24"/>
              </w:rPr>
            </w:pPr>
            <w:r>
              <w:rPr>
                <w:color w:val="auto"/>
                <w:sz w:val="24"/>
                <w:szCs w:val="24"/>
              </w:rPr>
              <w:t xml:space="preserve">Savukārt, </w:t>
            </w:r>
            <w:r w:rsidR="003E7B3E" w:rsidRPr="00E2627C">
              <w:rPr>
                <w:color w:val="auto"/>
                <w:sz w:val="24"/>
                <w:szCs w:val="24"/>
              </w:rPr>
              <w:t xml:space="preserve">citā gadījumā ir konstatēts, ka </w:t>
            </w:r>
            <w:r w:rsidR="00553709" w:rsidRPr="00E2627C">
              <w:rPr>
                <w:color w:val="auto"/>
                <w:sz w:val="24"/>
                <w:szCs w:val="24"/>
              </w:rPr>
              <w:t>attiecīgais profesionālo kompetenci apliecinošais dokuments tiek izsniegts bez no</w:t>
            </w:r>
            <w:r w:rsidR="0036239C" w:rsidRPr="00E2627C">
              <w:rPr>
                <w:color w:val="auto"/>
                <w:sz w:val="24"/>
                <w:szCs w:val="24"/>
              </w:rPr>
              <w:t>slēgum</w:t>
            </w:r>
            <w:r>
              <w:rPr>
                <w:color w:val="auto"/>
                <w:sz w:val="24"/>
                <w:szCs w:val="24"/>
              </w:rPr>
              <w:t xml:space="preserve">a pārbaudījuma kārtošanas vai attiecīgo </w:t>
            </w:r>
            <w:r w:rsidR="00CD0560">
              <w:rPr>
                <w:color w:val="auto"/>
                <w:sz w:val="24"/>
                <w:szCs w:val="24"/>
              </w:rPr>
              <w:t xml:space="preserve">noslēguma </w:t>
            </w:r>
            <w:r>
              <w:rPr>
                <w:color w:val="auto"/>
                <w:sz w:val="24"/>
                <w:szCs w:val="24"/>
              </w:rPr>
              <w:t>pārbaudījumu</w:t>
            </w:r>
            <w:r w:rsidR="0036239C" w:rsidRPr="00E2627C">
              <w:rPr>
                <w:color w:val="auto"/>
                <w:sz w:val="24"/>
                <w:szCs w:val="24"/>
              </w:rPr>
              <w:t xml:space="preserve"> </w:t>
            </w:r>
            <w:r w:rsidR="003E7B3E" w:rsidRPr="00E2627C">
              <w:rPr>
                <w:color w:val="auto"/>
                <w:sz w:val="24"/>
                <w:szCs w:val="24"/>
              </w:rPr>
              <w:t xml:space="preserve">izglītojamais </w:t>
            </w:r>
            <w:r w:rsidR="0036239C" w:rsidRPr="00E2627C">
              <w:rPr>
                <w:color w:val="auto"/>
                <w:sz w:val="24"/>
                <w:szCs w:val="24"/>
              </w:rPr>
              <w:t xml:space="preserve">var </w:t>
            </w:r>
            <w:r w:rsidR="004E6654" w:rsidRPr="00E2627C">
              <w:rPr>
                <w:color w:val="auto"/>
                <w:sz w:val="24"/>
                <w:szCs w:val="24"/>
              </w:rPr>
              <w:t>saga</w:t>
            </w:r>
            <w:r w:rsidR="002B2DA1" w:rsidRPr="00E2627C">
              <w:rPr>
                <w:color w:val="auto"/>
                <w:sz w:val="24"/>
                <w:szCs w:val="24"/>
              </w:rPr>
              <w:t xml:space="preserve">tavot ārpus izglītības iestādes un noteiktā termiņā </w:t>
            </w:r>
            <w:r w:rsidR="00317CC4" w:rsidRPr="00E2627C">
              <w:rPr>
                <w:color w:val="auto"/>
                <w:sz w:val="24"/>
                <w:szCs w:val="24"/>
              </w:rPr>
              <w:t>iesniegt izglītības iestādē.</w:t>
            </w:r>
          </w:p>
          <w:p w:rsidR="00CD0560" w:rsidRPr="00CD0560" w:rsidRDefault="00046658" w:rsidP="00CD0560">
            <w:pPr>
              <w:pStyle w:val="tv2131"/>
              <w:spacing w:line="240" w:lineRule="auto"/>
              <w:ind w:firstLine="329"/>
              <w:jc w:val="both"/>
              <w:rPr>
                <w:color w:val="auto"/>
                <w:sz w:val="24"/>
                <w:szCs w:val="24"/>
              </w:rPr>
            </w:pPr>
            <w:r w:rsidRPr="00E2627C">
              <w:rPr>
                <w:color w:val="auto"/>
                <w:sz w:val="24"/>
                <w:szCs w:val="24"/>
              </w:rPr>
              <w:t xml:space="preserve">Lai </w:t>
            </w:r>
            <w:r w:rsidRPr="00CD0560">
              <w:rPr>
                <w:color w:val="auto"/>
                <w:sz w:val="24"/>
                <w:szCs w:val="24"/>
              </w:rPr>
              <w:t xml:space="preserve">pilnveidotu apmācības procesa </w:t>
            </w:r>
            <w:r w:rsidR="00E128B3" w:rsidRPr="00CD0560">
              <w:rPr>
                <w:color w:val="auto"/>
                <w:sz w:val="24"/>
                <w:szCs w:val="24"/>
              </w:rPr>
              <w:t xml:space="preserve">kvalitāti </w:t>
            </w:r>
            <w:r w:rsidRPr="00CD0560">
              <w:rPr>
                <w:color w:val="auto"/>
                <w:sz w:val="24"/>
                <w:szCs w:val="24"/>
              </w:rPr>
              <w:t xml:space="preserve">ugunsdrošības jomā, </w:t>
            </w:r>
            <w:r w:rsidR="00BC013C" w:rsidRPr="00CD0560">
              <w:rPr>
                <w:color w:val="auto"/>
                <w:sz w:val="24"/>
                <w:szCs w:val="24"/>
              </w:rPr>
              <w:t xml:space="preserve">likumā </w:t>
            </w:r>
            <w:r w:rsidR="003559DF" w:rsidRPr="00CD0560">
              <w:rPr>
                <w:color w:val="auto"/>
                <w:sz w:val="24"/>
                <w:szCs w:val="24"/>
              </w:rPr>
              <w:t>ir jāveic groz</w:t>
            </w:r>
            <w:r w:rsidR="00BC013C" w:rsidRPr="00CD0560">
              <w:rPr>
                <w:color w:val="auto"/>
                <w:sz w:val="24"/>
                <w:szCs w:val="24"/>
              </w:rPr>
              <w:t xml:space="preserve">ījumi un </w:t>
            </w:r>
            <w:r w:rsidR="0026732C" w:rsidRPr="00CD0560">
              <w:rPr>
                <w:color w:val="auto"/>
                <w:sz w:val="24"/>
                <w:szCs w:val="24"/>
              </w:rPr>
              <w:t>tas</w:t>
            </w:r>
            <w:r w:rsidR="00BC013C" w:rsidRPr="00CD0560">
              <w:rPr>
                <w:color w:val="auto"/>
                <w:sz w:val="24"/>
                <w:szCs w:val="24"/>
              </w:rPr>
              <w:t xml:space="preserve"> jāpapildina </w:t>
            </w:r>
            <w:r w:rsidR="003559DF" w:rsidRPr="00CD0560">
              <w:rPr>
                <w:color w:val="auto"/>
                <w:sz w:val="24"/>
                <w:szCs w:val="24"/>
              </w:rPr>
              <w:t>ar deleģējumu</w:t>
            </w:r>
            <w:r w:rsidR="00BC013C" w:rsidRPr="00CD0560">
              <w:rPr>
                <w:color w:val="auto"/>
                <w:sz w:val="24"/>
                <w:szCs w:val="24"/>
              </w:rPr>
              <w:t xml:space="preserve">, </w:t>
            </w:r>
            <w:r w:rsidR="004723FB" w:rsidRPr="00CD0560">
              <w:rPr>
                <w:color w:val="auto"/>
                <w:sz w:val="24"/>
                <w:szCs w:val="24"/>
              </w:rPr>
              <w:t xml:space="preserve">paredzot, </w:t>
            </w:r>
            <w:r w:rsidR="00BC013C" w:rsidRPr="00CD0560">
              <w:rPr>
                <w:color w:val="auto"/>
                <w:sz w:val="24"/>
                <w:szCs w:val="24"/>
              </w:rPr>
              <w:t xml:space="preserve">ka </w:t>
            </w:r>
            <w:r w:rsidR="008D6651" w:rsidRPr="00CD0560">
              <w:rPr>
                <w:color w:val="auto"/>
                <w:sz w:val="24"/>
                <w:szCs w:val="24"/>
              </w:rPr>
              <w:t xml:space="preserve">Ministru kabinets nosaka nosacījumus un kārtību, kādā iegūstama apmācība ugunsdrošības jomā </w:t>
            </w:r>
            <w:r w:rsidR="00CD0560" w:rsidRPr="00CD0560">
              <w:rPr>
                <w:color w:val="auto"/>
                <w:sz w:val="24"/>
                <w:szCs w:val="24"/>
              </w:rPr>
              <w:t>un kārtojams noslēguma pārbaudījums VUGD, kā arī kārtību un apmēru, kādā maksājama valsts nodeva par noslēguma pārbaudījuma k</w:t>
            </w:r>
            <w:r w:rsidR="00454C6B">
              <w:rPr>
                <w:color w:val="auto"/>
                <w:sz w:val="24"/>
                <w:szCs w:val="24"/>
              </w:rPr>
              <w:t>ārtošanu un apliecības izsniegšanu</w:t>
            </w:r>
            <w:r w:rsidR="00CD0560">
              <w:rPr>
                <w:color w:val="auto"/>
                <w:sz w:val="24"/>
                <w:szCs w:val="24"/>
              </w:rPr>
              <w:t>.</w:t>
            </w:r>
          </w:p>
          <w:p w:rsidR="00677200" w:rsidRPr="00E2627C" w:rsidRDefault="00A41102" w:rsidP="0046311A">
            <w:pPr>
              <w:pStyle w:val="tv2131"/>
              <w:spacing w:line="240" w:lineRule="auto"/>
              <w:ind w:firstLine="329"/>
              <w:jc w:val="both"/>
              <w:rPr>
                <w:rFonts w:eastAsiaTheme="minorHAnsi"/>
                <w:color w:val="auto"/>
                <w:sz w:val="24"/>
                <w:szCs w:val="24"/>
              </w:rPr>
            </w:pPr>
            <w:r w:rsidRPr="00CD0560">
              <w:rPr>
                <w:color w:val="auto"/>
                <w:sz w:val="24"/>
                <w:szCs w:val="24"/>
              </w:rPr>
              <w:t>Ministru kabineta note</w:t>
            </w:r>
            <w:r w:rsidR="004723FB" w:rsidRPr="00CD0560">
              <w:rPr>
                <w:color w:val="auto"/>
                <w:sz w:val="24"/>
                <w:szCs w:val="24"/>
              </w:rPr>
              <w:t xml:space="preserve">ikumos </w:t>
            </w:r>
            <w:r w:rsidR="00567FA6" w:rsidRPr="00E2627C">
              <w:rPr>
                <w:color w:val="auto"/>
                <w:sz w:val="24"/>
                <w:szCs w:val="24"/>
              </w:rPr>
              <w:t xml:space="preserve">tiks paredzēts, ka apliecību par 20 vai 160 stundu programmas apguvi, </w:t>
            </w:r>
            <w:r w:rsidR="00CC0495" w:rsidRPr="00E2627C">
              <w:rPr>
                <w:color w:val="auto"/>
                <w:sz w:val="24"/>
                <w:szCs w:val="24"/>
              </w:rPr>
              <w:t xml:space="preserve">fiziskās personas </w:t>
            </w:r>
            <w:r w:rsidR="00567FA6" w:rsidRPr="00E2627C">
              <w:rPr>
                <w:color w:val="auto"/>
                <w:sz w:val="24"/>
                <w:szCs w:val="24"/>
              </w:rPr>
              <w:t>iegūst, nokārtojot noslēguma pārbaudījumu Koledžā</w:t>
            </w:r>
            <w:r w:rsidR="00E833FA" w:rsidRPr="00E2627C">
              <w:rPr>
                <w:color w:val="auto"/>
                <w:sz w:val="24"/>
                <w:szCs w:val="24"/>
              </w:rPr>
              <w:t xml:space="preserve"> nevis izglītības iestādē</w:t>
            </w:r>
            <w:r w:rsidR="0026732C" w:rsidRPr="00E2627C">
              <w:rPr>
                <w:color w:val="auto"/>
                <w:sz w:val="24"/>
                <w:szCs w:val="24"/>
              </w:rPr>
              <w:t>, kurā izglītojamie apgūst 160 vai 20 stundu programmu.</w:t>
            </w:r>
            <w:r w:rsidR="00CC0495" w:rsidRPr="00E2627C">
              <w:rPr>
                <w:color w:val="auto"/>
                <w:sz w:val="24"/>
                <w:szCs w:val="24"/>
              </w:rPr>
              <w:t xml:space="preserve"> </w:t>
            </w:r>
            <w:r w:rsidR="00C36935" w:rsidRPr="00E2627C">
              <w:rPr>
                <w:color w:val="auto"/>
                <w:sz w:val="24"/>
                <w:szCs w:val="24"/>
              </w:rPr>
              <w:t>M</w:t>
            </w:r>
            <w:r w:rsidR="00567FA6" w:rsidRPr="00E2627C">
              <w:rPr>
                <w:color w:val="auto"/>
                <w:sz w:val="24"/>
                <w:szCs w:val="24"/>
              </w:rPr>
              <w:t>inē</w:t>
            </w:r>
            <w:r w:rsidR="00CC0495" w:rsidRPr="00E2627C">
              <w:rPr>
                <w:color w:val="auto"/>
                <w:sz w:val="24"/>
                <w:szCs w:val="24"/>
              </w:rPr>
              <w:t>tajos noteikumos tiks noteikts</w:t>
            </w:r>
            <w:r w:rsidR="00781A16" w:rsidRPr="00E2627C">
              <w:rPr>
                <w:color w:val="auto"/>
                <w:sz w:val="24"/>
                <w:szCs w:val="24"/>
              </w:rPr>
              <w:t xml:space="preserve">, </w:t>
            </w:r>
            <w:r w:rsidR="00CC0495" w:rsidRPr="00E2627C">
              <w:rPr>
                <w:color w:val="auto"/>
                <w:sz w:val="24"/>
                <w:szCs w:val="24"/>
              </w:rPr>
              <w:t xml:space="preserve">ka noslēguma pārbaudījums tiek organizēts </w:t>
            </w:r>
            <w:r w:rsidR="00567FA6" w:rsidRPr="00E2627C">
              <w:rPr>
                <w:color w:val="auto"/>
                <w:sz w:val="24"/>
                <w:szCs w:val="24"/>
              </w:rPr>
              <w:t>datorizēti</w:t>
            </w:r>
            <w:r w:rsidR="00CC0495" w:rsidRPr="00E2627C">
              <w:rPr>
                <w:color w:val="auto"/>
                <w:sz w:val="24"/>
                <w:szCs w:val="24"/>
              </w:rPr>
              <w:t>,</w:t>
            </w:r>
            <w:r w:rsidR="00EA5E15" w:rsidRPr="00E2627C">
              <w:rPr>
                <w:color w:val="auto"/>
                <w:sz w:val="24"/>
                <w:szCs w:val="24"/>
              </w:rPr>
              <w:t xml:space="preserve"> testa veidā, </w:t>
            </w:r>
            <w:r w:rsidR="00CC0495" w:rsidRPr="00E2627C">
              <w:rPr>
                <w:color w:val="auto"/>
                <w:sz w:val="24"/>
                <w:szCs w:val="24"/>
              </w:rPr>
              <w:t xml:space="preserve"> ka personai, kura </w:t>
            </w:r>
            <w:r w:rsidR="00653B8E" w:rsidRPr="00E2627C">
              <w:rPr>
                <w:color w:val="auto"/>
                <w:sz w:val="24"/>
                <w:szCs w:val="24"/>
              </w:rPr>
              <w:t xml:space="preserve">ir </w:t>
            </w:r>
            <w:r w:rsidR="00CC0495" w:rsidRPr="00E2627C">
              <w:rPr>
                <w:color w:val="auto"/>
                <w:sz w:val="24"/>
                <w:szCs w:val="24"/>
              </w:rPr>
              <w:t>apg</w:t>
            </w:r>
            <w:r w:rsidR="00653B8E" w:rsidRPr="00E2627C">
              <w:rPr>
                <w:color w:val="auto"/>
                <w:sz w:val="24"/>
                <w:szCs w:val="24"/>
              </w:rPr>
              <w:t>uvusi</w:t>
            </w:r>
            <w:r w:rsidR="00942280" w:rsidRPr="00E2627C">
              <w:rPr>
                <w:color w:val="auto"/>
                <w:sz w:val="24"/>
                <w:szCs w:val="24"/>
              </w:rPr>
              <w:t xml:space="preserve">, piemēram, </w:t>
            </w:r>
            <w:r w:rsidR="003C5901" w:rsidRPr="00E2627C">
              <w:rPr>
                <w:color w:val="auto"/>
                <w:sz w:val="24"/>
                <w:szCs w:val="24"/>
              </w:rPr>
              <w:t xml:space="preserve">160 </w:t>
            </w:r>
            <w:r w:rsidR="00CC0495" w:rsidRPr="00E2627C">
              <w:rPr>
                <w:color w:val="auto"/>
                <w:sz w:val="24"/>
                <w:szCs w:val="24"/>
              </w:rPr>
              <w:t xml:space="preserve">stundu programmu, </w:t>
            </w:r>
            <w:r w:rsidR="008D6E5B" w:rsidRPr="00E2627C">
              <w:rPr>
                <w:rFonts w:eastAsiaTheme="minorHAnsi"/>
                <w:color w:val="auto"/>
                <w:sz w:val="24"/>
                <w:szCs w:val="24"/>
              </w:rPr>
              <w:t>secīgi jāatbild uz 9</w:t>
            </w:r>
            <w:r w:rsidR="00CC0495" w:rsidRPr="00E2627C">
              <w:rPr>
                <w:rFonts w:eastAsiaTheme="minorHAnsi"/>
                <w:color w:val="auto"/>
                <w:sz w:val="24"/>
                <w:szCs w:val="24"/>
              </w:rPr>
              <w:t xml:space="preserve">0 jautājumiem, izvēloties atbildi no piedāvātajiem atbilžu variantiem, ka </w:t>
            </w:r>
            <w:r w:rsidR="003C5901" w:rsidRPr="00E2627C">
              <w:rPr>
                <w:rFonts w:eastAsiaTheme="minorHAnsi"/>
                <w:color w:val="auto"/>
                <w:sz w:val="24"/>
                <w:szCs w:val="24"/>
              </w:rPr>
              <w:t xml:space="preserve">integrētā eksāmena norises ilgums ir 180 minūtes, kur 135 minūtes paredzētas atbilžu sniegšanai un 45 minūtes – izglītojamo instruēšanai par </w:t>
            </w:r>
            <w:r w:rsidR="00C36935" w:rsidRPr="00E2627C">
              <w:rPr>
                <w:rFonts w:eastAsiaTheme="minorHAnsi"/>
                <w:color w:val="auto"/>
                <w:sz w:val="24"/>
                <w:szCs w:val="24"/>
              </w:rPr>
              <w:t xml:space="preserve">noslēguma pārbaudījuma </w:t>
            </w:r>
            <w:r w:rsidR="003C5901" w:rsidRPr="00E2627C">
              <w:rPr>
                <w:rFonts w:eastAsiaTheme="minorHAnsi"/>
                <w:color w:val="auto"/>
                <w:sz w:val="24"/>
                <w:szCs w:val="24"/>
              </w:rPr>
              <w:t>norisi un darbu testa k</w:t>
            </w:r>
            <w:r w:rsidR="00C36935" w:rsidRPr="00E2627C">
              <w:rPr>
                <w:rFonts w:eastAsiaTheme="minorHAnsi"/>
                <w:color w:val="auto"/>
                <w:sz w:val="24"/>
                <w:szCs w:val="24"/>
              </w:rPr>
              <w:t xml:space="preserve">ārtošanas programmā, pieņemot, ka instruēšana notiek individuāli – ~ 2 minūtes vienam izglītojamam. Tāpat šajos noteikumos tiks </w:t>
            </w:r>
            <w:r w:rsidR="00CC0495" w:rsidRPr="00E2627C">
              <w:rPr>
                <w:rFonts w:eastAsiaTheme="minorHAnsi"/>
                <w:color w:val="auto"/>
                <w:sz w:val="24"/>
                <w:szCs w:val="24"/>
              </w:rPr>
              <w:t xml:space="preserve">noteikta noslēguma pārbaudījuma vērtēšanas kārtība, piemēram, </w:t>
            </w:r>
            <w:r w:rsidR="00C36935" w:rsidRPr="00E2627C">
              <w:rPr>
                <w:rFonts w:eastAsiaTheme="minorHAnsi"/>
                <w:color w:val="auto"/>
                <w:sz w:val="24"/>
                <w:szCs w:val="24"/>
              </w:rPr>
              <w:t>160 stundu programmas integrētais eksāmens</w:t>
            </w:r>
            <w:r w:rsidR="00CC0495" w:rsidRPr="00E2627C">
              <w:rPr>
                <w:rFonts w:eastAsiaTheme="minorHAnsi"/>
                <w:color w:val="auto"/>
                <w:sz w:val="24"/>
                <w:szCs w:val="24"/>
              </w:rPr>
              <w:t xml:space="preserve"> ir nokārtots, ja persona </w:t>
            </w:r>
            <w:r w:rsidR="0026732C" w:rsidRPr="00E2627C">
              <w:rPr>
                <w:rFonts w:eastAsiaTheme="minorHAnsi"/>
                <w:color w:val="auto"/>
                <w:sz w:val="24"/>
                <w:szCs w:val="24"/>
              </w:rPr>
              <w:t xml:space="preserve">pārbaudījumā </w:t>
            </w:r>
            <w:r w:rsidR="00CC0495" w:rsidRPr="00E2627C">
              <w:rPr>
                <w:rFonts w:eastAsiaTheme="minorHAnsi"/>
                <w:color w:val="auto"/>
                <w:sz w:val="24"/>
                <w:szCs w:val="24"/>
              </w:rPr>
              <w:t>ir pieļāvusi ne vairāk par</w:t>
            </w:r>
            <w:r w:rsidR="0026732C" w:rsidRPr="00E2627C">
              <w:rPr>
                <w:rFonts w:eastAsiaTheme="minorHAnsi"/>
                <w:color w:val="auto"/>
                <w:sz w:val="24"/>
                <w:szCs w:val="24"/>
              </w:rPr>
              <w:t xml:space="preserve"> </w:t>
            </w:r>
            <w:r w:rsidR="008D6E5B" w:rsidRPr="00E2627C">
              <w:rPr>
                <w:rFonts w:eastAsiaTheme="minorHAnsi"/>
                <w:color w:val="auto"/>
                <w:sz w:val="24"/>
                <w:szCs w:val="24"/>
              </w:rPr>
              <w:t>deviņām</w:t>
            </w:r>
            <w:r w:rsidR="0026732C" w:rsidRPr="00E2627C">
              <w:rPr>
                <w:rFonts w:eastAsiaTheme="minorHAnsi"/>
                <w:color w:val="auto"/>
                <w:sz w:val="24"/>
                <w:szCs w:val="24"/>
              </w:rPr>
              <w:t xml:space="preserve"> nepareizām atbildēm </w:t>
            </w:r>
            <w:r w:rsidR="0046311A" w:rsidRPr="00E2627C">
              <w:rPr>
                <w:rFonts w:eastAsiaTheme="minorHAnsi"/>
                <w:color w:val="auto"/>
                <w:sz w:val="24"/>
                <w:szCs w:val="24"/>
              </w:rPr>
              <w:t xml:space="preserve">vai neatbildētiem jautājumiem jeb </w:t>
            </w:r>
            <w:r w:rsidR="008D6651" w:rsidRPr="00E2627C">
              <w:rPr>
                <w:rFonts w:eastAsiaTheme="minorHAnsi"/>
                <w:color w:val="auto"/>
                <w:sz w:val="24"/>
                <w:szCs w:val="24"/>
              </w:rPr>
              <w:t xml:space="preserve">pareizi </w:t>
            </w:r>
            <w:r w:rsidR="0046311A" w:rsidRPr="00E2627C">
              <w:rPr>
                <w:rFonts w:eastAsiaTheme="minorHAnsi"/>
                <w:color w:val="auto"/>
                <w:sz w:val="24"/>
                <w:szCs w:val="24"/>
              </w:rPr>
              <w:t xml:space="preserve">atbildējusi uz 90% jautājumu. </w:t>
            </w:r>
            <w:r w:rsidR="00942280" w:rsidRPr="00E2627C">
              <w:rPr>
                <w:rFonts w:eastAsiaTheme="minorHAnsi"/>
                <w:color w:val="auto"/>
                <w:sz w:val="24"/>
                <w:szCs w:val="24"/>
              </w:rPr>
              <w:t xml:space="preserve">Analoģiska kārtība tiks noteikta, lai iegūtu apliecību par 20 stundu programmas apguvi. </w:t>
            </w:r>
            <w:r w:rsidR="004E7B21" w:rsidRPr="00954C81">
              <w:rPr>
                <w:rFonts w:eastAsiaTheme="minorHAnsi"/>
                <w:color w:val="auto"/>
                <w:sz w:val="24"/>
                <w:szCs w:val="24"/>
              </w:rPr>
              <w:t xml:space="preserve">Papildus </w:t>
            </w:r>
            <w:r w:rsidR="008B3F50" w:rsidRPr="00954C81">
              <w:rPr>
                <w:rFonts w:eastAsiaTheme="minorHAnsi"/>
                <w:color w:val="auto"/>
                <w:sz w:val="24"/>
                <w:szCs w:val="24"/>
              </w:rPr>
              <w:t xml:space="preserve">šajos </w:t>
            </w:r>
            <w:r w:rsidR="004E7B21" w:rsidRPr="00954C81">
              <w:rPr>
                <w:rFonts w:eastAsiaTheme="minorHAnsi"/>
                <w:color w:val="auto"/>
                <w:sz w:val="24"/>
                <w:szCs w:val="24"/>
              </w:rPr>
              <w:t>Ministru ka</w:t>
            </w:r>
            <w:r w:rsidR="0026732C" w:rsidRPr="00954C81">
              <w:rPr>
                <w:rFonts w:eastAsiaTheme="minorHAnsi"/>
                <w:color w:val="auto"/>
                <w:sz w:val="24"/>
                <w:szCs w:val="24"/>
              </w:rPr>
              <w:t>bineta noteikumos tiks noteikts</w:t>
            </w:r>
            <w:r w:rsidR="009B6EA3" w:rsidRPr="00954C81">
              <w:rPr>
                <w:rFonts w:eastAsiaTheme="minorHAnsi"/>
                <w:color w:val="auto"/>
                <w:sz w:val="24"/>
                <w:szCs w:val="24"/>
              </w:rPr>
              <w:t xml:space="preserve">, ka </w:t>
            </w:r>
            <w:r w:rsidR="00954C81" w:rsidRPr="00954C81">
              <w:rPr>
                <w:rFonts w:eastAsiaTheme="minorHAnsi"/>
                <w:color w:val="auto"/>
                <w:sz w:val="24"/>
                <w:szCs w:val="24"/>
              </w:rPr>
              <w:t>par noslēguma pārbaudījuma kārtošanu</w:t>
            </w:r>
            <w:r w:rsidR="004E7B21" w:rsidRPr="00954C81">
              <w:rPr>
                <w:rFonts w:eastAsiaTheme="minorHAnsi"/>
                <w:color w:val="auto"/>
                <w:sz w:val="24"/>
                <w:szCs w:val="24"/>
              </w:rPr>
              <w:t xml:space="preserve"> un apliec</w:t>
            </w:r>
            <w:r w:rsidR="00F354C1">
              <w:rPr>
                <w:rFonts w:eastAsiaTheme="minorHAnsi"/>
                <w:color w:val="auto"/>
                <w:sz w:val="24"/>
                <w:szCs w:val="24"/>
              </w:rPr>
              <w:t>ības</w:t>
            </w:r>
            <w:r w:rsidR="00954C81" w:rsidRPr="00954C81">
              <w:rPr>
                <w:rFonts w:eastAsiaTheme="minorHAnsi"/>
                <w:color w:val="auto"/>
                <w:sz w:val="24"/>
                <w:szCs w:val="24"/>
              </w:rPr>
              <w:t xml:space="preserve"> </w:t>
            </w:r>
            <w:r w:rsidR="00F5725D">
              <w:rPr>
                <w:rFonts w:eastAsiaTheme="minorHAnsi"/>
                <w:color w:val="auto"/>
                <w:sz w:val="24"/>
                <w:szCs w:val="24"/>
              </w:rPr>
              <w:t>izsniegšanu</w:t>
            </w:r>
            <w:r w:rsidR="009B6EA3" w:rsidRPr="00954C81">
              <w:rPr>
                <w:rFonts w:eastAsiaTheme="minorHAnsi"/>
                <w:color w:val="auto"/>
                <w:sz w:val="24"/>
                <w:szCs w:val="24"/>
              </w:rPr>
              <w:t xml:space="preserve"> </w:t>
            </w:r>
            <w:r w:rsidR="00954C81" w:rsidRPr="00954C81">
              <w:rPr>
                <w:rFonts w:eastAsiaTheme="minorHAnsi"/>
                <w:color w:val="auto"/>
                <w:sz w:val="24"/>
                <w:szCs w:val="24"/>
              </w:rPr>
              <w:t>jāmaksā valsts nodeva, kuras apmērs un maksāšanas kārtība tiks noteikta minētajos noteikumos.</w:t>
            </w:r>
          </w:p>
          <w:p w:rsidR="00E91841" w:rsidRPr="00E2627C" w:rsidRDefault="009D6724" w:rsidP="009D6724">
            <w:pPr>
              <w:pStyle w:val="tv2131"/>
              <w:tabs>
                <w:tab w:val="left" w:pos="344"/>
              </w:tabs>
              <w:spacing w:line="240" w:lineRule="auto"/>
              <w:ind w:firstLine="0"/>
              <w:jc w:val="both"/>
              <w:rPr>
                <w:color w:val="auto"/>
                <w:sz w:val="24"/>
                <w:szCs w:val="24"/>
              </w:rPr>
            </w:pPr>
            <w:r w:rsidRPr="00E2627C">
              <w:rPr>
                <w:rFonts w:eastAsiaTheme="minorHAnsi"/>
                <w:color w:val="auto"/>
                <w:sz w:val="24"/>
                <w:szCs w:val="24"/>
              </w:rPr>
              <w:tab/>
            </w:r>
            <w:r w:rsidR="008B3F50" w:rsidRPr="00E2627C">
              <w:rPr>
                <w:rFonts w:eastAsiaTheme="minorHAnsi"/>
                <w:color w:val="auto"/>
                <w:sz w:val="24"/>
                <w:szCs w:val="24"/>
              </w:rPr>
              <w:t>VUGD uzrauga normatīvajos aktos noteikto ugunsdrošības prasību ievērošanu objektos.</w:t>
            </w:r>
            <w:r w:rsidRPr="00E2627C">
              <w:rPr>
                <w:rFonts w:eastAsiaTheme="minorHAnsi"/>
                <w:color w:val="auto"/>
                <w:sz w:val="24"/>
                <w:szCs w:val="24"/>
              </w:rPr>
              <w:t xml:space="preserve"> Pēdējo piecu gadu laikā vidēji gadā tiek veiktas </w:t>
            </w:r>
            <w:r w:rsidRPr="00E2627C">
              <w:rPr>
                <w:color w:val="auto"/>
                <w:sz w:val="24"/>
                <w:szCs w:val="24"/>
              </w:rPr>
              <w:t xml:space="preserve">~ 8220 plānotās objektu ugunsdrošības pārbaudes, ~ 200 plānotās būvobjektu ugunsdrošības pārbaudes un </w:t>
            </w:r>
            <w:r w:rsidR="00E91841" w:rsidRPr="00E2627C">
              <w:rPr>
                <w:color w:val="auto"/>
                <w:sz w:val="24"/>
                <w:szCs w:val="24"/>
              </w:rPr>
              <w:t xml:space="preserve">~ 1660 </w:t>
            </w:r>
            <w:r w:rsidRPr="00E2627C">
              <w:rPr>
                <w:color w:val="auto"/>
                <w:sz w:val="24"/>
                <w:szCs w:val="24"/>
              </w:rPr>
              <w:t>neplānotās ugunsdrošības pārbaudes.</w:t>
            </w:r>
          </w:p>
          <w:p w:rsidR="00B300AC" w:rsidRPr="00E2627C" w:rsidRDefault="00E91841" w:rsidP="0051043D">
            <w:pPr>
              <w:pStyle w:val="tv2131"/>
              <w:tabs>
                <w:tab w:val="left" w:pos="344"/>
              </w:tabs>
              <w:spacing w:line="240" w:lineRule="auto"/>
              <w:ind w:firstLine="0"/>
              <w:jc w:val="both"/>
              <w:rPr>
                <w:color w:val="auto"/>
                <w:sz w:val="24"/>
                <w:szCs w:val="24"/>
              </w:rPr>
            </w:pPr>
            <w:r w:rsidRPr="00E2627C">
              <w:rPr>
                <w:color w:val="auto"/>
                <w:sz w:val="24"/>
                <w:szCs w:val="24"/>
              </w:rPr>
              <w:tab/>
            </w:r>
            <w:r w:rsidR="000B0576" w:rsidRPr="00E2627C">
              <w:rPr>
                <w:color w:val="auto"/>
                <w:sz w:val="24"/>
                <w:szCs w:val="24"/>
              </w:rPr>
              <w:t>Ugunsdrošības pārbaužu</w:t>
            </w:r>
            <w:r w:rsidR="009D6724" w:rsidRPr="00E2627C">
              <w:rPr>
                <w:color w:val="auto"/>
                <w:sz w:val="24"/>
                <w:szCs w:val="24"/>
              </w:rPr>
              <w:t xml:space="preserve"> laik</w:t>
            </w:r>
            <w:r w:rsidR="0051043D" w:rsidRPr="00E2627C">
              <w:rPr>
                <w:color w:val="auto"/>
                <w:sz w:val="24"/>
                <w:szCs w:val="24"/>
              </w:rPr>
              <w:t xml:space="preserve">ā tiek veikta Ugunsdrošības noteikumos un citos ugunsdrošību </w:t>
            </w:r>
            <w:r w:rsidR="0051043D" w:rsidRPr="00E2627C">
              <w:rPr>
                <w:color w:val="auto"/>
                <w:sz w:val="24"/>
                <w:szCs w:val="24"/>
              </w:rPr>
              <w:lastRenderedPageBreak/>
              <w:t>regulējošajos normatīvajos aktos noteikto ugunsdrošības prasību ievēro</w:t>
            </w:r>
            <w:r w:rsidR="00931A57" w:rsidRPr="00E2627C">
              <w:rPr>
                <w:color w:val="auto"/>
                <w:sz w:val="24"/>
                <w:szCs w:val="24"/>
              </w:rPr>
              <w:t xml:space="preserve">šanas kontrole, piemēram, </w:t>
            </w:r>
            <w:r w:rsidR="00B300AC" w:rsidRPr="00E2627C">
              <w:rPr>
                <w:color w:val="auto"/>
                <w:sz w:val="24"/>
                <w:szCs w:val="24"/>
              </w:rPr>
              <w:t xml:space="preserve">vai ir </w:t>
            </w:r>
            <w:r w:rsidR="00D85D5A" w:rsidRPr="00E2627C">
              <w:rPr>
                <w:color w:val="auto"/>
                <w:sz w:val="24"/>
                <w:szCs w:val="24"/>
              </w:rPr>
              <w:t xml:space="preserve">izstrādāta ugunsdrošības instrukcija un veikta nodarbināto instruktāža, vai </w:t>
            </w:r>
            <w:r w:rsidR="00B300AC" w:rsidRPr="00E2627C">
              <w:rPr>
                <w:color w:val="auto"/>
                <w:sz w:val="24"/>
                <w:szCs w:val="24"/>
              </w:rPr>
              <w:t>veikta elektroinstalācijas (tai skaitā zemējuma</w:t>
            </w:r>
            <w:r w:rsidR="00F354C1">
              <w:rPr>
                <w:color w:val="auto"/>
                <w:sz w:val="24"/>
                <w:szCs w:val="24"/>
              </w:rPr>
              <w:t xml:space="preserve"> un zibensaizsardzības ierīces) </w:t>
            </w:r>
            <w:r w:rsidR="00B300AC" w:rsidRPr="00E2627C">
              <w:rPr>
                <w:color w:val="auto"/>
                <w:sz w:val="24"/>
                <w:szCs w:val="24"/>
              </w:rPr>
              <w:t>un elektroinstalācijas kontaktu savienojumu kvalitātes pārbaude, vai veikta dūmvada, apkures ierīces un iekārtas, gāzes aparāta, dabīgās ventilācijas kanāla tīrīšana un tehniskā stāvokļa pārbaude, vai veikta ugunsdzēsības hidrantu un iekšējo ugunsdzēsības krānu pārbaude, vai ugunsaizsardzības sistēmas ir darba kārtībā</w:t>
            </w:r>
            <w:r w:rsidR="00523AEC" w:rsidRPr="00E2627C">
              <w:rPr>
                <w:color w:val="auto"/>
                <w:sz w:val="24"/>
                <w:szCs w:val="24"/>
              </w:rPr>
              <w:t xml:space="preserve"> un tamlīdzīgi. </w:t>
            </w:r>
          </w:p>
          <w:p w:rsidR="00F358A0" w:rsidRPr="00E2627C" w:rsidRDefault="00523AEC" w:rsidP="00DC3E2D">
            <w:pPr>
              <w:pStyle w:val="tv2131"/>
              <w:spacing w:line="240" w:lineRule="auto"/>
              <w:ind w:firstLine="329"/>
              <w:jc w:val="both"/>
              <w:rPr>
                <w:sz w:val="24"/>
                <w:szCs w:val="24"/>
              </w:rPr>
            </w:pPr>
            <w:r w:rsidRPr="00E2627C">
              <w:rPr>
                <w:rFonts w:eastAsiaTheme="minorHAnsi"/>
                <w:color w:val="auto"/>
                <w:sz w:val="24"/>
                <w:szCs w:val="24"/>
              </w:rPr>
              <w:t>Minēto</w:t>
            </w:r>
            <w:r w:rsidR="002A57FF" w:rsidRPr="00E2627C">
              <w:rPr>
                <w:rFonts w:eastAsiaTheme="minorHAnsi"/>
                <w:color w:val="auto"/>
                <w:sz w:val="24"/>
                <w:szCs w:val="24"/>
              </w:rPr>
              <w:t xml:space="preserve"> ugunsdrošība</w:t>
            </w:r>
            <w:r w:rsidR="00D03B8B" w:rsidRPr="00E2627C">
              <w:rPr>
                <w:rFonts w:eastAsiaTheme="minorHAnsi"/>
                <w:color w:val="auto"/>
                <w:sz w:val="24"/>
                <w:szCs w:val="24"/>
              </w:rPr>
              <w:t>s pasākumu nodrošināšanā objektu atbildīgās personas</w:t>
            </w:r>
            <w:r w:rsidR="002A57FF" w:rsidRPr="00E2627C">
              <w:rPr>
                <w:rFonts w:eastAsiaTheme="minorHAnsi"/>
                <w:color w:val="auto"/>
                <w:sz w:val="24"/>
                <w:szCs w:val="24"/>
              </w:rPr>
              <w:t xml:space="preserve"> </w:t>
            </w:r>
            <w:r w:rsidR="00D85D5A" w:rsidRPr="00E2627C">
              <w:rPr>
                <w:rFonts w:eastAsiaTheme="minorHAnsi"/>
                <w:color w:val="auto"/>
                <w:sz w:val="24"/>
                <w:szCs w:val="24"/>
              </w:rPr>
              <w:t xml:space="preserve">bieži vien </w:t>
            </w:r>
            <w:r w:rsidR="002A57FF" w:rsidRPr="00E2627C">
              <w:rPr>
                <w:rFonts w:eastAsiaTheme="minorHAnsi"/>
                <w:color w:val="auto"/>
                <w:sz w:val="24"/>
                <w:szCs w:val="24"/>
              </w:rPr>
              <w:t>piesaista daž</w:t>
            </w:r>
            <w:r w:rsidR="008C1AE1" w:rsidRPr="00E2627C">
              <w:rPr>
                <w:rFonts w:eastAsiaTheme="minorHAnsi"/>
                <w:color w:val="auto"/>
                <w:sz w:val="24"/>
                <w:szCs w:val="24"/>
              </w:rPr>
              <w:t>ādus ugunsdrošības pakalpojumu sniedz</w:t>
            </w:r>
            <w:r w:rsidR="00F358A0" w:rsidRPr="00E2627C">
              <w:rPr>
                <w:rFonts w:eastAsiaTheme="minorHAnsi"/>
                <w:color w:val="auto"/>
                <w:sz w:val="24"/>
                <w:szCs w:val="24"/>
              </w:rPr>
              <w:t>ējus,</w:t>
            </w:r>
            <w:r w:rsidR="000B0576" w:rsidRPr="00E2627C">
              <w:rPr>
                <w:rFonts w:eastAsiaTheme="minorHAnsi"/>
                <w:color w:val="auto"/>
                <w:sz w:val="24"/>
                <w:szCs w:val="24"/>
              </w:rPr>
              <w:t xml:space="preserve"> par kuriem informāciju atrod elektroniskajā vidē,</w:t>
            </w:r>
            <w:r w:rsidR="00F358A0" w:rsidRPr="00E2627C">
              <w:rPr>
                <w:rFonts w:eastAsiaTheme="minorHAnsi"/>
                <w:color w:val="auto"/>
                <w:sz w:val="24"/>
                <w:szCs w:val="24"/>
              </w:rPr>
              <w:t xml:space="preserve"> nezinot to spēju</w:t>
            </w:r>
            <w:r w:rsidR="009719BB" w:rsidRPr="00E2627C">
              <w:rPr>
                <w:rFonts w:eastAsiaTheme="minorHAnsi"/>
                <w:color w:val="auto"/>
                <w:sz w:val="24"/>
                <w:szCs w:val="24"/>
              </w:rPr>
              <w:t xml:space="preserve"> </w:t>
            </w:r>
            <w:r w:rsidR="00F358A0" w:rsidRPr="00E2627C">
              <w:rPr>
                <w:rFonts w:eastAsiaTheme="minorHAnsi"/>
                <w:color w:val="auto"/>
                <w:sz w:val="24"/>
                <w:szCs w:val="24"/>
              </w:rPr>
              <w:t xml:space="preserve">pietiekami kompetenti </w:t>
            </w:r>
            <w:r w:rsidR="00DC3E2D" w:rsidRPr="00E2627C">
              <w:rPr>
                <w:rFonts w:eastAsiaTheme="minorHAnsi"/>
                <w:color w:val="auto"/>
                <w:sz w:val="24"/>
                <w:szCs w:val="24"/>
              </w:rPr>
              <w:t xml:space="preserve">un kvalificēti </w:t>
            </w:r>
            <w:r w:rsidR="00F358A0" w:rsidRPr="00E2627C">
              <w:rPr>
                <w:color w:val="auto"/>
                <w:sz w:val="24"/>
                <w:szCs w:val="24"/>
              </w:rPr>
              <w:t xml:space="preserve">veikt </w:t>
            </w:r>
            <w:r w:rsidR="000B0576" w:rsidRPr="00E2627C">
              <w:rPr>
                <w:color w:val="auto"/>
                <w:sz w:val="24"/>
                <w:szCs w:val="24"/>
              </w:rPr>
              <w:t>attiecīgos ugunsdrošības</w:t>
            </w:r>
            <w:r w:rsidR="00F358A0" w:rsidRPr="00E2627C">
              <w:rPr>
                <w:color w:val="auto"/>
                <w:sz w:val="24"/>
                <w:szCs w:val="24"/>
              </w:rPr>
              <w:t xml:space="preserve"> pakalpojumu</w:t>
            </w:r>
            <w:r w:rsidR="00DC3E2D" w:rsidRPr="00E2627C">
              <w:rPr>
                <w:color w:val="auto"/>
                <w:sz w:val="24"/>
                <w:szCs w:val="24"/>
              </w:rPr>
              <w:t>s</w:t>
            </w:r>
            <w:r w:rsidR="00F358A0" w:rsidRPr="00E2627C">
              <w:rPr>
                <w:sz w:val="24"/>
                <w:szCs w:val="24"/>
              </w:rPr>
              <w:t>.</w:t>
            </w:r>
          </w:p>
          <w:p w:rsidR="008C1AE1" w:rsidRPr="00E2627C" w:rsidRDefault="008C1AE1" w:rsidP="003407C1">
            <w:pPr>
              <w:pStyle w:val="tv2131"/>
              <w:spacing w:line="240" w:lineRule="auto"/>
              <w:ind w:firstLine="329"/>
              <w:jc w:val="both"/>
              <w:rPr>
                <w:color w:val="auto"/>
                <w:sz w:val="24"/>
                <w:szCs w:val="24"/>
              </w:rPr>
            </w:pPr>
            <w:r w:rsidRPr="00E2627C">
              <w:rPr>
                <w:rFonts w:eastAsiaTheme="minorHAnsi"/>
                <w:color w:val="auto"/>
                <w:sz w:val="24"/>
                <w:szCs w:val="24"/>
              </w:rPr>
              <w:t xml:space="preserve">Veicot ugunsdrošības uzraudzību, VUGD amatpersonas ir konstatējušas, ka </w:t>
            </w:r>
            <w:r w:rsidR="00F358A0" w:rsidRPr="00E2627C">
              <w:rPr>
                <w:rFonts w:eastAsiaTheme="minorHAnsi"/>
                <w:color w:val="auto"/>
                <w:sz w:val="24"/>
                <w:szCs w:val="24"/>
              </w:rPr>
              <w:t>atseviš</w:t>
            </w:r>
            <w:r w:rsidR="000B0576" w:rsidRPr="00E2627C">
              <w:rPr>
                <w:rFonts w:eastAsiaTheme="minorHAnsi"/>
                <w:color w:val="auto"/>
                <w:sz w:val="24"/>
                <w:szCs w:val="24"/>
              </w:rPr>
              <w:t>ķi</w:t>
            </w:r>
            <w:r w:rsidR="00F358A0" w:rsidRPr="00E2627C">
              <w:rPr>
                <w:rFonts w:eastAsiaTheme="minorHAnsi"/>
                <w:color w:val="auto"/>
                <w:sz w:val="24"/>
                <w:szCs w:val="24"/>
              </w:rPr>
              <w:t xml:space="preserve"> </w:t>
            </w:r>
            <w:r w:rsidRPr="00E2627C">
              <w:rPr>
                <w:rFonts w:eastAsiaTheme="minorHAnsi"/>
                <w:color w:val="auto"/>
                <w:sz w:val="24"/>
                <w:szCs w:val="24"/>
              </w:rPr>
              <w:t>ugunsdrošības pakalpojumu sniedzēji attiec</w:t>
            </w:r>
            <w:r w:rsidR="00D85D5A" w:rsidRPr="00E2627C">
              <w:rPr>
                <w:rFonts w:eastAsiaTheme="minorHAnsi"/>
                <w:color w:val="auto"/>
                <w:sz w:val="24"/>
                <w:szCs w:val="24"/>
              </w:rPr>
              <w:t xml:space="preserve">īgos darbus </w:t>
            </w:r>
            <w:r w:rsidR="00F358A0" w:rsidRPr="00E2627C">
              <w:rPr>
                <w:rFonts w:eastAsiaTheme="minorHAnsi"/>
                <w:color w:val="auto"/>
                <w:sz w:val="24"/>
                <w:szCs w:val="24"/>
              </w:rPr>
              <w:t>veic</w:t>
            </w:r>
            <w:r w:rsidRPr="00E2627C">
              <w:rPr>
                <w:rFonts w:eastAsiaTheme="minorHAnsi"/>
                <w:color w:val="auto"/>
                <w:sz w:val="24"/>
                <w:szCs w:val="24"/>
              </w:rPr>
              <w:t xml:space="preserve"> nekvalitatīvi vai </w:t>
            </w:r>
            <w:r w:rsidR="000B0576" w:rsidRPr="00E2627C">
              <w:rPr>
                <w:rFonts w:eastAsiaTheme="minorHAnsi"/>
                <w:color w:val="auto"/>
                <w:sz w:val="24"/>
                <w:szCs w:val="24"/>
              </w:rPr>
              <w:t>citos</w:t>
            </w:r>
            <w:r w:rsidRPr="00E2627C">
              <w:rPr>
                <w:rFonts w:eastAsiaTheme="minorHAnsi"/>
                <w:color w:val="auto"/>
                <w:sz w:val="24"/>
                <w:szCs w:val="24"/>
              </w:rPr>
              <w:t xml:space="preserve"> gadījumos – aizpilda</w:t>
            </w:r>
            <w:r w:rsidR="00D85D5A" w:rsidRPr="00E2627C">
              <w:rPr>
                <w:rFonts w:eastAsiaTheme="minorHAnsi"/>
                <w:color w:val="auto"/>
                <w:sz w:val="24"/>
                <w:szCs w:val="24"/>
              </w:rPr>
              <w:t xml:space="preserve"> tikai </w:t>
            </w:r>
            <w:r w:rsidRPr="00E2627C">
              <w:rPr>
                <w:rFonts w:eastAsiaTheme="minorHAnsi"/>
                <w:color w:val="auto"/>
                <w:sz w:val="24"/>
                <w:szCs w:val="24"/>
              </w:rPr>
              <w:t xml:space="preserve"> attiecīgo dokumentāciju.</w:t>
            </w:r>
            <w:r w:rsidR="00D85D5A" w:rsidRPr="00E2627C">
              <w:rPr>
                <w:rFonts w:eastAsiaTheme="minorHAnsi"/>
                <w:color w:val="auto"/>
                <w:sz w:val="24"/>
                <w:szCs w:val="24"/>
              </w:rPr>
              <w:t xml:space="preserve"> </w:t>
            </w:r>
            <w:r w:rsidR="00DF1E2E" w:rsidRPr="00E2627C">
              <w:rPr>
                <w:rFonts w:eastAsiaTheme="minorHAnsi"/>
                <w:color w:val="auto"/>
                <w:sz w:val="24"/>
                <w:szCs w:val="24"/>
              </w:rPr>
              <w:t>Piemēram, viens no biežāk konstatētajiem</w:t>
            </w:r>
            <w:r w:rsidR="000B0576" w:rsidRPr="00E2627C">
              <w:rPr>
                <w:rFonts w:eastAsiaTheme="minorHAnsi"/>
                <w:color w:val="auto"/>
                <w:sz w:val="24"/>
                <w:szCs w:val="24"/>
              </w:rPr>
              <w:t xml:space="preserve"> nekvalitatīvā pakalpojuma rādītāji</w:t>
            </w:r>
            <w:r w:rsidR="00DF1E2E" w:rsidRPr="00E2627C">
              <w:rPr>
                <w:rFonts w:eastAsiaTheme="minorHAnsi"/>
                <w:color w:val="auto"/>
                <w:sz w:val="24"/>
                <w:szCs w:val="24"/>
              </w:rPr>
              <w:t>em</w:t>
            </w:r>
            <w:r w:rsidR="00F354C1">
              <w:rPr>
                <w:rFonts w:eastAsiaTheme="minorHAnsi"/>
                <w:color w:val="auto"/>
                <w:sz w:val="24"/>
                <w:szCs w:val="24"/>
              </w:rPr>
              <w:t xml:space="preserve"> ir ugunsdrošības instrukcijā</w:t>
            </w:r>
            <w:r w:rsidR="000B0576" w:rsidRPr="00E2627C">
              <w:rPr>
                <w:rFonts w:eastAsiaTheme="minorHAnsi"/>
                <w:color w:val="auto"/>
                <w:sz w:val="24"/>
                <w:szCs w:val="24"/>
              </w:rPr>
              <w:t>, kuru izstrādājis ugunsdrošības pakalpojumu sniedzējs</w:t>
            </w:r>
            <w:r w:rsidR="003407C1" w:rsidRPr="00E2627C">
              <w:rPr>
                <w:rFonts w:eastAsiaTheme="minorHAnsi"/>
                <w:color w:val="auto"/>
                <w:sz w:val="24"/>
                <w:szCs w:val="24"/>
              </w:rPr>
              <w:t xml:space="preserve">, </w:t>
            </w:r>
            <w:r w:rsidR="000B0576" w:rsidRPr="00E2627C">
              <w:rPr>
                <w:rFonts w:eastAsiaTheme="minorHAnsi"/>
                <w:color w:val="auto"/>
                <w:sz w:val="24"/>
                <w:szCs w:val="24"/>
              </w:rPr>
              <w:t>ir norādīta cita objekta adrese</w:t>
            </w:r>
            <w:r w:rsidR="00DD7070" w:rsidRPr="00E2627C">
              <w:rPr>
                <w:rFonts w:eastAsiaTheme="minorHAnsi"/>
                <w:color w:val="auto"/>
                <w:sz w:val="24"/>
                <w:szCs w:val="24"/>
              </w:rPr>
              <w:t xml:space="preserve"> vai </w:t>
            </w:r>
            <w:r w:rsidR="00DF1E2E" w:rsidRPr="00E2627C">
              <w:rPr>
                <w:rFonts w:eastAsiaTheme="minorHAnsi"/>
                <w:color w:val="auto"/>
                <w:sz w:val="24"/>
                <w:szCs w:val="24"/>
              </w:rPr>
              <w:t xml:space="preserve">aprakstītas </w:t>
            </w:r>
            <w:r w:rsidR="00DD7070" w:rsidRPr="00E2627C">
              <w:rPr>
                <w:rFonts w:eastAsiaTheme="minorHAnsi"/>
                <w:color w:val="auto"/>
                <w:sz w:val="24"/>
                <w:szCs w:val="24"/>
              </w:rPr>
              <w:t>inženiertehniskās sistēmas, kuru objektā nemaz nav. T</w:t>
            </w:r>
            <w:r w:rsidR="004A1547" w:rsidRPr="00E2627C">
              <w:rPr>
                <w:rFonts w:eastAsiaTheme="minorHAnsi"/>
                <w:color w:val="auto"/>
                <w:sz w:val="24"/>
                <w:szCs w:val="24"/>
              </w:rPr>
              <w:t xml:space="preserve">āpat ir konstatēts, ka ugunsdrošības pakalpojumu sniedzēji neveic ugunsdzēsības aparātu tehniskās pārbaudes atbilstoši </w:t>
            </w:r>
            <w:r w:rsidR="003407C1" w:rsidRPr="00E2627C">
              <w:rPr>
                <w:rFonts w:eastAsiaTheme="minorHAnsi"/>
                <w:color w:val="auto"/>
                <w:sz w:val="24"/>
                <w:szCs w:val="24"/>
              </w:rPr>
              <w:t xml:space="preserve">normatīvo aktu </w:t>
            </w:r>
            <w:r w:rsidR="00F354C1">
              <w:rPr>
                <w:rFonts w:eastAsiaTheme="minorHAnsi"/>
                <w:color w:val="auto"/>
                <w:sz w:val="24"/>
                <w:szCs w:val="24"/>
              </w:rPr>
              <w:t xml:space="preserve">un piemērojamo standartu </w:t>
            </w:r>
            <w:r w:rsidR="004A1547" w:rsidRPr="00E2627C">
              <w:rPr>
                <w:rFonts w:eastAsiaTheme="minorHAnsi"/>
                <w:color w:val="auto"/>
                <w:sz w:val="24"/>
                <w:szCs w:val="24"/>
              </w:rPr>
              <w:t xml:space="preserve">prasībām, bet gan </w:t>
            </w:r>
            <w:r w:rsidR="003407C1" w:rsidRPr="00E2627C">
              <w:rPr>
                <w:rFonts w:eastAsiaTheme="minorHAnsi"/>
                <w:color w:val="auto"/>
                <w:sz w:val="24"/>
                <w:szCs w:val="24"/>
              </w:rPr>
              <w:t xml:space="preserve">formāli pārlīmē </w:t>
            </w:r>
            <w:r w:rsidR="003407C1" w:rsidRPr="00E2627C">
              <w:rPr>
                <w:color w:val="auto"/>
                <w:sz w:val="24"/>
                <w:szCs w:val="24"/>
              </w:rPr>
              <w:t>uzlīmes par ugunsdzēsības aparāta tehnisko pārbaudi.</w:t>
            </w:r>
            <w:r w:rsidR="00D03B8B" w:rsidRPr="00E2627C">
              <w:rPr>
                <w:color w:val="auto"/>
                <w:sz w:val="24"/>
                <w:szCs w:val="24"/>
              </w:rPr>
              <w:t xml:space="preserve"> </w:t>
            </w:r>
          </w:p>
          <w:p w:rsidR="008B3F50" w:rsidRPr="00E2627C" w:rsidRDefault="003407C1" w:rsidP="001E3F36">
            <w:pPr>
              <w:pStyle w:val="tv2131"/>
              <w:spacing w:line="240" w:lineRule="auto"/>
              <w:ind w:firstLine="329"/>
              <w:jc w:val="both"/>
              <w:rPr>
                <w:color w:val="auto"/>
                <w:sz w:val="24"/>
                <w:szCs w:val="24"/>
              </w:rPr>
            </w:pPr>
            <w:r w:rsidRPr="00E2627C">
              <w:rPr>
                <w:color w:val="auto"/>
                <w:sz w:val="24"/>
                <w:szCs w:val="24"/>
              </w:rPr>
              <w:t xml:space="preserve">Šāda situācija ir izveidojusies, jo </w:t>
            </w:r>
            <w:r w:rsidRPr="00E2627C">
              <w:rPr>
                <w:rFonts w:eastAsiaTheme="minorHAnsi"/>
                <w:color w:val="auto"/>
                <w:sz w:val="24"/>
                <w:szCs w:val="24"/>
              </w:rPr>
              <w:t>š</w:t>
            </w:r>
            <w:r w:rsidR="00931A57" w:rsidRPr="00E2627C">
              <w:rPr>
                <w:color w:val="auto"/>
                <w:sz w:val="24"/>
                <w:szCs w:val="24"/>
              </w:rPr>
              <w:t>obrīd ugunsdrošības pakalpojumu sni</w:t>
            </w:r>
            <w:r w:rsidR="00DD7070" w:rsidRPr="00E2627C">
              <w:rPr>
                <w:color w:val="auto"/>
                <w:sz w:val="24"/>
                <w:szCs w:val="24"/>
              </w:rPr>
              <w:t>egšana netiek tiesiski regulēta.</w:t>
            </w:r>
            <w:r w:rsidR="00931A57" w:rsidRPr="00E2627C">
              <w:rPr>
                <w:color w:val="auto"/>
                <w:sz w:val="24"/>
                <w:szCs w:val="24"/>
              </w:rPr>
              <w:t xml:space="preserve"> </w:t>
            </w:r>
            <w:r w:rsidR="00E404ED" w:rsidRPr="00E2627C">
              <w:rPr>
                <w:color w:val="auto"/>
                <w:sz w:val="24"/>
                <w:szCs w:val="24"/>
              </w:rPr>
              <w:t xml:space="preserve">No Ugunsdrošības noteikumu 178.punkta izriet, ka persona, kurai ir profesionālā izglītība ugunsdrošības jomā vai tā ir apguvusi 20 vai 160 stundu apmācību ugunsdrošības jomā, ir tiesīga </w:t>
            </w:r>
            <w:r w:rsidR="001E3F36" w:rsidRPr="00E2627C">
              <w:rPr>
                <w:color w:val="auto"/>
                <w:sz w:val="24"/>
                <w:szCs w:val="24"/>
              </w:rPr>
              <w:t xml:space="preserve">izstrādāt ugunsdrošības instrukciju, veikt ugunsdrošības instruktāžu un praktiskās nodarbības, kā arī </w:t>
            </w:r>
            <w:r w:rsidR="00E404ED" w:rsidRPr="00E2627C">
              <w:rPr>
                <w:color w:val="auto"/>
                <w:sz w:val="24"/>
                <w:szCs w:val="24"/>
              </w:rPr>
              <w:t>veikt ugunsdzēsības hidrantu un iekšējā</w:t>
            </w:r>
            <w:r w:rsidR="001E3F36" w:rsidRPr="00E2627C">
              <w:rPr>
                <w:color w:val="auto"/>
                <w:sz w:val="24"/>
                <w:szCs w:val="24"/>
              </w:rPr>
              <w:t xml:space="preserve"> ugunsdzēsības ūdensvada pārbaudi. </w:t>
            </w:r>
            <w:r w:rsidR="00931A57" w:rsidRPr="00E2627C">
              <w:rPr>
                <w:color w:val="auto"/>
                <w:sz w:val="24"/>
                <w:szCs w:val="24"/>
              </w:rPr>
              <w:t>Ugunsdrošības noteikumos nav noteiktas kvalifikāci</w:t>
            </w:r>
            <w:r w:rsidR="00523AEC" w:rsidRPr="00E2627C">
              <w:rPr>
                <w:color w:val="auto"/>
                <w:sz w:val="24"/>
                <w:szCs w:val="24"/>
              </w:rPr>
              <w:t>jas prasības personām, kas veic, piemēram, u</w:t>
            </w:r>
            <w:r w:rsidR="00931A57" w:rsidRPr="00E2627C">
              <w:rPr>
                <w:color w:val="auto"/>
                <w:sz w:val="24"/>
                <w:szCs w:val="24"/>
              </w:rPr>
              <w:t xml:space="preserve">gunsdrošībai nozīmīgo inženiertehnisko sistēmu pārbaudes, ugunsaizsardzības sistēmu tehnisko apkopi un remontu, ugunsdzēsības aparātu tehnisko apkopi un remontu, </w:t>
            </w:r>
            <w:r w:rsidR="00E44818" w:rsidRPr="00E44818">
              <w:rPr>
                <w:color w:val="auto"/>
                <w:sz w:val="24"/>
                <w:szCs w:val="24"/>
              </w:rPr>
              <w:t>dū</w:t>
            </w:r>
            <w:r w:rsidR="00E44818">
              <w:rPr>
                <w:color w:val="auto"/>
                <w:sz w:val="24"/>
                <w:szCs w:val="24"/>
              </w:rPr>
              <w:t>mvadu</w:t>
            </w:r>
            <w:r w:rsidR="00931A57" w:rsidRPr="00E2627C">
              <w:rPr>
                <w:color w:val="auto"/>
                <w:sz w:val="24"/>
                <w:szCs w:val="24"/>
              </w:rPr>
              <w:t xml:space="preserve"> un ventilācijas kanālu tīrīšanu.</w:t>
            </w:r>
          </w:p>
          <w:p w:rsidR="009A42ED" w:rsidRPr="00E2627C" w:rsidRDefault="003407C1" w:rsidP="00E2627C">
            <w:pPr>
              <w:pStyle w:val="tv2131"/>
              <w:spacing w:line="240" w:lineRule="auto"/>
              <w:ind w:firstLine="329"/>
              <w:jc w:val="both"/>
              <w:rPr>
                <w:color w:val="auto"/>
                <w:sz w:val="24"/>
                <w:szCs w:val="24"/>
              </w:rPr>
            </w:pPr>
            <w:r w:rsidRPr="00E2627C">
              <w:rPr>
                <w:rFonts w:eastAsiaTheme="minorHAnsi"/>
                <w:color w:val="auto"/>
                <w:sz w:val="24"/>
                <w:szCs w:val="24"/>
              </w:rPr>
              <w:t>Lai pilnveidotu ugunsdrošības pakalpojumu sniegšanas kvalitāti</w:t>
            </w:r>
            <w:r w:rsidR="009A42ED" w:rsidRPr="00E2627C">
              <w:rPr>
                <w:rFonts w:eastAsiaTheme="minorHAnsi"/>
                <w:color w:val="auto"/>
                <w:sz w:val="24"/>
                <w:szCs w:val="24"/>
              </w:rPr>
              <w:t xml:space="preserve">, </w:t>
            </w:r>
            <w:r w:rsidR="009A42ED" w:rsidRPr="00E2627C">
              <w:rPr>
                <w:color w:val="auto"/>
                <w:sz w:val="24"/>
                <w:szCs w:val="24"/>
              </w:rPr>
              <w:t>likumā ir jāveic grozījumi un tas jāpapildina ar deleģējumu, paredz</w:t>
            </w:r>
            <w:r w:rsidR="00E2627C" w:rsidRPr="00E2627C">
              <w:rPr>
                <w:color w:val="auto"/>
                <w:sz w:val="24"/>
                <w:szCs w:val="24"/>
              </w:rPr>
              <w:t xml:space="preserve">ot, ka Ministru </w:t>
            </w:r>
            <w:r w:rsidR="00E2627C" w:rsidRPr="00E2627C">
              <w:rPr>
                <w:color w:val="auto"/>
                <w:sz w:val="24"/>
                <w:szCs w:val="24"/>
              </w:rPr>
              <w:lastRenderedPageBreak/>
              <w:t xml:space="preserve">kabinets nosaka pakalpojumu sniegšanas kārtību ugunsdrošības jomā un šo pakalpojumu kvalitātes kontroli, </w:t>
            </w:r>
            <w:r w:rsidR="009A42ED" w:rsidRPr="00E2627C">
              <w:rPr>
                <w:color w:val="auto"/>
                <w:sz w:val="24"/>
                <w:szCs w:val="24"/>
              </w:rPr>
              <w:t xml:space="preserve">tādējādi tiks izstrādāti Ministru kabineta noteikumi par attiecīgo regulējumu. </w:t>
            </w:r>
          </w:p>
          <w:p w:rsidR="003C74A6" w:rsidRPr="00E2627C" w:rsidRDefault="00E2627C" w:rsidP="00E2627C">
            <w:pPr>
              <w:pStyle w:val="tv2131"/>
              <w:spacing w:line="240" w:lineRule="auto"/>
              <w:ind w:firstLine="329"/>
              <w:jc w:val="both"/>
              <w:rPr>
                <w:color w:val="auto"/>
                <w:sz w:val="24"/>
                <w:szCs w:val="24"/>
              </w:rPr>
            </w:pPr>
            <w:r w:rsidRPr="00E2627C">
              <w:rPr>
                <w:color w:val="auto"/>
                <w:sz w:val="24"/>
                <w:szCs w:val="24"/>
              </w:rPr>
              <w:t xml:space="preserve">Ministru kabineta noteikumos </w:t>
            </w:r>
            <w:r w:rsidR="009A42ED" w:rsidRPr="00E2627C">
              <w:rPr>
                <w:color w:val="auto"/>
                <w:sz w:val="24"/>
                <w:szCs w:val="24"/>
              </w:rPr>
              <w:t xml:space="preserve">tiks </w:t>
            </w:r>
            <w:r w:rsidR="00AE6AF1" w:rsidRPr="00E2627C">
              <w:rPr>
                <w:color w:val="auto"/>
                <w:sz w:val="24"/>
                <w:szCs w:val="24"/>
              </w:rPr>
              <w:t>noteiktas prasības fiziskām un juridiskām personām, lai tās varētu veikt pasākumus ugunsdrošības jomā. Tāpat noteikumos tiks noteiktas prasības ugunsdrošības pakalpojumu sniedzēju kvalifikācijai a</w:t>
            </w:r>
            <w:r w:rsidR="006643E5" w:rsidRPr="00E2627C">
              <w:rPr>
                <w:color w:val="auto"/>
                <w:sz w:val="24"/>
                <w:szCs w:val="24"/>
              </w:rPr>
              <w:t>tkarībā no sniegtā pakalpojuma.</w:t>
            </w:r>
            <w:r w:rsidRPr="00E2627C">
              <w:rPr>
                <w:color w:val="auto"/>
                <w:sz w:val="24"/>
                <w:szCs w:val="24"/>
              </w:rPr>
              <w:t xml:space="preserve"> </w:t>
            </w:r>
            <w:r w:rsidR="00AE6AF1" w:rsidRPr="00E2627C">
              <w:rPr>
                <w:color w:val="auto"/>
                <w:sz w:val="24"/>
                <w:szCs w:val="24"/>
              </w:rPr>
              <w:t>Papildus šajos noteik</w:t>
            </w:r>
            <w:r w:rsidR="00E404ED" w:rsidRPr="00E2627C">
              <w:rPr>
                <w:color w:val="auto"/>
                <w:sz w:val="24"/>
                <w:szCs w:val="24"/>
              </w:rPr>
              <w:t>umos tiktu noteikta ugunsdrošības pakalpojumu sniedzēju un citu tiesību subjektu tiesības un pienākumi, kā arī ugunsdrošības pakalpojumu sniedzēju atbildība par nekvalitatīva pakalpojuma snieg</w:t>
            </w:r>
            <w:r w:rsidR="003C74A6" w:rsidRPr="00E2627C">
              <w:rPr>
                <w:color w:val="auto"/>
                <w:sz w:val="24"/>
                <w:szCs w:val="24"/>
              </w:rPr>
              <w:t>šanu, jo līdz šim, piemēram, ja attiecīgais pakalpojums veikts nekvalitatīvi, pie administratīvās atbildības tiek saukta objekta atbildīgā persona (iestādes vai komercsabiedrības vadītājs), kura pasūtīju</w:t>
            </w:r>
            <w:r w:rsidR="0029599A" w:rsidRPr="00E2627C">
              <w:rPr>
                <w:color w:val="auto"/>
                <w:sz w:val="24"/>
                <w:szCs w:val="24"/>
              </w:rPr>
              <w:t xml:space="preserve">si </w:t>
            </w:r>
            <w:r w:rsidR="003C74A6" w:rsidRPr="00E2627C">
              <w:rPr>
                <w:color w:val="auto"/>
                <w:sz w:val="24"/>
                <w:szCs w:val="24"/>
              </w:rPr>
              <w:t>un saņēmusi pakalpojumu, nevis ugunsdrošības pakalpojuma sniedzējs.</w:t>
            </w:r>
          </w:p>
          <w:p w:rsidR="007655B1" w:rsidRPr="00E2627C" w:rsidRDefault="005E470A" w:rsidP="005E470A">
            <w:pPr>
              <w:pStyle w:val="tv2131"/>
              <w:spacing w:line="240" w:lineRule="auto"/>
              <w:ind w:firstLine="329"/>
              <w:jc w:val="both"/>
              <w:rPr>
                <w:rFonts w:eastAsiaTheme="minorHAnsi"/>
                <w:color w:val="auto"/>
                <w:sz w:val="24"/>
                <w:szCs w:val="24"/>
              </w:rPr>
            </w:pPr>
            <w:r w:rsidRPr="00E2627C">
              <w:rPr>
                <w:rFonts w:eastAsiaTheme="minorHAnsi"/>
                <w:color w:val="auto"/>
                <w:sz w:val="24"/>
                <w:szCs w:val="24"/>
              </w:rPr>
              <w:t>Ņemot vērā iepriekš minēto</w:t>
            </w:r>
            <w:r w:rsidR="009A42ED" w:rsidRPr="00E2627C">
              <w:rPr>
                <w:rFonts w:eastAsiaTheme="minorHAnsi"/>
                <w:color w:val="auto"/>
                <w:sz w:val="24"/>
                <w:szCs w:val="24"/>
              </w:rPr>
              <w:t>,</w:t>
            </w:r>
            <w:r w:rsidRPr="00E2627C">
              <w:rPr>
                <w:rFonts w:eastAsiaTheme="minorHAnsi"/>
                <w:color w:val="auto"/>
                <w:sz w:val="24"/>
                <w:szCs w:val="24"/>
              </w:rPr>
              <w:t xml:space="preserve"> l</w:t>
            </w:r>
            <w:r w:rsidR="00820D1B" w:rsidRPr="00E2627C">
              <w:rPr>
                <w:bCs/>
                <w:color w:val="auto"/>
                <w:sz w:val="24"/>
                <w:szCs w:val="24"/>
              </w:rPr>
              <w:t>ikumprojekts paredz papildināt likumu ar</w:t>
            </w:r>
            <w:r w:rsidR="007655B1" w:rsidRPr="00E2627C">
              <w:rPr>
                <w:bCs/>
                <w:color w:val="auto"/>
                <w:sz w:val="24"/>
                <w:szCs w:val="24"/>
              </w:rPr>
              <w:t>:</w:t>
            </w:r>
          </w:p>
          <w:p w:rsidR="004E42C3" w:rsidRPr="003C34B8" w:rsidRDefault="007655B1" w:rsidP="004E42C3">
            <w:pPr>
              <w:pStyle w:val="tv2131"/>
              <w:numPr>
                <w:ilvl w:val="0"/>
                <w:numId w:val="5"/>
              </w:numPr>
              <w:spacing w:line="240" w:lineRule="auto"/>
              <w:jc w:val="both"/>
              <w:rPr>
                <w:bCs/>
                <w:color w:val="auto"/>
                <w:sz w:val="24"/>
                <w:szCs w:val="24"/>
              </w:rPr>
            </w:pPr>
            <w:r w:rsidRPr="003C34B8">
              <w:rPr>
                <w:bCs/>
                <w:color w:val="auto"/>
                <w:sz w:val="24"/>
                <w:szCs w:val="24"/>
              </w:rPr>
              <w:t>12.</w:t>
            </w:r>
            <w:r w:rsidRPr="003C34B8">
              <w:rPr>
                <w:bCs/>
                <w:color w:val="auto"/>
                <w:sz w:val="24"/>
                <w:szCs w:val="24"/>
                <w:vertAlign w:val="superscript"/>
              </w:rPr>
              <w:t>1</w:t>
            </w:r>
            <w:r w:rsidR="00317CC4" w:rsidRPr="003C34B8">
              <w:rPr>
                <w:bCs/>
                <w:color w:val="auto"/>
                <w:sz w:val="24"/>
                <w:szCs w:val="24"/>
              </w:rPr>
              <w:t xml:space="preserve"> </w:t>
            </w:r>
            <w:r w:rsidRPr="003C34B8">
              <w:rPr>
                <w:bCs/>
                <w:color w:val="auto"/>
                <w:sz w:val="24"/>
                <w:szCs w:val="24"/>
              </w:rPr>
              <w:t xml:space="preserve">pantu </w:t>
            </w:r>
            <w:r w:rsidR="004E42C3" w:rsidRPr="003C34B8">
              <w:rPr>
                <w:bCs/>
                <w:color w:val="auto"/>
                <w:sz w:val="24"/>
                <w:szCs w:val="24"/>
              </w:rPr>
              <w:t>p</w:t>
            </w:r>
            <w:r w:rsidR="004E42C3" w:rsidRPr="003C34B8">
              <w:rPr>
                <w:color w:val="auto"/>
                <w:sz w:val="24"/>
                <w:szCs w:val="24"/>
              </w:rPr>
              <w:t xml:space="preserve">ar </w:t>
            </w:r>
            <w:r w:rsidR="00F354C1" w:rsidRPr="003C34B8">
              <w:rPr>
                <w:color w:val="auto"/>
                <w:sz w:val="24"/>
                <w:szCs w:val="24"/>
              </w:rPr>
              <w:t xml:space="preserve">apmācību </w:t>
            </w:r>
            <w:r w:rsidR="004E42C3" w:rsidRPr="003C34B8">
              <w:rPr>
                <w:color w:val="auto"/>
                <w:sz w:val="24"/>
                <w:szCs w:val="24"/>
              </w:rPr>
              <w:t>ugunsdrošības jomā un valsts nodevas maksāšanas kārtību un apmēru;</w:t>
            </w:r>
          </w:p>
          <w:p w:rsidR="00820D1B" w:rsidRPr="00E2627C" w:rsidRDefault="007655B1" w:rsidP="008D6E5B">
            <w:pPr>
              <w:pStyle w:val="tv2131"/>
              <w:numPr>
                <w:ilvl w:val="0"/>
                <w:numId w:val="5"/>
              </w:numPr>
              <w:spacing w:line="240" w:lineRule="auto"/>
              <w:jc w:val="both"/>
              <w:rPr>
                <w:bCs/>
                <w:color w:val="auto"/>
                <w:sz w:val="24"/>
                <w:szCs w:val="24"/>
              </w:rPr>
            </w:pPr>
            <w:r w:rsidRPr="00E2627C">
              <w:rPr>
                <w:bCs/>
                <w:color w:val="auto"/>
                <w:sz w:val="24"/>
                <w:szCs w:val="24"/>
              </w:rPr>
              <w:t>12.</w:t>
            </w:r>
            <w:r w:rsidRPr="00E2627C">
              <w:rPr>
                <w:bCs/>
                <w:color w:val="auto"/>
                <w:sz w:val="24"/>
                <w:szCs w:val="24"/>
                <w:vertAlign w:val="superscript"/>
              </w:rPr>
              <w:t>2</w:t>
            </w:r>
            <w:r w:rsidR="00BB6E05" w:rsidRPr="00E2627C">
              <w:rPr>
                <w:bCs/>
                <w:color w:val="auto"/>
                <w:sz w:val="24"/>
                <w:szCs w:val="24"/>
              </w:rPr>
              <w:t> </w:t>
            </w:r>
            <w:r w:rsidR="003C34B8">
              <w:rPr>
                <w:bCs/>
                <w:color w:val="auto"/>
                <w:sz w:val="24"/>
                <w:szCs w:val="24"/>
              </w:rPr>
              <w:t xml:space="preserve">pantu </w:t>
            </w:r>
            <w:r w:rsidR="00317CC4" w:rsidRPr="00E2627C">
              <w:rPr>
                <w:bCs/>
                <w:color w:val="auto"/>
                <w:sz w:val="24"/>
                <w:szCs w:val="24"/>
              </w:rPr>
              <w:t xml:space="preserve">par </w:t>
            </w:r>
            <w:r w:rsidR="008D6E5B" w:rsidRPr="00E2627C">
              <w:rPr>
                <w:bCs/>
                <w:color w:val="auto"/>
                <w:sz w:val="24"/>
                <w:szCs w:val="24"/>
              </w:rPr>
              <w:t>pakalpojumu sniegšanu ugunsdrošībā un  to kvalitātes kontroli.</w:t>
            </w:r>
          </w:p>
        </w:tc>
      </w:tr>
      <w:tr w:rsidR="00C4715D" w:rsidRPr="00E2627C" w:rsidTr="00C4715D">
        <w:trPr>
          <w:jc w:val="center"/>
        </w:trPr>
        <w:tc>
          <w:tcPr>
            <w:tcW w:w="675" w:type="dxa"/>
          </w:tcPr>
          <w:p w:rsidR="00C4715D" w:rsidRPr="00E2627C" w:rsidRDefault="00C4715D" w:rsidP="00C4715D">
            <w:pPr>
              <w:jc w:val="center"/>
              <w:rPr>
                <w:rFonts w:ascii="Times New Roman" w:hAnsi="Times New Roman"/>
                <w:sz w:val="24"/>
                <w:szCs w:val="24"/>
                <w:lang w:val="lv-LV"/>
              </w:rPr>
            </w:pPr>
            <w:r w:rsidRPr="00E2627C">
              <w:rPr>
                <w:rFonts w:ascii="Times New Roman" w:hAnsi="Times New Roman"/>
                <w:sz w:val="24"/>
                <w:szCs w:val="24"/>
                <w:lang w:val="lv-LV"/>
              </w:rPr>
              <w:lastRenderedPageBreak/>
              <w:t>3.</w:t>
            </w:r>
          </w:p>
        </w:tc>
        <w:tc>
          <w:tcPr>
            <w:tcW w:w="2977" w:type="dxa"/>
          </w:tcPr>
          <w:p w:rsidR="00C4715D" w:rsidRPr="00E2627C" w:rsidRDefault="00C4715D" w:rsidP="00C4715D">
            <w:pPr>
              <w:jc w:val="both"/>
              <w:rPr>
                <w:rFonts w:ascii="Times New Roman" w:hAnsi="Times New Roman"/>
                <w:sz w:val="24"/>
                <w:szCs w:val="24"/>
                <w:lang w:val="lv-LV"/>
              </w:rPr>
            </w:pPr>
            <w:r w:rsidRPr="00E2627C">
              <w:rPr>
                <w:rFonts w:ascii="Times New Roman" w:hAnsi="Times New Roman"/>
                <w:sz w:val="24"/>
                <w:szCs w:val="24"/>
                <w:lang w:val="lv-LV"/>
              </w:rPr>
              <w:t>Projekta izstrādē iesaistītās institūcijas</w:t>
            </w:r>
          </w:p>
        </w:tc>
        <w:tc>
          <w:tcPr>
            <w:tcW w:w="5670" w:type="dxa"/>
          </w:tcPr>
          <w:p w:rsidR="00A41102" w:rsidRPr="00E2627C" w:rsidRDefault="006F10A8" w:rsidP="00D03B8B">
            <w:pPr>
              <w:tabs>
                <w:tab w:val="left" w:pos="455"/>
              </w:tabs>
              <w:jc w:val="both"/>
              <w:rPr>
                <w:rFonts w:ascii="Times New Roman" w:hAnsi="Times New Roman"/>
                <w:sz w:val="24"/>
                <w:szCs w:val="24"/>
                <w:lang w:val="lv-LV"/>
              </w:rPr>
            </w:pPr>
            <w:r w:rsidRPr="00E2627C">
              <w:rPr>
                <w:rFonts w:ascii="Times New Roman" w:hAnsi="Times New Roman"/>
                <w:sz w:val="24"/>
                <w:szCs w:val="24"/>
                <w:lang w:val="lv-LV"/>
              </w:rPr>
              <w:t xml:space="preserve">Iekšlietu ministrija, </w:t>
            </w:r>
            <w:r w:rsidR="00D03B8B" w:rsidRPr="00E2627C">
              <w:rPr>
                <w:rFonts w:ascii="Times New Roman" w:hAnsi="Times New Roman"/>
                <w:sz w:val="24"/>
                <w:szCs w:val="24"/>
                <w:lang w:val="lv-LV"/>
              </w:rPr>
              <w:t>VUGD.</w:t>
            </w:r>
          </w:p>
        </w:tc>
      </w:tr>
      <w:tr w:rsidR="00C4715D" w:rsidRPr="00E2627C" w:rsidTr="00C4715D">
        <w:trPr>
          <w:jc w:val="center"/>
        </w:trPr>
        <w:tc>
          <w:tcPr>
            <w:tcW w:w="675" w:type="dxa"/>
          </w:tcPr>
          <w:p w:rsidR="00C4715D" w:rsidRPr="00E2627C" w:rsidRDefault="00C4715D" w:rsidP="00C4715D">
            <w:pPr>
              <w:jc w:val="center"/>
              <w:rPr>
                <w:rFonts w:ascii="Times New Roman" w:hAnsi="Times New Roman"/>
                <w:sz w:val="24"/>
                <w:szCs w:val="24"/>
                <w:lang w:val="lv-LV"/>
              </w:rPr>
            </w:pPr>
            <w:r w:rsidRPr="00E2627C">
              <w:rPr>
                <w:rFonts w:ascii="Times New Roman" w:hAnsi="Times New Roman"/>
                <w:sz w:val="24"/>
                <w:szCs w:val="24"/>
                <w:lang w:val="lv-LV"/>
              </w:rPr>
              <w:t>4.</w:t>
            </w:r>
          </w:p>
        </w:tc>
        <w:tc>
          <w:tcPr>
            <w:tcW w:w="2977" w:type="dxa"/>
          </w:tcPr>
          <w:p w:rsidR="00C4715D" w:rsidRPr="00E2627C" w:rsidRDefault="00C4715D" w:rsidP="00C4715D">
            <w:pPr>
              <w:rPr>
                <w:rFonts w:ascii="Times New Roman" w:hAnsi="Times New Roman"/>
                <w:sz w:val="24"/>
                <w:szCs w:val="24"/>
                <w:lang w:val="lv-LV"/>
              </w:rPr>
            </w:pPr>
            <w:r w:rsidRPr="00E2627C">
              <w:rPr>
                <w:rFonts w:ascii="Times New Roman" w:hAnsi="Times New Roman"/>
                <w:sz w:val="24"/>
                <w:szCs w:val="24"/>
                <w:lang w:val="lv-LV"/>
              </w:rPr>
              <w:t>Cita informācija</w:t>
            </w:r>
          </w:p>
        </w:tc>
        <w:tc>
          <w:tcPr>
            <w:tcW w:w="5670" w:type="dxa"/>
          </w:tcPr>
          <w:p w:rsidR="00C4715D" w:rsidRPr="00E2627C" w:rsidRDefault="006F10A8">
            <w:pPr>
              <w:rPr>
                <w:rFonts w:ascii="Times New Roman" w:hAnsi="Times New Roman"/>
                <w:sz w:val="24"/>
                <w:szCs w:val="24"/>
                <w:lang w:val="lv-LV"/>
              </w:rPr>
            </w:pPr>
            <w:r w:rsidRPr="00E2627C">
              <w:rPr>
                <w:rFonts w:ascii="Times New Roman" w:hAnsi="Times New Roman"/>
                <w:sz w:val="24"/>
                <w:szCs w:val="24"/>
                <w:lang w:val="lv-LV"/>
              </w:rPr>
              <w:t>Nav</w:t>
            </w:r>
            <w:r w:rsidR="00D56264" w:rsidRPr="00E2627C">
              <w:rPr>
                <w:rFonts w:ascii="Times New Roman" w:hAnsi="Times New Roman"/>
                <w:sz w:val="24"/>
                <w:szCs w:val="24"/>
                <w:lang w:val="lv-LV"/>
              </w:rPr>
              <w:t>.</w:t>
            </w:r>
          </w:p>
        </w:tc>
      </w:tr>
    </w:tbl>
    <w:p w:rsidR="00C4715D" w:rsidRPr="00E2627C" w:rsidRDefault="00C4715D" w:rsidP="00FF768A">
      <w:pPr>
        <w:spacing w:after="0" w:line="240" w:lineRule="auto"/>
        <w:rPr>
          <w:rFonts w:ascii="Times New Roman" w:hAnsi="Times New Roman"/>
          <w:sz w:val="24"/>
          <w:szCs w:val="24"/>
          <w:lang w:val="lv-LV"/>
        </w:rPr>
      </w:pPr>
    </w:p>
    <w:tbl>
      <w:tblPr>
        <w:tblStyle w:val="Reatabula"/>
        <w:tblW w:w="9322" w:type="dxa"/>
        <w:tblLook w:val="04A0" w:firstRow="1" w:lastRow="0" w:firstColumn="1" w:lastColumn="0" w:noHBand="0" w:noVBand="1"/>
      </w:tblPr>
      <w:tblGrid>
        <w:gridCol w:w="675"/>
        <w:gridCol w:w="2944"/>
        <w:gridCol w:w="5703"/>
      </w:tblGrid>
      <w:tr w:rsidR="00C4715D" w:rsidRPr="00E2627C" w:rsidTr="006B21BD">
        <w:tc>
          <w:tcPr>
            <w:tcW w:w="9322" w:type="dxa"/>
            <w:gridSpan w:val="3"/>
          </w:tcPr>
          <w:p w:rsidR="00C4715D" w:rsidRPr="00E2627C" w:rsidRDefault="00C4715D" w:rsidP="00C4715D">
            <w:pPr>
              <w:jc w:val="center"/>
              <w:rPr>
                <w:rFonts w:ascii="Times New Roman" w:hAnsi="Times New Roman"/>
                <w:sz w:val="24"/>
                <w:szCs w:val="24"/>
                <w:lang w:val="lv-LV"/>
              </w:rPr>
            </w:pPr>
            <w:r w:rsidRPr="00E2627C">
              <w:rPr>
                <w:rFonts w:ascii="Times New Roman" w:hAnsi="Times New Roman"/>
                <w:b/>
                <w:sz w:val="24"/>
                <w:szCs w:val="24"/>
                <w:lang w:val="lv-LV"/>
              </w:rPr>
              <w:t>II. Tiesību akta projekta ietekme uz sabiedrību, tautsaimniecības attīstību un administratīvo slogu</w:t>
            </w:r>
          </w:p>
        </w:tc>
      </w:tr>
      <w:tr w:rsidR="00C4715D" w:rsidRPr="00E2627C" w:rsidTr="006B21BD">
        <w:tc>
          <w:tcPr>
            <w:tcW w:w="675" w:type="dxa"/>
          </w:tcPr>
          <w:p w:rsidR="00C4715D" w:rsidRPr="00E2627C" w:rsidRDefault="00C4715D" w:rsidP="00C4715D">
            <w:pPr>
              <w:jc w:val="center"/>
              <w:rPr>
                <w:rFonts w:ascii="Times New Roman" w:hAnsi="Times New Roman"/>
                <w:sz w:val="24"/>
                <w:szCs w:val="24"/>
                <w:lang w:val="lv-LV"/>
              </w:rPr>
            </w:pPr>
            <w:r w:rsidRPr="00E2627C">
              <w:rPr>
                <w:rFonts w:ascii="Times New Roman" w:hAnsi="Times New Roman"/>
                <w:sz w:val="24"/>
                <w:szCs w:val="24"/>
                <w:lang w:val="lv-LV"/>
              </w:rPr>
              <w:t>1.</w:t>
            </w:r>
          </w:p>
        </w:tc>
        <w:tc>
          <w:tcPr>
            <w:tcW w:w="2944" w:type="dxa"/>
          </w:tcPr>
          <w:p w:rsidR="00C4715D" w:rsidRPr="00E2627C" w:rsidRDefault="0038636D" w:rsidP="00C4715D">
            <w:pPr>
              <w:jc w:val="both"/>
              <w:rPr>
                <w:rFonts w:ascii="Times New Roman" w:hAnsi="Times New Roman"/>
                <w:sz w:val="24"/>
                <w:szCs w:val="24"/>
                <w:lang w:val="lv-LV"/>
              </w:rPr>
            </w:pPr>
            <w:r w:rsidRPr="00E2627C">
              <w:rPr>
                <w:rFonts w:ascii="Times New Roman" w:hAnsi="Times New Roman"/>
                <w:sz w:val="24"/>
                <w:szCs w:val="24"/>
                <w:lang w:val="lv-LV"/>
              </w:rPr>
              <w:t xml:space="preserve">Sabiedrības </w:t>
            </w:r>
            <w:r w:rsidR="00C4715D" w:rsidRPr="00E2627C">
              <w:rPr>
                <w:rFonts w:ascii="Times New Roman" w:hAnsi="Times New Roman"/>
                <w:sz w:val="24"/>
                <w:szCs w:val="24"/>
                <w:lang w:val="lv-LV"/>
              </w:rPr>
              <w:t>mērķgrupas, kuras tiesiskais regulējums ietekmē vai varētu ietekmēt</w:t>
            </w:r>
          </w:p>
        </w:tc>
        <w:tc>
          <w:tcPr>
            <w:tcW w:w="5703" w:type="dxa"/>
          </w:tcPr>
          <w:p w:rsidR="00DF1E59" w:rsidRPr="00E2627C" w:rsidRDefault="005300ED" w:rsidP="00B44126">
            <w:pPr>
              <w:tabs>
                <w:tab w:val="left" w:pos="336"/>
              </w:tabs>
              <w:jc w:val="both"/>
              <w:rPr>
                <w:rFonts w:ascii="Times New Roman" w:hAnsi="Times New Roman"/>
                <w:sz w:val="24"/>
                <w:szCs w:val="24"/>
                <w:lang w:val="lv-LV"/>
              </w:rPr>
            </w:pPr>
            <w:r w:rsidRPr="00E2627C">
              <w:rPr>
                <w:rFonts w:ascii="Times New Roman" w:hAnsi="Times New Roman"/>
                <w:sz w:val="24"/>
                <w:szCs w:val="24"/>
                <w:lang w:val="lv-LV"/>
              </w:rPr>
              <w:tab/>
            </w:r>
            <w:r w:rsidR="00E57B14" w:rsidRPr="00E2627C">
              <w:rPr>
                <w:rFonts w:ascii="Times New Roman" w:hAnsi="Times New Roman"/>
                <w:sz w:val="24"/>
                <w:szCs w:val="24"/>
                <w:lang w:val="lv-LV"/>
              </w:rPr>
              <w:t xml:space="preserve">Likumprojekta tiesiskais regulējums ietekmēs visas fiziskās personas, kuras </w:t>
            </w:r>
            <w:r w:rsidR="00B729B8" w:rsidRPr="00E2627C">
              <w:rPr>
                <w:rFonts w:ascii="Times New Roman" w:hAnsi="Times New Roman"/>
                <w:sz w:val="24"/>
                <w:szCs w:val="24"/>
                <w:lang w:val="lv-LV"/>
              </w:rPr>
              <w:t xml:space="preserve">veic </w:t>
            </w:r>
            <w:r w:rsidR="00E57B14" w:rsidRPr="00E2627C">
              <w:rPr>
                <w:rFonts w:ascii="Times New Roman" w:hAnsi="Times New Roman"/>
                <w:sz w:val="24"/>
                <w:szCs w:val="24"/>
                <w:lang w:val="lv-LV"/>
              </w:rPr>
              <w:t xml:space="preserve">par ugunsdrošību </w:t>
            </w:r>
            <w:r w:rsidR="002B7E45" w:rsidRPr="00E2627C">
              <w:rPr>
                <w:rFonts w:ascii="Times New Roman" w:hAnsi="Times New Roman"/>
                <w:sz w:val="24"/>
                <w:szCs w:val="24"/>
                <w:lang w:val="lv-LV"/>
              </w:rPr>
              <w:t xml:space="preserve">objektā atbildīgās personas </w:t>
            </w:r>
            <w:r w:rsidR="00E57B14" w:rsidRPr="00E2627C">
              <w:rPr>
                <w:rFonts w:ascii="Times New Roman" w:hAnsi="Times New Roman"/>
                <w:sz w:val="24"/>
                <w:szCs w:val="24"/>
                <w:lang w:val="lv-LV"/>
              </w:rPr>
              <w:t>pien</w:t>
            </w:r>
            <w:r w:rsidR="00B729B8" w:rsidRPr="00E2627C">
              <w:rPr>
                <w:rFonts w:ascii="Times New Roman" w:hAnsi="Times New Roman"/>
                <w:sz w:val="24"/>
                <w:szCs w:val="24"/>
                <w:lang w:val="lv-LV"/>
              </w:rPr>
              <w:t xml:space="preserve">ākumus bez </w:t>
            </w:r>
            <w:r w:rsidR="00E57B14" w:rsidRPr="00E2627C">
              <w:rPr>
                <w:rFonts w:ascii="Times New Roman" w:hAnsi="Times New Roman"/>
                <w:sz w:val="24"/>
                <w:szCs w:val="24"/>
                <w:lang w:val="lv-LV"/>
              </w:rPr>
              <w:t>profesionālās izglīt</w:t>
            </w:r>
            <w:r w:rsidR="00B729B8" w:rsidRPr="00E2627C">
              <w:rPr>
                <w:rFonts w:ascii="Times New Roman" w:hAnsi="Times New Roman"/>
                <w:sz w:val="24"/>
                <w:szCs w:val="24"/>
                <w:lang w:val="lv-LV"/>
              </w:rPr>
              <w:t>ības vai apmācības ugunsdrošības jomā.</w:t>
            </w:r>
            <w:r w:rsidR="00A41102" w:rsidRPr="00E2627C">
              <w:rPr>
                <w:rFonts w:ascii="Times New Roman" w:hAnsi="Times New Roman"/>
                <w:sz w:val="24"/>
                <w:szCs w:val="24"/>
                <w:lang w:val="lv-LV"/>
              </w:rPr>
              <w:t xml:space="preserve"> </w:t>
            </w:r>
            <w:r w:rsidR="00567FA6" w:rsidRPr="00E2627C">
              <w:rPr>
                <w:rFonts w:ascii="Times New Roman" w:hAnsi="Times New Roman"/>
                <w:sz w:val="24"/>
                <w:szCs w:val="24"/>
                <w:lang w:val="lv-LV"/>
              </w:rPr>
              <w:t>L</w:t>
            </w:r>
            <w:r w:rsidR="009C4835" w:rsidRPr="00E2627C">
              <w:rPr>
                <w:rFonts w:ascii="Times New Roman" w:hAnsi="Times New Roman"/>
                <w:sz w:val="24"/>
                <w:szCs w:val="24"/>
                <w:lang w:val="lv-LV"/>
              </w:rPr>
              <w:t>ai ieg</w:t>
            </w:r>
            <w:r w:rsidR="00567FA6" w:rsidRPr="00E2627C">
              <w:rPr>
                <w:rFonts w:ascii="Times New Roman" w:hAnsi="Times New Roman"/>
                <w:sz w:val="24"/>
                <w:szCs w:val="24"/>
                <w:lang w:val="lv-LV"/>
              </w:rPr>
              <w:t xml:space="preserve">ūtu </w:t>
            </w:r>
            <w:r w:rsidR="009C4835" w:rsidRPr="00E2627C">
              <w:rPr>
                <w:rFonts w:ascii="Times New Roman" w:hAnsi="Times New Roman"/>
                <w:sz w:val="24"/>
                <w:szCs w:val="24"/>
                <w:lang w:val="lv-LV"/>
              </w:rPr>
              <w:t xml:space="preserve">apliecību par 20 vai 160 stundu programmas apguvi, </w:t>
            </w:r>
            <w:r w:rsidR="00567FA6" w:rsidRPr="00E2627C">
              <w:rPr>
                <w:rFonts w:ascii="Times New Roman" w:hAnsi="Times New Roman"/>
                <w:sz w:val="24"/>
                <w:szCs w:val="24"/>
                <w:lang w:val="lv-LV"/>
              </w:rPr>
              <w:t xml:space="preserve">fiziskai personai </w:t>
            </w:r>
            <w:r w:rsidR="009C4835" w:rsidRPr="00E2627C">
              <w:rPr>
                <w:rFonts w:ascii="Times New Roman" w:hAnsi="Times New Roman"/>
                <w:sz w:val="24"/>
                <w:szCs w:val="24"/>
                <w:lang w:val="lv-LV"/>
              </w:rPr>
              <w:t>būs jākārto noslēguma pārbaudījums</w:t>
            </w:r>
            <w:r w:rsidR="00E833FA" w:rsidRPr="00E2627C">
              <w:rPr>
                <w:rFonts w:ascii="Times New Roman" w:hAnsi="Times New Roman"/>
                <w:sz w:val="24"/>
                <w:szCs w:val="24"/>
                <w:lang w:val="lv-LV"/>
              </w:rPr>
              <w:t xml:space="preserve"> </w:t>
            </w:r>
            <w:r w:rsidR="00567FA6" w:rsidRPr="00E2627C">
              <w:rPr>
                <w:rFonts w:ascii="Times New Roman" w:hAnsi="Times New Roman"/>
                <w:sz w:val="24"/>
                <w:szCs w:val="24"/>
                <w:lang w:val="lv-LV"/>
              </w:rPr>
              <w:t xml:space="preserve">Koledžā. Par noslēguma pārbaudījuma kārtošanu būs paredzēta </w:t>
            </w:r>
            <w:r w:rsidR="009C4835" w:rsidRPr="00E2627C">
              <w:rPr>
                <w:rFonts w:ascii="Times New Roman" w:hAnsi="Times New Roman"/>
                <w:sz w:val="24"/>
                <w:szCs w:val="24"/>
                <w:lang w:val="lv-LV"/>
              </w:rPr>
              <w:t>valsts nodeva.</w:t>
            </w:r>
          </w:p>
          <w:p w:rsidR="00757933" w:rsidRPr="00E2627C" w:rsidRDefault="00DF1E59" w:rsidP="00B44126">
            <w:pPr>
              <w:tabs>
                <w:tab w:val="left" w:pos="336"/>
              </w:tabs>
              <w:jc w:val="both"/>
              <w:rPr>
                <w:rFonts w:ascii="Times New Roman" w:hAnsi="Times New Roman"/>
                <w:sz w:val="24"/>
                <w:szCs w:val="24"/>
                <w:lang w:val="lv-LV"/>
              </w:rPr>
            </w:pPr>
            <w:r w:rsidRPr="00E2627C">
              <w:rPr>
                <w:rFonts w:ascii="Times New Roman" w:hAnsi="Times New Roman"/>
                <w:sz w:val="24"/>
                <w:szCs w:val="24"/>
                <w:lang w:val="lv-LV"/>
              </w:rPr>
              <w:tab/>
            </w:r>
            <w:r w:rsidR="006B1A26" w:rsidRPr="00E2627C">
              <w:rPr>
                <w:rFonts w:ascii="Times New Roman" w:hAnsi="Times New Roman"/>
                <w:sz w:val="24"/>
                <w:szCs w:val="24"/>
                <w:lang w:val="lv-LV"/>
              </w:rPr>
              <w:t>L</w:t>
            </w:r>
            <w:r w:rsidRPr="00E2627C">
              <w:rPr>
                <w:rFonts w:ascii="Times New Roman" w:hAnsi="Times New Roman"/>
                <w:sz w:val="24"/>
                <w:szCs w:val="24"/>
                <w:lang w:val="lv-LV"/>
              </w:rPr>
              <w:t xml:space="preserve">ikumprojekts ietekmēs tās izglītības iestādes, kuras īsteno apmācību ugunsdrošības jomā atbilstoši </w:t>
            </w:r>
            <w:r w:rsidR="00757933" w:rsidRPr="00E2627C">
              <w:rPr>
                <w:rFonts w:ascii="Times New Roman" w:hAnsi="Times New Roman"/>
                <w:sz w:val="24"/>
                <w:szCs w:val="24"/>
                <w:lang w:val="lv-LV"/>
              </w:rPr>
              <w:t xml:space="preserve">20 un 160 stundu mācību </w:t>
            </w:r>
            <w:r w:rsidR="0064086D" w:rsidRPr="00E2627C">
              <w:rPr>
                <w:rFonts w:ascii="Times New Roman" w:hAnsi="Times New Roman"/>
                <w:sz w:val="24"/>
                <w:szCs w:val="24"/>
                <w:lang w:val="lv-LV"/>
              </w:rPr>
              <w:t>programmām. Izglītības iestādēm izglītojamie būs jāsagatavo noslēguma pārbaudījuma kārtošanai</w:t>
            </w:r>
            <w:r w:rsidR="00F53040" w:rsidRPr="00E2627C">
              <w:rPr>
                <w:rFonts w:ascii="Times New Roman" w:hAnsi="Times New Roman"/>
                <w:sz w:val="24"/>
                <w:szCs w:val="24"/>
                <w:lang w:val="lv-LV"/>
              </w:rPr>
              <w:t xml:space="preserve"> </w:t>
            </w:r>
            <w:r w:rsidR="00F5725D">
              <w:rPr>
                <w:rFonts w:ascii="Times New Roman" w:hAnsi="Times New Roman"/>
                <w:sz w:val="24"/>
                <w:szCs w:val="24"/>
                <w:lang w:val="lv-LV"/>
              </w:rPr>
              <w:t xml:space="preserve">VUGD </w:t>
            </w:r>
            <w:r w:rsidR="00F53040" w:rsidRPr="00E2627C">
              <w:rPr>
                <w:rFonts w:ascii="Times New Roman" w:hAnsi="Times New Roman"/>
                <w:sz w:val="24"/>
                <w:szCs w:val="24"/>
                <w:lang w:val="lv-LV"/>
              </w:rPr>
              <w:t>Koledžā un tās vairs neizsnieg</w:t>
            </w:r>
            <w:r w:rsidR="0064086D" w:rsidRPr="00E2627C">
              <w:rPr>
                <w:rFonts w:ascii="Times New Roman" w:hAnsi="Times New Roman"/>
                <w:sz w:val="24"/>
                <w:szCs w:val="24"/>
                <w:lang w:val="lv-LV"/>
              </w:rPr>
              <w:t xml:space="preserve">s </w:t>
            </w:r>
            <w:r w:rsidR="00F5725D">
              <w:rPr>
                <w:rFonts w:ascii="Times New Roman" w:hAnsi="Times New Roman"/>
                <w:sz w:val="24"/>
                <w:szCs w:val="24"/>
                <w:lang w:val="lv-LV"/>
              </w:rPr>
              <w:t>izglītību apliecinošos dokumentus</w:t>
            </w:r>
            <w:r w:rsidR="0064086D" w:rsidRPr="00E2627C">
              <w:rPr>
                <w:rFonts w:ascii="Times New Roman" w:hAnsi="Times New Roman"/>
                <w:sz w:val="24"/>
                <w:szCs w:val="24"/>
                <w:lang w:val="lv-LV"/>
              </w:rPr>
              <w:t xml:space="preserve"> par konkrētās programmas apguvi.</w:t>
            </w:r>
          </w:p>
          <w:p w:rsidR="002B7E45" w:rsidRPr="00E2627C" w:rsidRDefault="005300ED" w:rsidP="002B7E45">
            <w:pPr>
              <w:pStyle w:val="tv2131"/>
              <w:spacing w:line="240" w:lineRule="auto"/>
              <w:ind w:firstLine="329"/>
              <w:jc w:val="both"/>
              <w:rPr>
                <w:color w:val="auto"/>
                <w:sz w:val="24"/>
                <w:szCs w:val="24"/>
              </w:rPr>
            </w:pPr>
            <w:r w:rsidRPr="00E2627C">
              <w:rPr>
                <w:color w:val="auto"/>
                <w:sz w:val="24"/>
                <w:szCs w:val="24"/>
              </w:rPr>
              <w:t xml:space="preserve">Saskaņā ar Izglītības un zinātnes ministrijas Izglītības kvalitātes </w:t>
            </w:r>
            <w:r w:rsidR="000964E5" w:rsidRPr="00E2627C">
              <w:rPr>
                <w:color w:val="auto"/>
                <w:sz w:val="24"/>
                <w:szCs w:val="24"/>
              </w:rPr>
              <w:t xml:space="preserve">valsts </w:t>
            </w:r>
            <w:r w:rsidRPr="00E2627C">
              <w:rPr>
                <w:color w:val="auto"/>
                <w:sz w:val="24"/>
                <w:szCs w:val="24"/>
              </w:rPr>
              <w:t xml:space="preserve">dienesta sniegto informāciju (vēstule Nr.1-19.2/537, 0910.2014.), </w:t>
            </w:r>
            <w:r w:rsidR="00B96769" w:rsidRPr="00E2627C">
              <w:rPr>
                <w:color w:val="auto"/>
                <w:sz w:val="24"/>
                <w:szCs w:val="24"/>
              </w:rPr>
              <w:t xml:space="preserve">laika periodā no 2004.gada līdz </w:t>
            </w:r>
            <w:r w:rsidRPr="00E2627C">
              <w:rPr>
                <w:color w:val="auto"/>
                <w:sz w:val="24"/>
                <w:szCs w:val="24"/>
              </w:rPr>
              <w:t>2014.gadam, profesionālās pilnveides izglītības programmu ugunsdrošības jomā ar programmas</w:t>
            </w:r>
            <w:r w:rsidR="002B7E45" w:rsidRPr="00E2627C">
              <w:rPr>
                <w:color w:val="auto"/>
                <w:sz w:val="24"/>
                <w:szCs w:val="24"/>
              </w:rPr>
              <w:t xml:space="preserve"> klasifikācijas kodu 20P 861 </w:t>
            </w:r>
            <w:r w:rsidRPr="00E2627C">
              <w:rPr>
                <w:color w:val="auto"/>
                <w:sz w:val="24"/>
                <w:szCs w:val="24"/>
              </w:rPr>
              <w:t xml:space="preserve">06, ir </w:t>
            </w:r>
            <w:r w:rsidRPr="00E2627C">
              <w:rPr>
                <w:color w:val="auto"/>
                <w:sz w:val="24"/>
                <w:szCs w:val="24"/>
              </w:rPr>
              <w:lastRenderedPageBreak/>
              <w:t>apguvu</w:t>
            </w:r>
            <w:r w:rsidR="00DF1E59" w:rsidRPr="00E2627C">
              <w:rPr>
                <w:color w:val="auto"/>
                <w:sz w:val="24"/>
                <w:szCs w:val="24"/>
              </w:rPr>
              <w:t>šas 6</w:t>
            </w:r>
            <w:r w:rsidR="00A255B1" w:rsidRPr="00E2627C">
              <w:rPr>
                <w:color w:val="auto"/>
                <w:sz w:val="24"/>
                <w:szCs w:val="24"/>
              </w:rPr>
              <w:t>0</w:t>
            </w:r>
            <w:r w:rsidR="00DF1E59" w:rsidRPr="00E2627C">
              <w:rPr>
                <w:color w:val="auto"/>
                <w:sz w:val="24"/>
                <w:szCs w:val="24"/>
              </w:rPr>
              <w:t>66 personas un 35 izglītības iestādēm ir izsniegtas licences profesionālās pilnveides izglītības programmas ugunsdrošības jomā  īstenošanai.</w:t>
            </w:r>
            <w:r w:rsidR="002B7E45" w:rsidRPr="00E2627C">
              <w:rPr>
                <w:color w:val="auto"/>
                <w:sz w:val="24"/>
                <w:szCs w:val="24"/>
              </w:rPr>
              <w:t xml:space="preserve"> </w:t>
            </w:r>
          </w:p>
          <w:p w:rsidR="005F62BD" w:rsidRPr="00E2627C" w:rsidRDefault="006B1A26" w:rsidP="00757933">
            <w:pPr>
              <w:tabs>
                <w:tab w:val="left" w:pos="336"/>
              </w:tabs>
              <w:jc w:val="both"/>
              <w:rPr>
                <w:rFonts w:ascii="Times New Roman" w:hAnsi="Times New Roman"/>
                <w:sz w:val="24"/>
                <w:szCs w:val="24"/>
                <w:lang w:val="lv-LV"/>
              </w:rPr>
            </w:pPr>
            <w:r w:rsidRPr="00E2627C">
              <w:rPr>
                <w:rFonts w:ascii="Times New Roman" w:hAnsi="Times New Roman"/>
                <w:sz w:val="24"/>
                <w:szCs w:val="24"/>
                <w:lang w:val="lv-LV"/>
              </w:rPr>
              <w:tab/>
            </w:r>
            <w:r w:rsidR="009A42ED" w:rsidRPr="00E2627C">
              <w:rPr>
                <w:rFonts w:ascii="Times New Roman" w:hAnsi="Times New Roman"/>
                <w:sz w:val="24"/>
                <w:szCs w:val="24"/>
                <w:lang w:val="lv-LV"/>
              </w:rPr>
              <w:t>L</w:t>
            </w:r>
            <w:r w:rsidRPr="00E2627C">
              <w:rPr>
                <w:rFonts w:ascii="Times New Roman" w:hAnsi="Times New Roman"/>
                <w:sz w:val="24"/>
                <w:szCs w:val="24"/>
                <w:lang w:val="lv-LV"/>
              </w:rPr>
              <w:t xml:space="preserve">ikumprojekta tiesiskais regulējums ietekmēs </w:t>
            </w:r>
            <w:r w:rsidR="00F5725D">
              <w:rPr>
                <w:rFonts w:ascii="Times New Roman" w:hAnsi="Times New Roman"/>
                <w:sz w:val="24"/>
                <w:szCs w:val="24"/>
                <w:lang w:val="lv-LV"/>
              </w:rPr>
              <w:t xml:space="preserve">VUGD </w:t>
            </w:r>
            <w:r w:rsidR="00752D5F" w:rsidRPr="00E2627C">
              <w:rPr>
                <w:rFonts w:ascii="Times New Roman" w:hAnsi="Times New Roman"/>
                <w:sz w:val="24"/>
                <w:szCs w:val="24"/>
                <w:lang w:val="lv-LV"/>
              </w:rPr>
              <w:t>Koledžas</w:t>
            </w:r>
            <w:r w:rsidRPr="00E2627C">
              <w:rPr>
                <w:rFonts w:ascii="Times New Roman" w:hAnsi="Times New Roman"/>
                <w:sz w:val="24"/>
                <w:szCs w:val="24"/>
                <w:lang w:val="lv-LV"/>
              </w:rPr>
              <w:t xml:space="preserve"> nodarbinātos, kuriem būs jānodrošina </w:t>
            </w:r>
            <w:r w:rsidR="00757933" w:rsidRPr="00E2627C">
              <w:rPr>
                <w:rFonts w:ascii="Times New Roman" w:hAnsi="Times New Roman"/>
                <w:sz w:val="24"/>
                <w:szCs w:val="24"/>
                <w:lang w:val="lv-LV"/>
              </w:rPr>
              <w:t>20 un 160 stundu programmu</w:t>
            </w:r>
            <w:r w:rsidR="00026B85" w:rsidRPr="00E2627C">
              <w:rPr>
                <w:rFonts w:ascii="Times New Roman" w:hAnsi="Times New Roman"/>
                <w:sz w:val="24"/>
                <w:szCs w:val="24"/>
                <w:lang w:val="lv-LV"/>
              </w:rPr>
              <w:t xml:space="preserve"> </w:t>
            </w:r>
            <w:r w:rsidR="008E357F" w:rsidRPr="00E2627C">
              <w:rPr>
                <w:rFonts w:ascii="Times New Roman" w:hAnsi="Times New Roman"/>
                <w:sz w:val="24"/>
                <w:szCs w:val="24"/>
                <w:lang w:val="lv-LV"/>
              </w:rPr>
              <w:t xml:space="preserve">noslēguma </w:t>
            </w:r>
            <w:r w:rsidRPr="00E2627C">
              <w:rPr>
                <w:rFonts w:ascii="Times New Roman" w:hAnsi="Times New Roman"/>
                <w:sz w:val="24"/>
                <w:szCs w:val="24"/>
                <w:lang w:val="lv-LV"/>
              </w:rPr>
              <w:t>pārbaud</w:t>
            </w:r>
            <w:r w:rsidR="00757933" w:rsidRPr="00E2627C">
              <w:rPr>
                <w:rFonts w:ascii="Times New Roman" w:hAnsi="Times New Roman"/>
                <w:sz w:val="24"/>
                <w:szCs w:val="24"/>
                <w:lang w:val="lv-LV"/>
              </w:rPr>
              <w:t xml:space="preserve">ījumu </w:t>
            </w:r>
            <w:r w:rsidR="008D6E5B" w:rsidRPr="00E2627C">
              <w:rPr>
                <w:rFonts w:ascii="Times New Roman" w:hAnsi="Times New Roman"/>
                <w:sz w:val="24"/>
                <w:szCs w:val="24"/>
                <w:lang w:val="lv-LV"/>
              </w:rPr>
              <w:t xml:space="preserve">jautājumu bāzes izstrādāšana </w:t>
            </w:r>
            <w:r w:rsidR="008D6E5B" w:rsidRPr="00553AC1">
              <w:rPr>
                <w:rFonts w:ascii="Times New Roman" w:hAnsi="Times New Roman"/>
                <w:sz w:val="24"/>
                <w:szCs w:val="24"/>
                <w:lang w:val="lv-LV"/>
              </w:rPr>
              <w:t>(~ 500 jautājumi),</w:t>
            </w:r>
            <w:r w:rsidR="008D6E5B" w:rsidRPr="00E2627C">
              <w:rPr>
                <w:rFonts w:ascii="Times New Roman" w:hAnsi="Times New Roman"/>
                <w:sz w:val="24"/>
                <w:szCs w:val="24"/>
                <w:lang w:val="lv-LV"/>
              </w:rPr>
              <w:t xml:space="preserve"> manuāla jautājumu savadīšana apmācības programmā „Moodle”, </w:t>
            </w:r>
            <w:r w:rsidR="00757933" w:rsidRPr="00E2627C">
              <w:rPr>
                <w:rFonts w:ascii="Times New Roman" w:hAnsi="Times New Roman"/>
                <w:sz w:val="24"/>
                <w:szCs w:val="24"/>
                <w:lang w:val="lv-LV"/>
              </w:rPr>
              <w:t xml:space="preserve">jāuzrauga noslēguma pārbaudījuma kārtošanas process un </w:t>
            </w:r>
            <w:r w:rsidR="005F62BD" w:rsidRPr="00E2627C">
              <w:rPr>
                <w:rFonts w:ascii="Times New Roman" w:hAnsi="Times New Roman"/>
                <w:sz w:val="24"/>
                <w:szCs w:val="24"/>
                <w:lang w:val="lv-LV"/>
              </w:rPr>
              <w:t xml:space="preserve">jāizsniedz </w:t>
            </w:r>
            <w:r w:rsidR="00757933" w:rsidRPr="00E2627C">
              <w:rPr>
                <w:rFonts w:ascii="Times New Roman" w:hAnsi="Times New Roman"/>
                <w:sz w:val="24"/>
                <w:szCs w:val="24"/>
                <w:lang w:val="lv-LV"/>
              </w:rPr>
              <w:t xml:space="preserve">attiecīgā </w:t>
            </w:r>
            <w:r w:rsidR="005F62BD" w:rsidRPr="00E2627C">
              <w:rPr>
                <w:rFonts w:ascii="Times New Roman" w:hAnsi="Times New Roman"/>
                <w:sz w:val="24"/>
                <w:szCs w:val="24"/>
                <w:lang w:val="lv-LV"/>
              </w:rPr>
              <w:t xml:space="preserve">apliecība par </w:t>
            </w:r>
            <w:r w:rsidR="00A41102" w:rsidRPr="00E2627C">
              <w:rPr>
                <w:rFonts w:ascii="Times New Roman" w:hAnsi="Times New Roman"/>
                <w:sz w:val="24"/>
                <w:szCs w:val="24"/>
                <w:lang w:val="lv-LV"/>
              </w:rPr>
              <w:t>programmu</w:t>
            </w:r>
            <w:r w:rsidR="005F62BD" w:rsidRPr="00E2627C">
              <w:rPr>
                <w:rFonts w:ascii="Times New Roman" w:hAnsi="Times New Roman"/>
                <w:sz w:val="24"/>
                <w:szCs w:val="24"/>
                <w:lang w:val="lv-LV"/>
              </w:rPr>
              <w:t xml:space="preserve"> apguvi.</w:t>
            </w:r>
            <w:r w:rsidR="00757933" w:rsidRPr="00E2627C">
              <w:rPr>
                <w:rFonts w:ascii="Times New Roman" w:hAnsi="Times New Roman"/>
                <w:sz w:val="24"/>
                <w:szCs w:val="24"/>
                <w:lang w:val="lv-LV"/>
              </w:rPr>
              <w:t xml:space="preserve"> </w:t>
            </w:r>
          </w:p>
          <w:p w:rsidR="004E42C3" w:rsidRDefault="009A42ED" w:rsidP="003C74A6">
            <w:pPr>
              <w:tabs>
                <w:tab w:val="left" w:pos="336"/>
              </w:tabs>
              <w:jc w:val="both"/>
              <w:rPr>
                <w:rFonts w:ascii="Times New Roman" w:hAnsi="Times New Roman"/>
                <w:sz w:val="24"/>
                <w:szCs w:val="24"/>
                <w:lang w:val="lv-LV"/>
              </w:rPr>
            </w:pPr>
            <w:r w:rsidRPr="00E2627C">
              <w:rPr>
                <w:rFonts w:ascii="Times New Roman" w:hAnsi="Times New Roman"/>
                <w:sz w:val="24"/>
                <w:szCs w:val="24"/>
                <w:lang w:val="lv-LV"/>
              </w:rPr>
              <w:tab/>
              <w:t xml:space="preserve">Tāpat likumprojekta tiesiskais regulējums ietekmēs tās personas, kuras sniedz </w:t>
            </w:r>
            <w:r w:rsidR="001E3F36" w:rsidRPr="00E2627C">
              <w:rPr>
                <w:rFonts w:ascii="Times New Roman" w:hAnsi="Times New Roman"/>
                <w:sz w:val="24"/>
                <w:szCs w:val="24"/>
                <w:lang w:val="lv-LV"/>
              </w:rPr>
              <w:t xml:space="preserve">vai plāno sniegt </w:t>
            </w:r>
            <w:r w:rsidRPr="00E2627C">
              <w:rPr>
                <w:rFonts w:ascii="Times New Roman" w:hAnsi="Times New Roman"/>
                <w:sz w:val="24"/>
                <w:szCs w:val="24"/>
                <w:lang w:val="lv-LV"/>
              </w:rPr>
              <w:t>p</w:t>
            </w:r>
            <w:r w:rsidR="001E3F36" w:rsidRPr="00E2627C">
              <w:rPr>
                <w:rFonts w:ascii="Times New Roman" w:hAnsi="Times New Roman"/>
                <w:sz w:val="24"/>
                <w:szCs w:val="24"/>
                <w:lang w:val="lv-LV"/>
              </w:rPr>
              <w:t xml:space="preserve">akalpojumus ugunsdrošības jomā. </w:t>
            </w:r>
          </w:p>
          <w:p w:rsidR="001E3F36" w:rsidRPr="00E2627C" w:rsidRDefault="004E42C3" w:rsidP="003C74A6">
            <w:pPr>
              <w:tabs>
                <w:tab w:val="left" w:pos="336"/>
              </w:tabs>
              <w:jc w:val="both"/>
              <w:rPr>
                <w:rFonts w:ascii="Times New Roman" w:hAnsi="Times New Roman"/>
                <w:sz w:val="24"/>
                <w:szCs w:val="24"/>
                <w:lang w:val="lv-LV"/>
              </w:rPr>
            </w:pPr>
            <w:r>
              <w:rPr>
                <w:rFonts w:ascii="Times New Roman" w:hAnsi="Times New Roman"/>
                <w:sz w:val="24"/>
                <w:szCs w:val="24"/>
                <w:lang w:val="lv-LV"/>
              </w:rPr>
              <w:tab/>
            </w:r>
            <w:r w:rsidR="001E3F36" w:rsidRPr="00E2627C">
              <w:rPr>
                <w:rFonts w:ascii="Times New Roman" w:hAnsi="Times New Roman"/>
                <w:sz w:val="24"/>
                <w:szCs w:val="24"/>
                <w:lang w:val="lv-LV"/>
              </w:rPr>
              <w:t xml:space="preserve">Papildus likumprojekts ietekmēs sertifikācijas institūcijas, kuras </w:t>
            </w:r>
            <w:r w:rsidR="001E3F36" w:rsidRPr="00E2627C">
              <w:rPr>
                <w:rFonts w:ascii="Times New Roman" w:hAnsi="Times New Roman"/>
                <w:color w:val="000000"/>
                <w:sz w:val="24"/>
                <w:szCs w:val="24"/>
                <w:lang w:val="lv-LV"/>
              </w:rPr>
              <w:t>tiesīgas sertificēt ugunsdrošības pakalpojumu sniedzēju vai tā tehniskos līdzekļus (ja tas nepieciešams, piemēram, ugunsdzēsības aparātu apkopes punktus) un izglītības iestādes, kuras apmāca personas veikt ugunsdrošības ierīču apkopi un remontu</w:t>
            </w:r>
            <w:r w:rsidR="003C74A6" w:rsidRPr="00E2627C">
              <w:rPr>
                <w:rFonts w:ascii="Times New Roman" w:hAnsi="Times New Roman"/>
                <w:color w:val="000000"/>
                <w:sz w:val="24"/>
                <w:szCs w:val="24"/>
                <w:lang w:val="lv-LV"/>
              </w:rPr>
              <w:t xml:space="preserve"> </w:t>
            </w:r>
            <w:r w:rsidR="001E3F36" w:rsidRPr="00E2627C">
              <w:rPr>
                <w:rFonts w:ascii="Times New Roman" w:hAnsi="Times New Roman"/>
                <w:color w:val="000000"/>
                <w:sz w:val="24"/>
                <w:szCs w:val="24"/>
                <w:lang w:val="lv-LV"/>
              </w:rPr>
              <w:t xml:space="preserve">atbilstoši licencētai mācību programmai.  </w:t>
            </w:r>
          </w:p>
        </w:tc>
      </w:tr>
      <w:tr w:rsidR="00C4715D" w:rsidRPr="00E2627C" w:rsidTr="006B21BD">
        <w:tc>
          <w:tcPr>
            <w:tcW w:w="675" w:type="dxa"/>
          </w:tcPr>
          <w:p w:rsidR="00C4715D" w:rsidRPr="00E2627C" w:rsidRDefault="00C4715D" w:rsidP="00C4715D">
            <w:pPr>
              <w:jc w:val="center"/>
              <w:rPr>
                <w:rFonts w:ascii="Times New Roman" w:hAnsi="Times New Roman"/>
                <w:sz w:val="24"/>
                <w:szCs w:val="24"/>
                <w:lang w:val="lv-LV"/>
              </w:rPr>
            </w:pPr>
            <w:r w:rsidRPr="00E2627C">
              <w:rPr>
                <w:rFonts w:ascii="Times New Roman" w:hAnsi="Times New Roman"/>
                <w:sz w:val="24"/>
                <w:szCs w:val="24"/>
                <w:lang w:val="lv-LV"/>
              </w:rPr>
              <w:lastRenderedPageBreak/>
              <w:t>2.</w:t>
            </w:r>
          </w:p>
        </w:tc>
        <w:tc>
          <w:tcPr>
            <w:tcW w:w="2944" w:type="dxa"/>
          </w:tcPr>
          <w:p w:rsidR="00C4715D" w:rsidRPr="00E2627C" w:rsidRDefault="00C4715D" w:rsidP="00C4715D">
            <w:pPr>
              <w:jc w:val="both"/>
              <w:rPr>
                <w:rFonts w:ascii="Times New Roman" w:hAnsi="Times New Roman"/>
                <w:sz w:val="24"/>
                <w:szCs w:val="24"/>
                <w:lang w:val="lv-LV"/>
              </w:rPr>
            </w:pPr>
            <w:r w:rsidRPr="00E2627C">
              <w:rPr>
                <w:rFonts w:ascii="Times New Roman" w:hAnsi="Times New Roman"/>
                <w:sz w:val="24"/>
                <w:szCs w:val="24"/>
                <w:lang w:val="lv-LV"/>
              </w:rPr>
              <w:t>Tiesiskā regulējuma ietekme uz tautsaimniecību un administratīvo slogu</w:t>
            </w:r>
          </w:p>
        </w:tc>
        <w:tc>
          <w:tcPr>
            <w:tcW w:w="5703" w:type="dxa"/>
          </w:tcPr>
          <w:p w:rsidR="00E833FA" w:rsidRDefault="00E833FA" w:rsidP="00E833FA">
            <w:pPr>
              <w:tabs>
                <w:tab w:val="left" w:pos="336"/>
              </w:tabs>
              <w:jc w:val="both"/>
              <w:rPr>
                <w:rFonts w:ascii="Times New Roman" w:hAnsi="Times New Roman"/>
                <w:sz w:val="24"/>
                <w:szCs w:val="24"/>
                <w:lang w:val="lv-LV"/>
              </w:rPr>
            </w:pPr>
            <w:r w:rsidRPr="00E2627C">
              <w:rPr>
                <w:rFonts w:ascii="Times New Roman" w:hAnsi="Times New Roman"/>
                <w:sz w:val="24"/>
                <w:szCs w:val="24"/>
                <w:lang w:val="lv-LV"/>
              </w:rPr>
              <w:tab/>
            </w:r>
            <w:r w:rsidR="00142E87" w:rsidRPr="00E2627C">
              <w:rPr>
                <w:rFonts w:ascii="Times New Roman" w:hAnsi="Times New Roman"/>
                <w:sz w:val="24"/>
                <w:szCs w:val="24"/>
                <w:lang w:val="lv-LV"/>
              </w:rPr>
              <w:t xml:space="preserve">Likumprojektā ietvertais deleģējums </w:t>
            </w:r>
            <w:r w:rsidRPr="00E2627C">
              <w:rPr>
                <w:rFonts w:ascii="Times New Roman" w:hAnsi="Times New Roman"/>
                <w:sz w:val="24"/>
                <w:szCs w:val="24"/>
                <w:lang w:val="lv-LV"/>
              </w:rPr>
              <w:t>i</w:t>
            </w:r>
            <w:r w:rsidR="00533AFC" w:rsidRPr="00E2627C">
              <w:rPr>
                <w:rFonts w:ascii="Times New Roman" w:hAnsi="Times New Roman"/>
                <w:sz w:val="24"/>
                <w:szCs w:val="24"/>
                <w:lang w:val="lv-LV"/>
              </w:rPr>
              <w:t xml:space="preserve">etekmēs </w:t>
            </w:r>
            <w:r w:rsidRPr="00E2627C">
              <w:rPr>
                <w:rFonts w:ascii="Times New Roman" w:hAnsi="Times New Roman"/>
                <w:sz w:val="24"/>
                <w:szCs w:val="24"/>
                <w:lang w:val="lv-LV"/>
              </w:rPr>
              <w:t xml:space="preserve">par objekta ugunsdrošību atbildīgās personas </w:t>
            </w:r>
            <w:r w:rsidR="00026B85" w:rsidRPr="00E2627C">
              <w:rPr>
                <w:rFonts w:ascii="Times New Roman" w:hAnsi="Times New Roman"/>
                <w:sz w:val="24"/>
                <w:szCs w:val="24"/>
                <w:lang w:val="lv-LV"/>
              </w:rPr>
              <w:t xml:space="preserve">apmācības </w:t>
            </w:r>
            <w:r w:rsidRPr="00E2627C">
              <w:rPr>
                <w:rFonts w:ascii="Times New Roman" w:hAnsi="Times New Roman"/>
                <w:sz w:val="24"/>
                <w:szCs w:val="24"/>
                <w:lang w:val="lv-LV"/>
              </w:rPr>
              <w:t xml:space="preserve">kārtību. </w:t>
            </w:r>
            <w:r w:rsidR="00DD0156" w:rsidRPr="00E2627C">
              <w:rPr>
                <w:rFonts w:ascii="Times New Roman" w:hAnsi="Times New Roman"/>
                <w:sz w:val="24"/>
                <w:szCs w:val="24"/>
                <w:lang w:val="lv-LV"/>
              </w:rPr>
              <w:t xml:space="preserve">Līdz šim </w:t>
            </w:r>
            <w:r w:rsidR="0026732C" w:rsidRPr="00E2627C">
              <w:rPr>
                <w:rFonts w:ascii="Times New Roman" w:hAnsi="Times New Roman"/>
                <w:sz w:val="24"/>
                <w:szCs w:val="24"/>
                <w:lang w:val="lv-LV"/>
              </w:rPr>
              <w:t xml:space="preserve">20 </w:t>
            </w:r>
            <w:r w:rsidR="00D865E0" w:rsidRPr="00E2627C">
              <w:rPr>
                <w:rFonts w:ascii="Times New Roman" w:hAnsi="Times New Roman"/>
                <w:sz w:val="24"/>
                <w:szCs w:val="24"/>
                <w:lang w:val="lv-LV"/>
              </w:rPr>
              <w:t xml:space="preserve">vai 160 stundu programmas noslēguma pārbaudījums tika kārtots izglītības iestādē, kurā tiek apgūta konkrētā programma. Pēc likumprojektā </w:t>
            </w:r>
            <w:r w:rsidR="004E42C3">
              <w:rPr>
                <w:rFonts w:ascii="Times New Roman" w:hAnsi="Times New Roman"/>
                <w:sz w:val="24"/>
                <w:szCs w:val="24"/>
                <w:lang w:val="lv-LV"/>
              </w:rPr>
              <w:t xml:space="preserve">ietvertā </w:t>
            </w:r>
            <w:r w:rsidR="000A5796" w:rsidRPr="00E2627C">
              <w:rPr>
                <w:rFonts w:ascii="Times New Roman" w:hAnsi="Times New Roman"/>
                <w:sz w:val="24"/>
                <w:szCs w:val="24"/>
                <w:lang w:val="lv-LV"/>
              </w:rPr>
              <w:t xml:space="preserve">regulējuma spēkā stāšanās, tiks izstrādāti </w:t>
            </w:r>
            <w:r w:rsidR="00EA5E15" w:rsidRPr="00E2627C">
              <w:rPr>
                <w:rFonts w:ascii="Times New Roman" w:hAnsi="Times New Roman"/>
                <w:sz w:val="24"/>
                <w:szCs w:val="24"/>
                <w:lang w:val="lv-LV"/>
              </w:rPr>
              <w:t>Ministru kabineta noteikumi</w:t>
            </w:r>
            <w:r w:rsidR="00F5725D">
              <w:rPr>
                <w:rFonts w:ascii="Times New Roman" w:hAnsi="Times New Roman"/>
                <w:sz w:val="24"/>
                <w:szCs w:val="24"/>
                <w:lang w:val="lv-LV"/>
              </w:rPr>
              <w:t xml:space="preserve"> </w:t>
            </w:r>
            <w:r w:rsidR="00B9368A" w:rsidRPr="00E2627C">
              <w:rPr>
                <w:rFonts w:ascii="Times New Roman" w:hAnsi="Times New Roman"/>
                <w:sz w:val="24"/>
                <w:szCs w:val="24"/>
                <w:lang w:val="lv-LV"/>
              </w:rPr>
              <w:t xml:space="preserve">par </w:t>
            </w:r>
            <w:r w:rsidR="00B9368A">
              <w:rPr>
                <w:rFonts w:ascii="Times New Roman" w:hAnsi="Times New Roman"/>
                <w:sz w:val="24"/>
                <w:szCs w:val="24"/>
                <w:lang w:val="lv-LV"/>
              </w:rPr>
              <w:t>apmācību ugunsdrošības jomā un valsts nodeva</w:t>
            </w:r>
            <w:r w:rsidR="00F5725D">
              <w:rPr>
                <w:rFonts w:ascii="Times New Roman" w:hAnsi="Times New Roman"/>
                <w:sz w:val="24"/>
                <w:szCs w:val="24"/>
                <w:lang w:val="lv-LV"/>
              </w:rPr>
              <w:t xml:space="preserve">s maksāšanas kārtību un apmēru, kā arī par </w:t>
            </w:r>
            <w:r w:rsidR="004E42C3">
              <w:rPr>
                <w:rFonts w:ascii="Times New Roman" w:hAnsi="Times New Roman"/>
                <w:sz w:val="24"/>
                <w:szCs w:val="24"/>
                <w:lang w:val="lv-LV"/>
              </w:rPr>
              <w:t xml:space="preserve">pakalpojumu sniegšanas </w:t>
            </w:r>
            <w:r w:rsidR="00F5725D">
              <w:rPr>
                <w:rFonts w:ascii="Times New Roman" w:hAnsi="Times New Roman"/>
                <w:sz w:val="24"/>
                <w:szCs w:val="24"/>
                <w:lang w:val="lv-LV"/>
              </w:rPr>
              <w:t>kārtību ugunsdrošības jomā un šo pakalpojumu</w:t>
            </w:r>
            <w:r w:rsidR="004E42C3">
              <w:rPr>
                <w:rFonts w:ascii="Times New Roman" w:hAnsi="Times New Roman"/>
                <w:sz w:val="24"/>
                <w:szCs w:val="24"/>
                <w:lang w:val="lv-LV"/>
              </w:rPr>
              <w:t xml:space="preserve"> kvalitātes kontroli.</w:t>
            </w:r>
          </w:p>
          <w:p w:rsidR="000A5796" w:rsidRPr="00E2627C" w:rsidRDefault="000A5796" w:rsidP="00E833FA">
            <w:pPr>
              <w:tabs>
                <w:tab w:val="left" w:pos="336"/>
              </w:tabs>
              <w:jc w:val="both"/>
              <w:rPr>
                <w:rFonts w:ascii="Times New Roman" w:hAnsi="Times New Roman"/>
                <w:sz w:val="24"/>
                <w:szCs w:val="24"/>
                <w:lang w:val="lv-LV"/>
              </w:rPr>
            </w:pPr>
            <w:r w:rsidRPr="00E2627C">
              <w:rPr>
                <w:rFonts w:ascii="Times New Roman" w:eastAsia="Times New Roman" w:hAnsi="Times New Roman"/>
                <w:sz w:val="24"/>
                <w:szCs w:val="24"/>
                <w:lang w:val="lv-LV" w:eastAsia="lv-LV"/>
              </w:rPr>
              <w:tab/>
            </w:r>
            <w:r w:rsidR="009A42ED" w:rsidRPr="00E2627C">
              <w:rPr>
                <w:rFonts w:ascii="Times New Roman" w:hAnsi="Times New Roman"/>
                <w:sz w:val="24"/>
                <w:szCs w:val="24"/>
                <w:lang w:val="lv-LV"/>
              </w:rPr>
              <w:t xml:space="preserve">Izglītības iestādēm, kuras īsteno apmācību ugunsdrošības jomā atbilstoši 20 un 160 stundu mācību programmām, administratīvais slogs mazināsies, jo tām vairs nebūs </w:t>
            </w:r>
            <w:r w:rsidR="005F4531" w:rsidRPr="00E2627C">
              <w:rPr>
                <w:rFonts w:ascii="Times New Roman" w:hAnsi="Times New Roman"/>
                <w:sz w:val="24"/>
                <w:szCs w:val="24"/>
                <w:lang w:val="lv-LV"/>
              </w:rPr>
              <w:t xml:space="preserve">jānodrošina </w:t>
            </w:r>
            <w:r w:rsidR="003B2176" w:rsidRPr="00E2627C">
              <w:rPr>
                <w:rFonts w:ascii="Times New Roman" w:hAnsi="Times New Roman"/>
                <w:sz w:val="24"/>
                <w:szCs w:val="24"/>
                <w:lang w:val="lv-LV"/>
              </w:rPr>
              <w:t>noslēguma pārbaud</w:t>
            </w:r>
            <w:r w:rsidR="005F4531" w:rsidRPr="00E2627C">
              <w:rPr>
                <w:rFonts w:ascii="Times New Roman" w:hAnsi="Times New Roman"/>
                <w:sz w:val="24"/>
                <w:szCs w:val="24"/>
                <w:lang w:val="lv-LV"/>
              </w:rPr>
              <w:t xml:space="preserve">ījuma kārtošana </w:t>
            </w:r>
            <w:r w:rsidR="003B2176" w:rsidRPr="00E2627C">
              <w:rPr>
                <w:rFonts w:ascii="Times New Roman" w:hAnsi="Times New Roman"/>
                <w:sz w:val="24"/>
                <w:szCs w:val="24"/>
                <w:lang w:val="lv-LV"/>
              </w:rPr>
              <w:t xml:space="preserve">un </w:t>
            </w:r>
            <w:r w:rsidR="00783457" w:rsidRPr="00E2627C">
              <w:rPr>
                <w:rFonts w:ascii="Times New Roman" w:hAnsi="Times New Roman"/>
                <w:sz w:val="24"/>
                <w:szCs w:val="24"/>
                <w:lang w:val="lv-LV"/>
              </w:rPr>
              <w:t xml:space="preserve">jāizsniedz </w:t>
            </w:r>
            <w:r w:rsidR="009A42ED" w:rsidRPr="00E2627C">
              <w:rPr>
                <w:rFonts w:ascii="Times New Roman" w:hAnsi="Times New Roman"/>
                <w:sz w:val="24"/>
                <w:szCs w:val="24"/>
                <w:lang w:val="lv-LV"/>
              </w:rPr>
              <w:t>apliecības p</w:t>
            </w:r>
            <w:r w:rsidR="003B2176" w:rsidRPr="00E2627C">
              <w:rPr>
                <w:rFonts w:ascii="Times New Roman" w:hAnsi="Times New Roman"/>
                <w:sz w:val="24"/>
                <w:szCs w:val="24"/>
                <w:lang w:val="lv-LV"/>
              </w:rPr>
              <w:t>ar konkrētās programmas apguvi.</w:t>
            </w:r>
          </w:p>
          <w:p w:rsidR="005845B3" w:rsidRPr="00E2627C" w:rsidRDefault="0026732C" w:rsidP="009B6EA3">
            <w:pPr>
              <w:tabs>
                <w:tab w:val="left" w:pos="331"/>
              </w:tabs>
              <w:jc w:val="both"/>
              <w:rPr>
                <w:rFonts w:ascii="Times New Roman" w:eastAsia="Times New Roman" w:hAnsi="Times New Roman"/>
                <w:bCs/>
                <w:sz w:val="24"/>
                <w:szCs w:val="24"/>
                <w:lang w:val="lv-LV" w:eastAsia="lv-LV"/>
              </w:rPr>
            </w:pPr>
            <w:r w:rsidRPr="00E2627C">
              <w:rPr>
                <w:rFonts w:ascii="Times New Roman" w:hAnsi="Times New Roman"/>
                <w:sz w:val="24"/>
                <w:szCs w:val="24"/>
                <w:lang w:val="lv-LV"/>
              </w:rPr>
              <w:tab/>
            </w:r>
            <w:r w:rsidR="00290396" w:rsidRPr="00E2627C">
              <w:rPr>
                <w:rFonts w:ascii="Times New Roman" w:hAnsi="Times New Roman"/>
                <w:sz w:val="24"/>
                <w:szCs w:val="24"/>
                <w:lang w:val="lv-LV"/>
              </w:rPr>
              <w:t xml:space="preserve">Fiziskām </w:t>
            </w:r>
            <w:r w:rsidR="00DF1E59" w:rsidRPr="00E2627C">
              <w:rPr>
                <w:rFonts w:ascii="Times New Roman" w:hAnsi="Times New Roman"/>
                <w:sz w:val="24"/>
                <w:szCs w:val="24"/>
                <w:lang w:val="lv-LV"/>
              </w:rPr>
              <w:t>personām</w:t>
            </w:r>
            <w:r w:rsidR="00290396" w:rsidRPr="00E2627C">
              <w:rPr>
                <w:rFonts w:ascii="Times New Roman" w:hAnsi="Times New Roman"/>
                <w:sz w:val="24"/>
                <w:szCs w:val="24"/>
                <w:lang w:val="lv-LV"/>
              </w:rPr>
              <w:t xml:space="preserve">, kuras apgūs </w:t>
            </w:r>
            <w:r w:rsidR="00356DC3" w:rsidRPr="00E2627C">
              <w:rPr>
                <w:rFonts w:ascii="Times New Roman" w:hAnsi="Times New Roman"/>
                <w:sz w:val="24"/>
                <w:szCs w:val="24"/>
                <w:lang w:val="lv-LV"/>
              </w:rPr>
              <w:t xml:space="preserve">20 vai </w:t>
            </w:r>
            <w:r w:rsidR="00124134" w:rsidRPr="00E2627C">
              <w:rPr>
                <w:rFonts w:ascii="Times New Roman" w:hAnsi="Times New Roman"/>
                <w:sz w:val="24"/>
                <w:szCs w:val="24"/>
                <w:lang w:val="lv-LV"/>
              </w:rPr>
              <w:t xml:space="preserve">160 stundu </w:t>
            </w:r>
            <w:r w:rsidR="00124134" w:rsidRPr="00E2627C">
              <w:rPr>
                <w:rFonts w:ascii="Times New Roman" w:eastAsia="Times New Roman" w:hAnsi="Times New Roman"/>
                <w:bCs/>
                <w:sz w:val="24"/>
                <w:szCs w:val="24"/>
                <w:lang w:val="lv-LV" w:eastAsia="lv-LV"/>
              </w:rPr>
              <w:t>programmu</w:t>
            </w:r>
            <w:r w:rsidR="00290396" w:rsidRPr="00E2627C">
              <w:rPr>
                <w:rFonts w:ascii="Times New Roman" w:eastAsia="Times New Roman" w:hAnsi="Times New Roman"/>
                <w:bCs/>
                <w:sz w:val="24"/>
                <w:szCs w:val="24"/>
                <w:lang w:val="lv-LV" w:eastAsia="lv-LV"/>
              </w:rPr>
              <w:t xml:space="preserve"> admini</w:t>
            </w:r>
            <w:r w:rsidR="00DD0156" w:rsidRPr="00E2627C">
              <w:rPr>
                <w:rFonts w:ascii="Times New Roman" w:eastAsia="Times New Roman" w:hAnsi="Times New Roman"/>
                <w:bCs/>
                <w:sz w:val="24"/>
                <w:szCs w:val="24"/>
                <w:lang w:val="lv-LV" w:eastAsia="lv-LV"/>
              </w:rPr>
              <w:t xml:space="preserve">stratīvais slogs palielināsies, jo </w:t>
            </w:r>
            <w:r w:rsidR="008744D6">
              <w:rPr>
                <w:rFonts w:ascii="Times New Roman" w:eastAsia="Times New Roman" w:hAnsi="Times New Roman"/>
                <w:bCs/>
                <w:sz w:val="24"/>
                <w:szCs w:val="24"/>
                <w:lang w:val="lv-LV" w:eastAsia="lv-LV"/>
              </w:rPr>
              <w:t xml:space="preserve">par noslēguma pārbaudījuma kārtošanu un apliecību saņemšanu </w:t>
            </w:r>
            <w:r w:rsidR="009B6EA3" w:rsidRPr="00E2627C">
              <w:rPr>
                <w:rFonts w:ascii="Times New Roman" w:eastAsia="Times New Roman" w:hAnsi="Times New Roman"/>
                <w:bCs/>
                <w:sz w:val="24"/>
                <w:szCs w:val="24"/>
                <w:lang w:val="lv-LV" w:eastAsia="lv-LV"/>
              </w:rPr>
              <w:t xml:space="preserve">būs </w:t>
            </w:r>
            <w:r w:rsidR="008744D6">
              <w:rPr>
                <w:rFonts w:ascii="Times New Roman" w:eastAsia="Times New Roman" w:hAnsi="Times New Roman"/>
                <w:bCs/>
                <w:sz w:val="24"/>
                <w:szCs w:val="24"/>
                <w:lang w:val="lv-LV" w:eastAsia="lv-LV"/>
              </w:rPr>
              <w:t>jāmaksā valsts nodeva</w:t>
            </w:r>
            <w:r w:rsidR="00DD0156" w:rsidRPr="00E2627C">
              <w:rPr>
                <w:rFonts w:ascii="Times New Roman" w:eastAsia="Times New Roman" w:hAnsi="Times New Roman"/>
                <w:bCs/>
                <w:sz w:val="24"/>
                <w:szCs w:val="24"/>
                <w:lang w:val="lv-LV" w:eastAsia="lv-LV"/>
              </w:rPr>
              <w:t>, kā arī noslēguma pārbaudījumu varēs kārtot tika</w:t>
            </w:r>
            <w:r w:rsidR="00454C6B">
              <w:rPr>
                <w:rFonts w:ascii="Times New Roman" w:eastAsia="Times New Roman" w:hAnsi="Times New Roman"/>
                <w:bCs/>
                <w:sz w:val="24"/>
                <w:szCs w:val="24"/>
                <w:lang w:val="lv-LV" w:eastAsia="lv-LV"/>
              </w:rPr>
              <w:t xml:space="preserve">i Rīgā, kā rezultātā, personām </w:t>
            </w:r>
            <w:r w:rsidR="000A5796" w:rsidRPr="00E2627C">
              <w:rPr>
                <w:rFonts w:ascii="Times New Roman" w:eastAsia="Times New Roman" w:hAnsi="Times New Roman"/>
                <w:bCs/>
                <w:sz w:val="24"/>
                <w:szCs w:val="24"/>
                <w:lang w:val="lv-LV" w:eastAsia="lv-LV"/>
              </w:rPr>
              <w:t xml:space="preserve">papildus </w:t>
            </w:r>
            <w:r w:rsidR="00DD0156" w:rsidRPr="00E2627C">
              <w:rPr>
                <w:rFonts w:ascii="Times New Roman" w:eastAsia="Times New Roman" w:hAnsi="Times New Roman"/>
                <w:bCs/>
                <w:sz w:val="24"/>
                <w:szCs w:val="24"/>
                <w:lang w:val="lv-LV" w:eastAsia="lv-LV"/>
              </w:rPr>
              <w:t>radīsies ceļa izdevumi.</w:t>
            </w:r>
          </w:p>
          <w:p w:rsidR="005F4531" w:rsidRPr="00E2627C" w:rsidRDefault="005F4531" w:rsidP="009B6EA3">
            <w:pPr>
              <w:tabs>
                <w:tab w:val="left" w:pos="331"/>
              </w:tabs>
              <w:jc w:val="both"/>
              <w:rPr>
                <w:rFonts w:ascii="Times New Roman" w:eastAsia="Times New Roman" w:hAnsi="Times New Roman"/>
                <w:bCs/>
                <w:sz w:val="24"/>
                <w:szCs w:val="24"/>
                <w:lang w:val="lv-LV" w:eastAsia="lv-LV"/>
              </w:rPr>
            </w:pPr>
            <w:r w:rsidRPr="00E2627C">
              <w:rPr>
                <w:rFonts w:ascii="Times New Roman" w:eastAsia="Times New Roman" w:hAnsi="Times New Roman"/>
                <w:sz w:val="24"/>
                <w:szCs w:val="24"/>
                <w:lang w:val="lv-LV" w:eastAsia="lv-LV"/>
              </w:rPr>
              <w:tab/>
              <w:t xml:space="preserve">Likumprojektā paredzēto grozījumu spēkā stāšanās rezultātā administratīvais slogs palielināsies </w:t>
            </w:r>
            <w:r w:rsidRPr="00E2627C">
              <w:rPr>
                <w:rFonts w:ascii="Times New Roman" w:hAnsi="Times New Roman"/>
                <w:sz w:val="24"/>
                <w:szCs w:val="24"/>
                <w:lang w:val="lv-LV"/>
              </w:rPr>
              <w:t>VUGD amatpersonām, kuras  izstrādā normatīvos aktus ugunsdrošības jomā, kā arī Koledžas nodarbinātajiem, kuri nodrošinās noslēguma pārbaudījuma kārtošanu un attiecīgo apliecību izsniegšanu.</w:t>
            </w:r>
          </w:p>
          <w:p w:rsidR="005F4531" w:rsidRPr="00E2627C" w:rsidRDefault="005F4531" w:rsidP="00E30E88">
            <w:pPr>
              <w:tabs>
                <w:tab w:val="left" w:pos="331"/>
              </w:tabs>
              <w:jc w:val="both"/>
              <w:rPr>
                <w:rFonts w:ascii="Times New Roman" w:hAnsi="Times New Roman"/>
                <w:sz w:val="24"/>
                <w:szCs w:val="24"/>
                <w:lang w:val="lv-LV"/>
              </w:rPr>
            </w:pPr>
            <w:r w:rsidRPr="00E2627C">
              <w:rPr>
                <w:rFonts w:ascii="Times New Roman" w:hAnsi="Times New Roman"/>
                <w:sz w:val="24"/>
                <w:szCs w:val="24"/>
                <w:lang w:val="lv-LV"/>
              </w:rPr>
              <w:tab/>
              <w:t>Personām, kuras sniedz vai plāno sniegt pakalpojumus ugunsdrošības jomā, administratīvais slogs palielināsies, jo</w:t>
            </w:r>
            <w:r w:rsidR="00E30E88" w:rsidRPr="00E2627C">
              <w:rPr>
                <w:rFonts w:ascii="Times New Roman" w:hAnsi="Times New Roman"/>
                <w:sz w:val="24"/>
                <w:szCs w:val="24"/>
                <w:lang w:val="lv-LV"/>
              </w:rPr>
              <w:t xml:space="preserve"> tām atkarībā no ugunsdrošības </w:t>
            </w:r>
            <w:r w:rsidR="00E30E88" w:rsidRPr="00E2627C">
              <w:rPr>
                <w:rFonts w:ascii="Times New Roman" w:hAnsi="Times New Roman"/>
                <w:sz w:val="24"/>
                <w:szCs w:val="24"/>
                <w:lang w:val="lv-LV"/>
              </w:rPr>
              <w:lastRenderedPageBreak/>
              <w:t>pakalpojuma veida būs jāiegūst attiecīgā kvalifikācija vai jānodarbina personas ar attiecīgo kvalifikāciju konkrētā pakalpojuma veikšanai.</w:t>
            </w:r>
          </w:p>
        </w:tc>
      </w:tr>
      <w:tr w:rsidR="00C4715D" w:rsidRPr="00E2627C" w:rsidTr="006B21BD">
        <w:tc>
          <w:tcPr>
            <w:tcW w:w="675" w:type="dxa"/>
          </w:tcPr>
          <w:p w:rsidR="00C4715D" w:rsidRPr="00E2627C" w:rsidRDefault="00C4715D" w:rsidP="00C4715D">
            <w:pPr>
              <w:jc w:val="center"/>
              <w:rPr>
                <w:rFonts w:ascii="Times New Roman" w:hAnsi="Times New Roman"/>
                <w:sz w:val="24"/>
                <w:szCs w:val="24"/>
                <w:lang w:val="lv-LV"/>
              </w:rPr>
            </w:pPr>
            <w:r w:rsidRPr="00E2627C">
              <w:rPr>
                <w:rFonts w:ascii="Times New Roman" w:hAnsi="Times New Roman"/>
                <w:sz w:val="24"/>
                <w:szCs w:val="24"/>
                <w:lang w:val="lv-LV"/>
              </w:rPr>
              <w:lastRenderedPageBreak/>
              <w:t>3.</w:t>
            </w:r>
          </w:p>
        </w:tc>
        <w:tc>
          <w:tcPr>
            <w:tcW w:w="2944" w:type="dxa"/>
          </w:tcPr>
          <w:p w:rsidR="00C4715D" w:rsidRPr="00E2627C" w:rsidRDefault="00C4715D" w:rsidP="00C4715D">
            <w:pPr>
              <w:jc w:val="both"/>
              <w:rPr>
                <w:rFonts w:ascii="Times New Roman" w:hAnsi="Times New Roman"/>
                <w:sz w:val="24"/>
                <w:szCs w:val="24"/>
                <w:lang w:val="lv-LV"/>
              </w:rPr>
            </w:pPr>
            <w:r w:rsidRPr="00E2627C">
              <w:rPr>
                <w:rFonts w:ascii="Times New Roman" w:hAnsi="Times New Roman"/>
                <w:sz w:val="24"/>
                <w:szCs w:val="24"/>
                <w:lang w:val="lv-LV"/>
              </w:rPr>
              <w:t>Administratīvo izmaksu monetārs novērtējums</w:t>
            </w:r>
          </w:p>
        </w:tc>
        <w:tc>
          <w:tcPr>
            <w:tcW w:w="5703" w:type="dxa"/>
          </w:tcPr>
          <w:p w:rsidR="00441C84" w:rsidRPr="00E2627C" w:rsidRDefault="00EA5E15" w:rsidP="009B6EA3">
            <w:pPr>
              <w:tabs>
                <w:tab w:val="left" w:pos="350"/>
              </w:tabs>
              <w:jc w:val="both"/>
              <w:rPr>
                <w:rFonts w:ascii="Times New Roman" w:hAnsi="Times New Roman"/>
                <w:sz w:val="24"/>
                <w:szCs w:val="24"/>
                <w:lang w:val="lv-LV"/>
              </w:rPr>
            </w:pPr>
            <w:r w:rsidRPr="00E2627C">
              <w:rPr>
                <w:rFonts w:ascii="Times New Roman" w:hAnsi="Times New Roman"/>
                <w:sz w:val="24"/>
                <w:szCs w:val="24"/>
                <w:lang w:val="lv-LV"/>
              </w:rPr>
              <w:tab/>
            </w:r>
            <w:r w:rsidR="0029599A" w:rsidRPr="00E2627C">
              <w:rPr>
                <w:rFonts w:ascii="Times New Roman" w:hAnsi="Times New Roman"/>
                <w:sz w:val="24"/>
                <w:szCs w:val="24"/>
                <w:lang w:val="lv-LV"/>
              </w:rPr>
              <w:t>Administratīvās izmaksas, kas rodas</w:t>
            </w:r>
            <w:r w:rsidR="00E30E88" w:rsidRPr="00E2627C">
              <w:rPr>
                <w:rFonts w:ascii="Times New Roman" w:hAnsi="Times New Roman"/>
                <w:sz w:val="24"/>
                <w:szCs w:val="24"/>
                <w:lang w:val="lv-LV"/>
              </w:rPr>
              <w:t xml:space="preserve">, </w:t>
            </w:r>
            <w:r w:rsidR="0029599A" w:rsidRPr="00E2627C">
              <w:rPr>
                <w:rFonts w:ascii="Times New Roman" w:hAnsi="Times New Roman"/>
                <w:sz w:val="24"/>
                <w:szCs w:val="24"/>
                <w:lang w:val="lv-LV"/>
              </w:rPr>
              <w:t>izstrādājot likumprojektu,</w:t>
            </w:r>
            <w:r w:rsidR="00D776FA" w:rsidRPr="00E2627C">
              <w:rPr>
                <w:rFonts w:ascii="Times New Roman" w:hAnsi="Times New Roman"/>
                <w:sz w:val="24"/>
                <w:szCs w:val="24"/>
                <w:lang w:val="lv-LV"/>
              </w:rPr>
              <w:t xml:space="preserve"> </w:t>
            </w:r>
            <w:r w:rsidR="0029599A" w:rsidRPr="00E2627C">
              <w:rPr>
                <w:rFonts w:ascii="Times New Roman" w:hAnsi="Times New Roman"/>
                <w:sz w:val="24"/>
                <w:szCs w:val="24"/>
                <w:lang w:val="lv-LV"/>
              </w:rPr>
              <w:t xml:space="preserve">gada laikā fiziskām personām nepārsniedz 200 </w:t>
            </w:r>
            <w:r w:rsidR="0029599A" w:rsidRPr="00E2627C">
              <w:rPr>
                <w:rFonts w:ascii="Times New Roman" w:hAnsi="Times New Roman"/>
                <w:i/>
                <w:sz w:val="24"/>
                <w:szCs w:val="24"/>
                <w:lang w:val="lv-LV"/>
              </w:rPr>
              <w:t>euro</w:t>
            </w:r>
            <w:r w:rsidR="0029599A" w:rsidRPr="00E2627C">
              <w:rPr>
                <w:rFonts w:ascii="Times New Roman" w:hAnsi="Times New Roman"/>
                <w:sz w:val="24"/>
                <w:szCs w:val="24"/>
                <w:lang w:val="lv-LV"/>
              </w:rPr>
              <w:t xml:space="preserve">, savukārt juridiskām personām – 2000 </w:t>
            </w:r>
            <w:r w:rsidR="0029599A" w:rsidRPr="00E2627C">
              <w:rPr>
                <w:rFonts w:ascii="Times New Roman" w:hAnsi="Times New Roman"/>
                <w:i/>
                <w:sz w:val="24"/>
                <w:szCs w:val="24"/>
                <w:lang w:val="lv-LV"/>
              </w:rPr>
              <w:t>euro</w:t>
            </w:r>
            <w:r w:rsidR="0029599A" w:rsidRPr="00E2627C">
              <w:rPr>
                <w:rFonts w:ascii="Times New Roman" w:hAnsi="Times New Roman"/>
                <w:sz w:val="24"/>
                <w:szCs w:val="24"/>
                <w:lang w:val="lv-LV"/>
              </w:rPr>
              <w:t>.</w:t>
            </w:r>
          </w:p>
          <w:p w:rsidR="00693573" w:rsidRDefault="0029599A" w:rsidP="00693573">
            <w:pPr>
              <w:tabs>
                <w:tab w:val="left" w:pos="350"/>
              </w:tabs>
              <w:jc w:val="both"/>
              <w:rPr>
                <w:rFonts w:ascii="Times New Roman" w:hAnsi="Times New Roman"/>
                <w:sz w:val="24"/>
                <w:szCs w:val="24"/>
                <w:lang w:val="lv-LV"/>
              </w:rPr>
            </w:pPr>
            <w:r w:rsidRPr="00E2627C">
              <w:rPr>
                <w:rFonts w:ascii="Times New Roman" w:hAnsi="Times New Roman"/>
                <w:sz w:val="24"/>
                <w:szCs w:val="24"/>
                <w:lang w:val="lv-LV"/>
              </w:rPr>
              <w:tab/>
            </w:r>
            <w:r w:rsidR="009B6EA3" w:rsidRPr="00E2627C">
              <w:rPr>
                <w:rFonts w:ascii="Times New Roman" w:hAnsi="Times New Roman"/>
                <w:sz w:val="24"/>
                <w:szCs w:val="24"/>
                <w:lang w:val="lv-LV"/>
              </w:rPr>
              <w:t>Administratīvās izmaksas sabiedrības mērķgrupām radīsies, izstrādājot likumprojekta deleģējumā norādītos M</w:t>
            </w:r>
            <w:r w:rsidR="00101968" w:rsidRPr="00E2627C">
              <w:rPr>
                <w:rFonts w:ascii="Times New Roman" w:hAnsi="Times New Roman"/>
                <w:sz w:val="24"/>
                <w:szCs w:val="24"/>
                <w:lang w:val="lv-LV"/>
              </w:rPr>
              <w:t>inistru</w:t>
            </w:r>
            <w:r w:rsidR="00693573">
              <w:rPr>
                <w:rFonts w:ascii="Times New Roman" w:hAnsi="Times New Roman"/>
                <w:sz w:val="24"/>
                <w:szCs w:val="24"/>
                <w:lang w:val="lv-LV"/>
              </w:rPr>
              <w:t xml:space="preserve"> kabineta noteikumus. </w:t>
            </w:r>
          </w:p>
          <w:p w:rsidR="00565F99" w:rsidRPr="00E2627C" w:rsidRDefault="00F354C1" w:rsidP="00CF7823">
            <w:pPr>
              <w:tabs>
                <w:tab w:val="left" w:pos="350"/>
              </w:tabs>
              <w:jc w:val="both"/>
              <w:rPr>
                <w:rFonts w:ascii="Times New Roman" w:hAnsi="Times New Roman"/>
                <w:sz w:val="24"/>
                <w:szCs w:val="24"/>
                <w:lang w:val="lv-LV"/>
              </w:rPr>
            </w:pPr>
            <w:r>
              <w:rPr>
                <w:rFonts w:ascii="Times New Roman" w:hAnsi="Times New Roman"/>
                <w:sz w:val="24"/>
                <w:szCs w:val="24"/>
                <w:lang w:val="lv-LV"/>
              </w:rPr>
              <w:tab/>
            </w:r>
            <w:r w:rsidR="00693573">
              <w:rPr>
                <w:rFonts w:ascii="Times New Roman" w:hAnsi="Times New Roman"/>
                <w:sz w:val="24"/>
                <w:szCs w:val="24"/>
                <w:lang w:val="lv-LV"/>
              </w:rPr>
              <w:t>P</w:t>
            </w:r>
            <w:r w:rsidR="00101968" w:rsidRPr="00E2627C">
              <w:rPr>
                <w:rFonts w:ascii="Times New Roman" w:hAnsi="Times New Roman"/>
                <w:sz w:val="24"/>
                <w:szCs w:val="24"/>
                <w:lang w:val="lv-LV"/>
              </w:rPr>
              <w:t>iemēram, a</w:t>
            </w:r>
            <w:r w:rsidR="009B6EA3" w:rsidRPr="00E2627C">
              <w:rPr>
                <w:rFonts w:ascii="Times New Roman" w:hAnsi="Times New Roman"/>
                <w:sz w:val="24"/>
                <w:szCs w:val="24"/>
                <w:lang w:val="lv-LV"/>
              </w:rPr>
              <w:t>dministratīvās izmaksas, kas rodas</w:t>
            </w:r>
            <w:r w:rsidR="00565F99" w:rsidRPr="00E2627C">
              <w:rPr>
                <w:rFonts w:ascii="Times New Roman" w:hAnsi="Times New Roman"/>
                <w:sz w:val="24"/>
                <w:szCs w:val="24"/>
                <w:lang w:val="lv-LV"/>
              </w:rPr>
              <w:t xml:space="preserve">, </w:t>
            </w:r>
            <w:r w:rsidR="009B6EA3" w:rsidRPr="00E2627C">
              <w:rPr>
                <w:rFonts w:ascii="Times New Roman" w:hAnsi="Times New Roman"/>
                <w:sz w:val="24"/>
                <w:szCs w:val="24"/>
                <w:lang w:val="lv-LV"/>
              </w:rPr>
              <w:t>izstrādājot Minis</w:t>
            </w:r>
            <w:r w:rsidR="00884F28">
              <w:rPr>
                <w:rFonts w:ascii="Times New Roman" w:hAnsi="Times New Roman"/>
                <w:sz w:val="24"/>
                <w:szCs w:val="24"/>
                <w:lang w:val="lv-LV"/>
              </w:rPr>
              <w:t xml:space="preserve">tru kabineta noteikumu projektu </w:t>
            </w:r>
            <w:r w:rsidR="008744D6" w:rsidRPr="00E2627C">
              <w:rPr>
                <w:rFonts w:ascii="Times New Roman" w:hAnsi="Times New Roman"/>
                <w:sz w:val="24"/>
                <w:szCs w:val="24"/>
                <w:lang w:val="lv-LV"/>
              </w:rPr>
              <w:t xml:space="preserve">par </w:t>
            </w:r>
            <w:r>
              <w:rPr>
                <w:rFonts w:ascii="Times New Roman" w:hAnsi="Times New Roman"/>
                <w:sz w:val="24"/>
                <w:szCs w:val="24"/>
                <w:lang w:val="lv-LV"/>
              </w:rPr>
              <w:t xml:space="preserve">apmācību ugunsdrošības jomā un valsts nodevas maksāšanas </w:t>
            </w:r>
            <w:r w:rsidR="008744D6">
              <w:rPr>
                <w:rFonts w:ascii="Times New Roman" w:hAnsi="Times New Roman"/>
                <w:sz w:val="24"/>
                <w:szCs w:val="24"/>
                <w:lang w:val="lv-LV"/>
              </w:rPr>
              <w:t xml:space="preserve">kārtību </w:t>
            </w:r>
            <w:r>
              <w:rPr>
                <w:rFonts w:ascii="Times New Roman" w:hAnsi="Times New Roman"/>
                <w:sz w:val="24"/>
                <w:szCs w:val="24"/>
                <w:lang w:val="lv-LV"/>
              </w:rPr>
              <w:t>un apmēru</w:t>
            </w:r>
            <w:r w:rsidR="008744D6">
              <w:rPr>
                <w:rFonts w:ascii="Times New Roman" w:hAnsi="Times New Roman"/>
                <w:sz w:val="24"/>
                <w:szCs w:val="24"/>
                <w:lang w:val="lv-LV"/>
              </w:rPr>
              <w:t>, ir</w:t>
            </w:r>
            <w:r w:rsidR="00E30E88" w:rsidRPr="00E2627C">
              <w:rPr>
                <w:rFonts w:ascii="Times New Roman" w:hAnsi="Times New Roman"/>
                <w:sz w:val="24"/>
                <w:szCs w:val="24"/>
                <w:lang w:val="lv-LV"/>
              </w:rPr>
              <w:t xml:space="preserve"> parādītas </w:t>
            </w:r>
            <w:r w:rsidR="00565F99" w:rsidRPr="000E6958">
              <w:rPr>
                <w:rFonts w:ascii="Times New Roman" w:hAnsi="Times New Roman"/>
                <w:sz w:val="24"/>
                <w:szCs w:val="24"/>
                <w:lang w:val="lv-LV"/>
              </w:rPr>
              <w:t>pielikumā.</w:t>
            </w:r>
          </w:p>
        </w:tc>
      </w:tr>
      <w:tr w:rsidR="00C4715D" w:rsidRPr="00E2627C" w:rsidTr="006B21BD">
        <w:tc>
          <w:tcPr>
            <w:tcW w:w="675" w:type="dxa"/>
          </w:tcPr>
          <w:p w:rsidR="00C4715D" w:rsidRPr="00E2627C" w:rsidRDefault="00C4715D" w:rsidP="00C4715D">
            <w:pPr>
              <w:jc w:val="center"/>
              <w:rPr>
                <w:rFonts w:ascii="Times New Roman" w:hAnsi="Times New Roman"/>
                <w:sz w:val="24"/>
                <w:szCs w:val="24"/>
                <w:lang w:val="lv-LV"/>
              </w:rPr>
            </w:pPr>
            <w:r w:rsidRPr="00E2627C">
              <w:rPr>
                <w:rFonts w:ascii="Times New Roman" w:hAnsi="Times New Roman"/>
                <w:sz w:val="24"/>
                <w:szCs w:val="24"/>
                <w:lang w:val="lv-LV"/>
              </w:rPr>
              <w:t>4.</w:t>
            </w:r>
          </w:p>
        </w:tc>
        <w:tc>
          <w:tcPr>
            <w:tcW w:w="2944" w:type="dxa"/>
          </w:tcPr>
          <w:p w:rsidR="00C4715D" w:rsidRPr="00E2627C" w:rsidRDefault="00C4715D" w:rsidP="00C4715D">
            <w:pPr>
              <w:rPr>
                <w:rFonts w:ascii="Times New Roman" w:hAnsi="Times New Roman"/>
                <w:sz w:val="24"/>
                <w:szCs w:val="24"/>
                <w:lang w:val="lv-LV"/>
              </w:rPr>
            </w:pPr>
            <w:r w:rsidRPr="00E2627C">
              <w:rPr>
                <w:rFonts w:ascii="Times New Roman" w:hAnsi="Times New Roman"/>
                <w:sz w:val="24"/>
                <w:szCs w:val="24"/>
                <w:lang w:val="lv-LV"/>
              </w:rPr>
              <w:t>Cita informācija</w:t>
            </w:r>
          </w:p>
        </w:tc>
        <w:tc>
          <w:tcPr>
            <w:tcW w:w="5703" w:type="dxa"/>
          </w:tcPr>
          <w:p w:rsidR="00C4715D" w:rsidRPr="00E2627C" w:rsidRDefault="00FF768A" w:rsidP="00C4715D">
            <w:pPr>
              <w:jc w:val="both"/>
              <w:rPr>
                <w:rFonts w:ascii="Times New Roman" w:hAnsi="Times New Roman"/>
                <w:sz w:val="24"/>
                <w:szCs w:val="24"/>
                <w:lang w:val="lv-LV"/>
              </w:rPr>
            </w:pPr>
            <w:r w:rsidRPr="00E2627C">
              <w:rPr>
                <w:rFonts w:ascii="Times New Roman" w:hAnsi="Times New Roman"/>
                <w:sz w:val="24"/>
                <w:szCs w:val="24"/>
                <w:lang w:val="lv-LV"/>
              </w:rPr>
              <w:t>Nav</w:t>
            </w:r>
            <w:r w:rsidR="00D56264" w:rsidRPr="00E2627C">
              <w:rPr>
                <w:rFonts w:ascii="Times New Roman" w:hAnsi="Times New Roman"/>
                <w:sz w:val="24"/>
                <w:szCs w:val="24"/>
                <w:lang w:val="lv-LV"/>
              </w:rPr>
              <w:t>.</w:t>
            </w:r>
          </w:p>
        </w:tc>
      </w:tr>
    </w:tbl>
    <w:p w:rsidR="004F4B5E" w:rsidRPr="00E2627C" w:rsidRDefault="004F4B5E" w:rsidP="004F4B5E">
      <w:pPr>
        <w:spacing w:after="0" w:line="240" w:lineRule="auto"/>
        <w:rPr>
          <w:rFonts w:ascii="Times New Roman" w:hAnsi="Times New Roman"/>
          <w:sz w:val="24"/>
          <w:szCs w:val="24"/>
          <w:lang w:val="lv-LV"/>
        </w:rPr>
      </w:pPr>
    </w:p>
    <w:tbl>
      <w:tblPr>
        <w:tblStyle w:val="Reatabula"/>
        <w:tblW w:w="9274" w:type="dxa"/>
        <w:tblLook w:val="04A0" w:firstRow="1" w:lastRow="0" w:firstColumn="1" w:lastColumn="0" w:noHBand="0" w:noVBand="1"/>
      </w:tblPr>
      <w:tblGrid>
        <w:gridCol w:w="2838"/>
        <w:gridCol w:w="1327"/>
        <w:gridCol w:w="1230"/>
        <w:gridCol w:w="1327"/>
        <w:gridCol w:w="1225"/>
        <w:gridCol w:w="1327"/>
      </w:tblGrid>
      <w:tr w:rsidR="00781BDD" w:rsidRPr="00E2627C" w:rsidTr="00153488">
        <w:tc>
          <w:tcPr>
            <w:tcW w:w="9274" w:type="dxa"/>
            <w:gridSpan w:val="6"/>
          </w:tcPr>
          <w:p w:rsidR="00781BDD" w:rsidRPr="00E2627C" w:rsidRDefault="00781BDD" w:rsidP="00153488">
            <w:pPr>
              <w:jc w:val="center"/>
              <w:rPr>
                <w:rFonts w:ascii="Times New Roman" w:hAnsi="Times New Roman"/>
                <w:sz w:val="24"/>
                <w:szCs w:val="24"/>
                <w:highlight w:val="yellow"/>
                <w:lang w:val="lv-LV"/>
              </w:rPr>
            </w:pPr>
            <w:r w:rsidRPr="00E2627C">
              <w:rPr>
                <w:rFonts w:ascii="Times New Roman" w:hAnsi="Times New Roman"/>
                <w:b/>
                <w:sz w:val="24"/>
                <w:szCs w:val="24"/>
                <w:lang w:val="lv-LV"/>
              </w:rPr>
              <w:t>III. Tiesību akta projekta ietekme uz valsts un pašvaldību budžetiem</w:t>
            </w:r>
          </w:p>
        </w:tc>
      </w:tr>
      <w:tr w:rsidR="00781BDD" w:rsidRPr="00E2627C" w:rsidTr="000B0270">
        <w:tc>
          <w:tcPr>
            <w:tcW w:w="2838" w:type="dxa"/>
            <w:vMerge w:val="restart"/>
          </w:tcPr>
          <w:p w:rsidR="00781BDD" w:rsidRPr="00E2627C" w:rsidRDefault="00781BDD" w:rsidP="00153488">
            <w:pPr>
              <w:spacing w:before="120"/>
              <w:jc w:val="center"/>
              <w:rPr>
                <w:rFonts w:ascii="Times New Roman" w:hAnsi="Times New Roman"/>
                <w:b/>
                <w:sz w:val="24"/>
                <w:szCs w:val="24"/>
                <w:lang w:val="lv-LV"/>
              </w:rPr>
            </w:pPr>
          </w:p>
          <w:p w:rsidR="00781BDD" w:rsidRPr="00E2627C" w:rsidRDefault="00781BDD" w:rsidP="00153488">
            <w:pPr>
              <w:spacing w:before="120"/>
              <w:jc w:val="center"/>
              <w:rPr>
                <w:rFonts w:ascii="Times New Roman" w:hAnsi="Times New Roman"/>
                <w:b/>
                <w:sz w:val="24"/>
                <w:szCs w:val="24"/>
                <w:lang w:val="lv-LV"/>
              </w:rPr>
            </w:pPr>
          </w:p>
          <w:p w:rsidR="00781BDD" w:rsidRPr="00E2627C" w:rsidRDefault="00781BDD" w:rsidP="00153488">
            <w:pPr>
              <w:spacing w:before="120"/>
              <w:jc w:val="center"/>
              <w:rPr>
                <w:rFonts w:ascii="Times New Roman" w:hAnsi="Times New Roman"/>
                <w:b/>
                <w:sz w:val="24"/>
                <w:szCs w:val="24"/>
                <w:lang w:val="lv-LV"/>
              </w:rPr>
            </w:pPr>
            <w:r w:rsidRPr="00E2627C">
              <w:rPr>
                <w:rFonts w:ascii="Times New Roman" w:hAnsi="Times New Roman"/>
                <w:b/>
                <w:sz w:val="24"/>
                <w:szCs w:val="24"/>
                <w:lang w:val="lv-LV"/>
              </w:rPr>
              <w:t>Rādītāji</w:t>
            </w:r>
          </w:p>
        </w:tc>
        <w:tc>
          <w:tcPr>
            <w:tcW w:w="2557" w:type="dxa"/>
            <w:gridSpan w:val="2"/>
            <w:vMerge w:val="restart"/>
          </w:tcPr>
          <w:p w:rsidR="00781BDD" w:rsidRPr="00E2627C" w:rsidRDefault="00924F30" w:rsidP="00153488">
            <w:pPr>
              <w:spacing w:before="120"/>
              <w:jc w:val="center"/>
              <w:rPr>
                <w:rFonts w:ascii="Times New Roman" w:hAnsi="Times New Roman"/>
                <w:b/>
                <w:sz w:val="24"/>
                <w:szCs w:val="24"/>
                <w:lang w:val="lv-LV"/>
              </w:rPr>
            </w:pPr>
            <w:r>
              <w:rPr>
                <w:rFonts w:ascii="Times New Roman" w:hAnsi="Times New Roman"/>
                <w:b/>
                <w:sz w:val="24"/>
                <w:szCs w:val="24"/>
                <w:lang w:val="lv-LV"/>
              </w:rPr>
              <w:t>2017</w:t>
            </w:r>
            <w:r w:rsidR="00061752" w:rsidRPr="00E2627C">
              <w:rPr>
                <w:rFonts w:ascii="Times New Roman" w:hAnsi="Times New Roman"/>
                <w:b/>
                <w:sz w:val="24"/>
                <w:szCs w:val="24"/>
                <w:lang w:val="lv-LV"/>
              </w:rPr>
              <w:t>.gads</w:t>
            </w:r>
          </w:p>
        </w:tc>
        <w:tc>
          <w:tcPr>
            <w:tcW w:w="3879" w:type="dxa"/>
            <w:gridSpan w:val="3"/>
          </w:tcPr>
          <w:p w:rsidR="00781BDD" w:rsidRPr="00E2627C" w:rsidRDefault="00781BDD" w:rsidP="00153488">
            <w:pPr>
              <w:jc w:val="center"/>
              <w:rPr>
                <w:rFonts w:ascii="Times New Roman" w:hAnsi="Times New Roman"/>
                <w:sz w:val="24"/>
                <w:szCs w:val="24"/>
                <w:lang w:val="lv-LV"/>
              </w:rPr>
            </w:pPr>
            <w:r w:rsidRPr="00E2627C">
              <w:rPr>
                <w:rFonts w:ascii="Times New Roman" w:hAnsi="Times New Roman"/>
                <w:sz w:val="24"/>
                <w:szCs w:val="24"/>
                <w:lang w:val="lv-LV"/>
              </w:rPr>
              <w:t>Turpmākie trīs gadi (</w:t>
            </w:r>
            <w:r w:rsidRPr="00E2627C">
              <w:rPr>
                <w:rFonts w:ascii="Times New Roman" w:hAnsi="Times New Roman"/>
                <w:i/>
                <w:sz w:val="24"/>
                <w:szCs w:val="24"/>
                <w:lang w:val="lv-LV"/>
              </w:rPr>
              <w:t>euro</w:t>
            </w:r>
            <w:r w:rsidRPr="00E2627C">
              <w:rPr>
                <w:rFonts w:ascii="Times New Roman" w:hAnsi="Times New Roman"/>
                <w:sz w:val="24"/>
                <w:szCs w:val="24"/>
                <w:lang w:val="lv-LV"/>
              </w:rPr>
              <w:t>)</w:t>
            </w:r>
          </w:p>
        </w:tc>
      </w:tr>
      <w:tr w:rsidR="00781BDD" w:rsidRPr="00E2627C" w:rsidTr="000B0270">
        <w:tc>
          <w:tcPr>
            <w:tcW w:w="2838" w:type="dxa"/>
            <w:vMerge/>
          </w:tcPr>
          <w:p w:rsidR="00781BDD" w:rsidRPr="00E2627C" w:rsidRDefault="00781BDD" w:rsidP="00153488">
            <w:pPr>
              <w:rPr>
                <w:rFonts w:ascii="Times New Roman" w:hAnsi="Times New Roman"/>
                <w:sz w:val="24"/>
                <w:szCs w:val="24"/>
                <w:lang w:val="lv-LV"/>
              </w:rPr>
            </w:pPr>
          </w:p>
        </w:tc>
        <w:tc>
          <w:tcPr>
            <w:tcW w:w="2557" w:type="dxa"/>
            <w:gridSpan w:val="2"/>
            <w:vMerge/>
          </w:tcPr>
          <w:p w:rsidR="00781BDD" w:rsidRPr="00E2627C" w:rsidRDefault="00781BDD" w:rsidP="00153488">
            <w:pPr>
              <w:rPr>
                <w:rFonts w:ascii="Times New Roman" w:hAnsi="Times New Roman"/>
                <w:sz w:val="24"/>
                <w:szCs w:val="24"/>
                <w:lang w:val="lv-LV"/>
              </w:rPr>
            </w:pPr>
          </w:p>
        </w:tc>
        <w:tc>
          <w:tcPr>
            <w:tcW w:w="1327" w:type="dxa"/>
          </w:tcPr>
          <w:p w:rsidR="00781BDD" w:rsidRPr="00E2627C" w:rsidRDefault="00924F30" w:rsidP="00153488">
            <w:pPr>
              <w:jc w:val="center"/>
              <w:rPr>
                <w:rFonts w:ascii="Times New Roman" w:hAnsi="Times New Roman"/>
                <w:b/>
                <w:sz w:val="24"/>
                <w:szCs w:val="24"/>
                <w:vertAlign w:val="subscript"/>
                <w:lang w:val="lv-LV"/>
              </w:rPr>
            </w:pPr>
            <w:r>
              <w:rPr>
                <w:rFonts w:ascii="Times New Roman" w:hAnsi="Times New Roman"/>
                <w:b/>
                <w:sz w:val="24"/>
                <w:szCs w:val="24"/>
                <w:lang w:val="lv-LV"/>
              </w:rPr>
              <w:t>2018</w:t>
            </w:r>
            <w:r w:rsidR="00061752" w:rsidRPr="00E2627C">
              <w:rPr>
                <w:rFonts w:ascii="Times New Roman" w:hAnsi="Times New Roman"/>
                <w:b/>
                <w:sz w:val="24"/>
                <w:szCs w:val="24"/>
                <w:lang w:val="lv-LV"/>
              </w:rPr>
              <w:t>.gads</w:t>
            </w:r>
          </w:p>
        </w:tc>
        <w:tc>
          <w:tcPr>
            <w:tcW w:w="1225" w:type="dxa"/>
          </w:tcPr>
          <w:p w:rsidR="00781BDD" w:rsidRPr="00E2627C" w:rsidRDefault="00924F30" w:rsidP="00153488">
            <w:pPr>
              <w:jc w:val="center"/>
              <w:rPr>
                <w:b/>
                <w:lang w:val="lv-LV"/>
              </w:rPr>
            </w:pPr>
            <w:r>
              <w:rPr>
                <w:rFonts w:ascii="Times New Roman" w:hAnsi="Times New Roman"/>
                <w:b/>
                <w:sz w:val="24"/>
                <w:szCs w:val="24"/>
                <w:lang w:val="lv-LV"/>
              </w:rPr>
              <w:t>2019</w:t>
            </w:r>
            <w:r w:rsidR="00781BDD" w:rsidRPr="00E2627C">
              <w:rPr>
                <w:rFonts w:ascii="Times New Roman" w:hAnsi="Times New Roman"/>
                <w:b/>
                <w:sz w:val="24"/>
                <w:szCs w:val="24"/>
                <w:lang w:val="lv-LV"/>
              </w:rPr>
              <w:t>.gads</w:t>
            </w:r>
          </w:p>
        </w:tc>
        <w:tc>
          <w:tcPr>
            <w:tcW w:w="1327" w:type="dxa"/>
          </w:tcPr>
          <w:p w:rsidR="00781BDD" w:rsidRPr="00E2627C" w:rsidRDefault="00924F30" w:rsidP="00153488">
            <w:pPr>
              <w:jc w:val="center"/>
              <w:rPr>
                <w:b/>
                <w:lang w:val="lv-LV"/>
              </w:rPr>
            </w:pPr>
            <w:r>
              <w:rPr>
                <w:rFonts w:ascii="Times New Roman" w:hAnsi="Times New Roman"/>
                <w:b/>
                <w:sz w:val="24"/>
                <w:szCs w:val="24"/>
                <w:lang w:val="lv-LV"/>
              </w:rPr>
              <w:t>2020</w:t>
            </w:r>
            <w:r w:rsidR="00781BDD" w:rsidRPr="00E2627C">
              <w:rPr>
                <w:rFonts w:ascii="Times New Roman" w:hAnsi="Times New Roman"/>
                <w:b/>
                <w:sz w:val="24"/>
                <w:szCs w:val="24"/>
                <w:lang w:val="lv-LV"/>
              </w:rPr>
              <w:t>.gads</w:t>
            </w:r>
          </w:p>
        </w:tc>
      </w:tr>
      <w:tr w:rsidR="00781BDD" w:rsidRPr="00E2627C" w:rsidTr="000B0270">
        <w:trPr>
          <w:trHeight w:val="1998"/>
        </w:trPr>
        <w:tc>
          <w:tcPr>
            <w:tcW w:w="2838" w:type="dxa"/>
            <w:vMerge/>
          </w:tcPr>
          <w:p w:rsidR="00781BDD" w:rsidRPr="00E2627C" w:rsidRDefault="00781BDD" w:rsidP="00153488">
            <w:pPr>
              <w:jc w:val="center"/>
              <w:rPr>
                <w:rFonts w:ascii="Times New Roman" w:hAnsi="Times New Roman"/>
                <w:sz w:val="24"/>
                <w:szCs w:val="24"/>
                <w:lang w:val="lv-LV"/>
              </w:rPr>
            </w:pPr>
          </w:p>
        </w:tc>
        <w:tc>
          <w:tcPr>
            <w:tcW w:w="1327" w:type="dxa"/>
            <w:vAlign w:val="center"/>
          </w:tcPr>
          <w:p w:rsidR="00781BDD" w:rsidRPr="00E2627C" w:rsidRDefault="00781BDD" w:rsidP="00CF7823">
            <w:pPr>
              <w:jc w:val="center"/>
              <w:rPr>
                <w:rFonts w:ascii="Times New Roman" w:hAnsi="Times New Roman"/>
                <w:sz w:val="24"/>
                <w:szCs w:val="24"/>
                <w:lang w:val="lv-LV"/>
              </w:rPr>
            </w:pPr>
            <w:r w:rsidRPr="00E2627C">
              <w:rPr>
                <w:rFonts w:ascii="Times New Roman" w:hAnsi="Times New Roman"/>
                <w:sz w:val="24"/>
                <w:szCs w:val="24"/>
                <w:lang w:val="lv-LV"/>
              </w:rPr>
              <w:t>saskaņā ar valsts budžetu kārtējam gadam</w:t>
            </w:r>
          </w:p>
        </w:tc>
        <w:tc>
          <w:tcPr>
            <w:tcW w:w="1230" w:type="dxa"/>
            <w:vAlign w:val="center"/>
          </w:tcPr>
          <w:p w:rsidR="00781BDD" w:rsidRPr="00E2627C" w:rsidRDefault="00781BDD" w:rsidP="00153488">
            <w:pPr>
              <w:jc w:val="center"/>
              <w:rPr>
                <w:rFonts w:ascii="Times New Roman" w:hAnsi="Times New Roman"/>
                <w:sz w:val="24"/>
                <w:szCs w:val="24"/>
                <w:lang w:val="lv-LV"/>
              </w:rPr>
            </w:pPr>
            <w:r w:rsidRPr="00E2627C">
              <w:rPr>
                <w:rFonts w:ascii="Times New Roman" w:hAnsi="Times New Roman"/>
                <w:sz w:val="24"/>
                <w:szCs w:val="24"/>
                <w:lang w:val="lv-LV"/>
              </w:rPr>
              <w:t>izmaiņas kārtējā gadā, salīdzinot ar budžetu kārtējam gadam</w:t>
            </w:r>
          </w:p>
        </w:tc>
        <w:tc>
          <w:tcPr>
            <w:tcW w:w="1327" w:type="dxa"/>
            <w:vAlign w:val="center"/>
          </w:tcPr>
          <w:p w:rsidR="00781BDD" w:rsidRPr="00E2627C" w:rsidRDefault="00781BDD" w:rsidP="00153488">
            <w:pPr>
              <w:jc w:val="center"/>
              <w:rPr>
                <w:rFonts w:ascii="Times New Roman" w:hAnsi="Times New Roman"/>
                <w:sz w:val="24"/>
                <w:szCs w:val="24"/>
                <w:lang w:val="lv-LV"/>
              </w:rPr>
            </w:pPr>
            <w:r w:rsidRPr="00E2627C">
              <w:rPr>
                <w:rFonts w:ascii="Times New Roman" w:hAnsi="Times New Roman"/>
                <w:sz w:val="24"/>
                <w:szCs w:val="24"/>
                <w:lang w:val="lv-LV"/>
              </w:rPr>
              <w:t>izmai</w:t>
            </w:r>
            <w:r w:rsidR="00924F30">
              <w:rPr>
                <w:rFonts w:ascii="Times New Roman" w:hAnsi="Times New Roman"/>
                <w:sz w:val="24"/>
                <w:szCs w:val="24"/>
                <w:lang w:val="lv-LV"/>
              </w:rPr>
              <w:t>ņas, salīdzinot ar kārtējo (2017</w:t>
            </w:r>
            <w:r w:rsidRPr="00E2627C">
              <w:rPr>
                <w:rFonts w:ascii="Times New Roman" w:hAnsi="Times New Roman"/>
                <w:sz w:val="24"/>
                <w:szCs w:val="24"/>
                <w:lang w:val="lv-LV"/>
              </w:rPr>
              <w:t>.) gadu</w:t>
            </w:r>
          </w:p>
        </w:tc>
        <w:tc>
          <w:tcPr>
            <w:tcW w:w="1225" w:type="dxa"/>
            <w:vAlign w:val="center"/>
          </w:tcPr>
          <w:p w:rsidR="00781BDD" w:rsidRPr="00E2627C" w:rsidRDefault="00781BDD" w:rsidP="00153488">
            <w:pPr>
              <w:jc w:val="center"/>
              <w:rPr>
                <w:rFonts w:ascii="Times New Roman" w:hAnsi="Times New Roman"/>
                <w:sz w:val="24"/>
                <w:szCs w:val="24"/>
                <w:lang w:val="lv-LV"/>
              </w:rPr>
            </w:pPr>
            <w:r w:rsidRPr="00E2627C">
              <w:rPr>
                <w:rFonts w:ascii="Times New Roman" w:hAnsi="Times New Roman"/>
                <w:sz w:val="24"/>
                <w:szCs w:val="24"/>
                <w:lang w:val="lv-LV"/>
              </w:rPr>
              <w:t>izmai</w:t>
            </w:r>
            <w:r w:rsidR="00924F30">
              <w:rPr>
                <w:rFonts w:ascii="Times New Roman" w:hAnsi="Times New Roman"/>
                <w:sz w:val="24"/>
                <w:szCs w:val="24"/>
                <w:lang w:val="lv-LV"/>
              </w:rPr>
              <w:t>ņas, salīdzinot ar kārtējo (2017</w:t>
            </w:r>
            <w:r w:rsidRPr="00E2627C">
              <w:rPr>
                <w:rFonts w:ascii="Times New Roman" w:hAnsi="Times New Roman"/>
                <w:sz w:val="24"/>
                <w:szCs w:val="24"/>
                <w:lang w:val="lv-LV"/>
              </w:rPr>
              <w:t>.) gadu</w:t>
            </w:r>
          </w:p>
        </w:tc>
        <w:tc>
          <w:tcPr>
            <w:tcW w:w="1327" w:type="dxa"/>
            <w:vAlign w:val="center"/>
          </w:tcPr>
          <w:p w:rsidR="00781BDD" w:rsidRPr="00E2627C" w:rsidRDefault="00781BDD" w:rsidP="00153488">
            <w:pPr>
              <w:jc w:val="center"/>
              <w:rPr>
                <w:rFonts w:ascii="Times New Roman" w:hAnsi="Times New Roman"/>
                <w:sz w:val="24"/>
                <w:szCs w:val="24"/>
                <w:lang w:val="lv-LV"/>
              </w:rPr>
            </w:pPr>
            <w:r w:rsidRPr="00E2627C">
              <w:rPr>
                <w:rFonts w:ascii="Times New Roman" w:hAnsi="Times New Roman"/>
                <w:sz w:val="24"/>
                <w:szCs w:val="24"/>
                <w:lang w:val="lv-LV"/>
              </w:rPr>
              <w:t>izmai</w:t>
            </w:r>
            <w:r w:rsidR="005E4131" w:rsidRPr="00E2627C">
              <w:rPr>
                <w:rFonts w:ascii="Times New Roman" w:hAnsi="Times New Roman"/>
                <w:sz w:val="24"/>
                <w:szCs w:val="24"/>
                <w:lang w:val="lv-LV"/>
              </w:rPr>
              <w:t xml:space="preserve">ņas, salīdzinot ar </w:t>
            </w:r>
            <w:r w:rsidR="00924F30">
              <w:rPr>
                <w:rFonts w:ascii="Times New Roman" w:hAnsi="Times New Roman"/>
                <w:sz w:val="24"/>
                <w:szCs w:val="24"/>
                <w:lang w:val="lv-LV"/>
              </w:rPr>
              <w:t>kārtējo (2017</w:t>
            </w:r>
            <w:r w:rsidRPr="00E2627C">
              <w:rPr>
                <w:rFonts w:ascii="Times New Roman" w:hAnsi="Times New Roman"/>
                <w:sz w:val="24"/>
                <w:szCs w:val="24"/>
                <w:lang w:val="lv-LV"/>
              </w:rPr>
              <w:t>.) gadu</w:t>
            </w:r>
          </w:p>
        </w:tc>
      </w:tr>
      <w:tr w:rsidR="00781BDD" w:rsidRPr="00E2627C" w:rsidTr="000B0270">
        <w:tc>
          <w:tcPr>
            <w:tcW w:w="2838" w:type="dxa"/>
          </w:tcPr>
          <w:p w:rsidR="00781BDD" w:rsidRPr="00E2627C" w:rsidRDefault="00781BDD" w:rsidP="00153488">
            <w:pPr>
              <w:jc w:val="center"/>
              <w:rPr>
                <w:rFonts w:ascii="Times New Roman" w:hAnsi="Times New Roman"/>
                <w:sz w:val="24"/>
                <w:szCs w:val="24"/>
                <w:lang w:val="lv-LV"/>
              </w:rPr>
            </w:pPr>
            <w:r w:rsidRPr="00E2627C">
              <w:rPr>
                <w:rFonts w:ascii="Times New Roman" w:hAnsi="Times New Roman"/>
                <w:sz w:val="24"/>
                <w:szCs w:val="24"/>
                <w:lang w:val="lv-LV"/>
              </w:rPr>
              <w:t>1</w:t>
            </w:r>
          </w:p>
        </w:tc>
        <w:tc>
          <w:tcPr>
            <w:tcW w:w="1327" w:type="dxa"/>
          </w:tcPr>
          <w:p w:rsidR="00781BDD" w:rsidRPr="00E2627C" w:rsidRDefault="00781BDD" w:rsidP="00153488">
            <w:pPr>
              <w:jc w:val="center"/>
              <w:rPr>
                <w:rFonts w:ascii="Times New Roman" w:hAnsi="Times New Roman"/>
                <w:sz w:val="24"/>
                <w:szCs w:val="24"/>
                <w:lang w:val="lv-LV"/>
              </w:rPr>
            </w:pPr>
            <w:r w:rsidRPr="00E2627C">
              <w:rPr>
                <w:rFonts w:ascii="Times New Roman" w:hAnsi="Times New Roman"/>
                <w:sz w:val="24"/>
                <w:szCs w:val="24"/>
                <w:lang w:val="lv-LV"/>
              </w:rPr>
              <w:t>2</w:t>
            </w:r>
          </w:p>
        </w:tc>
        <w:tc>
          <w:tcPr>
            <w:tcW w:w="1230" w:type="dxa"/>
          </w:tcPr>
          <w:p w:rsidR="00781BDD" w:rsidRPr="00E2627C" w:rsidRDefault="00781BDD" w:rsidP="00153488">
            <w:pPr>
              <w:jc w:val="center"/>
              <w:rPr>
                <w:rFonts w:ascii="Times New Roman" w:hAnsi="Times New Roman"/>
                <w:sz w:val="24"/>
                <w:szCs w:val="24"/>
                <w:lang w:val="lv-LV"/>
              </w:rPr>
            </w:pPr>
            <w:r w:rsidRPr="00E2627C">
              <w:rPr>
                <w:rFonts w:ascii="Times New Roman" w:hAnsi="Times New Roman"/>
                <w:sz w:val="24"/>
                <w:szCs w:val="24"/>
                <w:lang w:val="lv-LV"/>
              </w:rPr>
              <w:t>3</w:t>
            </w:r>
          </w:p>
        </w:tc>
        <w:tc>
          <w:tcPr>
            <w:tcW w:w="1327" w:type="dxa"/>
          </w:tcPr>
          <w:p w:rsidR="00781BDD" w:rsidRPr="00E2627C" w:rsidRDefault="00781BDD" w:rsidP="00153488">
            <w:pPr>
              <w:jc w:val="center"/>
              <w:rPr>
                <w:rFonts w:ascii="Times New Roman" w:hAnsi="Times New Roman"/>
                <w:sz w:val="24"/>
                <w:szCs w:val="24"/>
                <w:lang w:val="lv-LV"/>
              </w:rPr>
            </w:pPr>
            <w:r w:rsidRPr="00E2627C">
              <w:rPr>
                <w:rFonts w:ascii="Times New Roman" w:hAnsi="Times New Roman"/>
                <w:sz w:val="24"/>
                <w:szCs w:val="24"/>
                <w:lang w:val="lv-LV"/>
              </w:rPr>
              <w:t>4</w:t>
            </w:r>
          </w:p>
        </w:tc>
        <w:tc>
          <w:tcPr>
            <w:tcW w:w="1225" w:type="dxa"/>
          </w:tcPr>
          <w:p w:rsidR="00781BDD" w:rsidRPr="00E2627C" w:rsidRDefault="00781BDD" w:rsidP="00153488">
            <w:pPr>
              <w:jc w:val="center"/>
              <w:rPr>
                <w:rFonts w:ascii="Times New Roman" w:hAnsi="Times New Roman"/>
                <w:sz w:val="24"/>
                <w:szCs w:val="24"/>
                <w:lang w:val="lv-LV"/>
              </w:rPr>
            </w:pPr>
            <w:r w:rsidRPr="00E2627C">
              <w:rPr>
                <w:rFonts w:ascii="Times New Roman" w:hAnsi="Times New Roman"/>
                <w:sz w:val="24"/>
                <w:szCs w:val="24"/>
                <w:lang w:val="lv-LV"/>
              </w:rPr>
              <w:t>5</w:t>
            </w:r>
          </w:p>
        </w:tc>
        <w:tc>
          <w:tcPr>
            <w:tcW w:w="1327" w:type="dxa"/>
          </w:tcPr>
          <w:p w:rsidR="00781BDD" w:rsidRPr="00E2627C" w:rsidRDefault="00781BDD" w:rsidP="00153488">
            <w:pPr>
              <w:jc w:val="center"/>
              <w:rPr>
                <w:rFonts w:ascii="Times New Roman" w:hAnsi="Times New Roman"/>
                <w:sz w:val="24"/>
                <w:szCs w:val="24"/>
                <w:lang w:val="lv-LV"/>
              </w:rPr>
            </w:pPr>
            <w:r w:rsidRPr="00E2627C">
              <w:rPr>
                <w:rFonts w:ascii="Times New Roman" w:hAnsi="Times New Roman"/>
                <w:sz w:val="24"/>
                <w:szCs w:val="24"/>
                <w:lang w:val="lv-LV"/>
              </w:rPr>
              <w:t>6</w:t>
            </w:r>
          </w:p>
        </w:tc>
      </w:tr>
      <w:tr w:rsidR="00781BDD" w:rsidRPr="00E2627C" w:rsidTr="000B0270">
        <w:tc>
          <w:tcPr>
            <w:tcW w:w="2838" w:type="dxa"/>
          </w:tcPr>
          <w:p w:rsidR="00781BDD" w:rsidRPr="00E2627C" w:rsidRDefault="00781BDD" w:rsidP="00153488">
            <w:pPr>
              <w:jc w:val="both"/>
              <w:rPr>
                <w:rFonts w:ascii="Times New Roman" w:hAnsi="Times New Roman"/>
                <w:sz w:val="24"/>
                <w:szCs w:val="24"/>
                <w:lang w:val="lv-LV"/>
              </w:rPr>
            </w:pPr>
            <w:r w:rsidRPr="00E2627C">
              <w:rPr>
                <w:rFonts w:ascii="Times New Roman" w:hAnsi="Times New Roman"/>
                <w:sz w:val="24"/>
                <w:szCs w:val="24"/>
                <w:lang w:val="lv-LV"/>
              </w:rPr>
              <w:t>1. Budžeta ieņēmumi:</w:t>
            </w:r>
          </w:p>
        </w:tc>
        <w:tc>
          <w:tcPr>
            <w:tcW w:w="1327" w:type="dxa"/>
          </w:tcPr>
          <w:p w:rsidR="00781BDD" w:rsidRPr="00E2627C" w:rsidRDefault="00E81468" w:rsidP="00E81468">
            <w:pPr>
              <w:jc w:val="center"/>
              <w:rPr>
                <w:rFonts w:ascii="Times New Roman" w:hAnsi="Times New Roman"/>
                <w:sz w:val="24"/>
                <w:szCs w:val="24"/>
                <w:lang w:val="lv-LV"/>
              </w:rPr>
            </w:pPr>
            <w:r>
              <w:rPr>
                <w:rFonts w:ascii="Times New Roman" w:hAnsi="Times New Roman"/>
                <w:sz w:val="24"/>
                <w:szCs w:val="24"/>
                <w:lang w:val="lv-LV"/>
              </w:rPr>
              <w:t>0</w:t>
            </w:r>
          </w:p>
        </w:tc>
        <w:tc>
          <w:tcPr>
            <w:tcW w:w="1230" w:type="dxa"/>
          </w:tcPr>
          <w:p w:rsidR="00781BDD" w:rsidRPr="00E2627C" w:rsidRDefault="00E81468" w:rsidP="00E81468">
            <w:pPr>
              <w:jc w:val="center"/>
              <w:rPr>
                <w:rFonts w:ascii="Times New Roman" w:hAnsi="Times New Roman"/>
                <w:sz w:val="24"/>
                <w:szCs w:val="24"/>
                <w:lang w:val="lv-LV"/>
              </w:rPr>
            </w:pPr>
            <w:r>
              <w:rPr>
                <w:rFonts w:ascii="Times New Roman" w:hAnsi="Times New Roman"/>
                <w:sz w:val="24"/>
                <w:szCs w:val="24"/>
                <w:lang w:val="lv-LV"/>
              </w:rPr>
              <w:t>0</w:t>
            </w:r>
          </w:p>
        </w:tc>
        <w:tc>
          <w:tcPr>
            <w:tcW w:w="1327" w:type="dxa"/>
          </w:tcPr>
          <w:p w:rsidR="00781BDD" w:rsidRPr="00E2627C" w:rsidRDefault="00E81468" w:rsidP="00E81468">
            <w:pPr>
              <w:jc w:val="center"/>
              <w:rPr>
                <w:rFonts w:ascii="Times New Roman" w:hAnsi="Times New Roman"/>
                <w:sz w:val="24"/>
                <w:szCs w:val="24"/>
                <w:lang w:val="lv-LV"/>
              </w:rPr>
            </w:pPr>
            <w:r>
              <w:rPr>
                <w:rFonts w:ascii="Times New Roman" w:hAnsi="Times New Roman"/>
                <w:sz w:val="24"/>
                <w:szCs w:val="24"/>
                <w:lang w:val="lv-LV"/>
              </w:rPr>
              <w:t>0</w:t>
            </w:r>
          </w:p>
        </w:tc>
        <w:tc>
          <w:tcPr>
            <w:tcW w:w="1225" w:type="dxa"/>
          </w:tcPr>
          <w:p w:rsidR="00781BDD" w:rsidRPr="00E2627C" w:rsidRDefault="000A6056" w:rsidP="00E81468">
            <w:pPr>
              <w:jc w:val="center"/>
              <w:rPr>
                <w:rFonts w:ascii="Times New Roman" w:hAnsi="Times New Roman"/>
                <w:sz w:val="24"/>
                <w:szCs w:val="24"/>
                <w:lang w:val="lv-LV"/>
              </w:rPr>
            </w:pPr>
            <w:r>
              <w:rPr>
                <w:rFonts w:ascii="Times New Roman" w:hAnsi="Times New Roman"/>
                <w:sz w:val="24"/>
                <w:szCs w:val="24"/>
                <w:lang w:val="lv-LV"/>
              </w:rPr>
              <w:t>2391</w:t>
            </w:r>
          </w:p>
        </w:tc>
        <w:tc>
          <w:tcPr>
            <w:tcW w:w="1327" w:type="dxa"/>
          </w:tcPr>
          <w:p w:rsidR="00781BDD" w:rsidRPr="00E2627C" w:rsidRDefault="000A6056" w:rsidP="00E81468">
            <w:pPr>
              <w:jc w:val="center"/>
              <w:rPr>
                <w:rFonts w:ascii="Times New Roman" w:hAnsi="Times New Roman"/>
                <w:sz w:val="24"/>
                <w:szCs w:val="24"/>
                <w:lang w:val="lv-LV"/>
              </w:rPr>
            </w:pPr>
            <w:r>
              <w:rPr>
                <w:rFonts w:ascii="Times New Roman" w:hAnsi="Times New Roman"/>
                <w:sz w:val="24"/>
                <w:szCs w:val="24"/>
                <w:lang w:val="lv-LV"/>
              </w:rPr>
              <w:t>7970</w:t>
            </w:r>
          </w:p>
        </w:tc>
      </w:tr>
      <w:tr w:rsidR="00781BDD" w:rsidRPr="00E2627C" w:rsidTr="000B0270">
        <w:tc>
          <w:tcPr>
            <w:tcW w:w="2838" w:type="dxa"/>
          </w:tcPr>
          <w:p w:rsidR="00781BDD" w:rsidRPr="00E2627C" w:rsidRDefault="00781BDD" w:rsidP="00917640">
            <w:pPr>
              <w:rPr>
                <w:rFonts w:ascii="Times New Roman" w:hAnsi="Times New Roman"/>
                <w:sz w:val="24"/>
                <w:szCs w:val="24"/>
                <w:lang w:val="lv-LV"/>
              </w:rPr>
            </w:pPr>
            <w:r w:rsidRPr="00E2627C">
              <w:rPr>
                <w:rFonts w:ascii="Times New Roman" w:hAnsi="Times New Roman"/>
                <w:sz w:val="24"/>
                <w:szCs w:val="24"/>
                <w:lang w:val="lv-LV"/>
              </w:rPr>
              <w:t>1.1. valsts pamatbudžets, tai skaitā ieņēmumi no maksas pakalpojumiem un citi pašu ieņēmumi</w:t>
            </w:r>
          </w:p>
        </w:tc>
        <w:tc>
          <w:tcPr>
            <w:tcW w:w="1327" w:type="dxa"/>
          </w:tcPr>
          <w:p w:rsidR="00781BDD" w:rsidRPr="00E2627C" w:rsidRDefault="00E81468" w:rsidP="00E81468">
            <w:pPr>
              <w:jc w:val="center"/>
              <w:rPr>
                <w:rFonts w:ascii="Times New Roman" w:hAnsi="Times New Roman"/>
                <w:sz w:val="24"/>
                <w:szCs w:val="24"/>
                <w:lang w:val="lv-LV"/>
              </w:rPr>
            </w:pPr>
            <w:r>
              <w:rPr>
                <w:rFonts w:ascii="Times New Roman" w:hAnsi="Times New Roman"/>
                <w:sz w:val="24"/>
                <w:szCs w:val="24"/>
                <w:lang w:val="lv-LV"/>
              </w:rPr>
              <w:t>0</w:t>
            </w:r>
          </w:p>
        </w:tc>
        <w:tc>
          <w:tcPr>
            <w:tcW w:w="1230" w:type="dxa"/>
          </w:tcPr>
          <w:p w:rsidR="00781BDD" w:rsidRPr="00E2627C" w:rsidRDefault="000A6056" w:rsidP="00E81468">
            <w:pPr>
              <w:jc w:val="center"/>
              <w:rPr>
                <w:rFonts w:ascii="Times New Roman" w:hAnsi="Times New Roman"/>
                <w:sz w:val="24"/>
                <w:szCs w:val="24"/>
                <w:lang w:val="lv-LV"/>
              </w:rPr>
            </w:pPr>
            <w:r>
              <w:rPr>
                <w:rFonts w:ascii="Times New Roman" w:hAnsi="Times New Roman"/>
                <w:sz w:val="24"/>
                <w:szCs w:val="24"/>
                <w:lang w:val="lv-LV"/>
              </w:rPr>
              <w:t>0</w:t>
            </w:r>
          </w:p>
        </w:tc>
        <w:tc>
          <w:tcPr>
            <w:tcW w:w="1327" w:type="dxa"/>
          </w:tcPr>
          <w:p w:rsidR="00781BDD" w:rsidRPr="00E2627C" w:rsidRDefault="000A6056" w:rsidP="00E81468">
            <w:pPr>
              <w:jc w:val="center"/>
              <w:rPr>
                <w:rFonts w:ascii="Times New Roman" w:hAnsi="Times New Roman"/>
                <w:sz w:val="24"/>
                <w:szCs w:val="24"/>
                <w:lang w:val="lv-LV"/>
              </w:rPr>
            </w:pPr>
            <w:r>
              <w:rPr>
                <w:rFonts w:ascii="Times New Roman" w:hAnsi="Times New Roman"/>
                <w:sz w:val="24"/>
                <w:szCs w:val="24"/>
                <w:lang w:val="lv-LV"/>
              </w:rPr>
              <w:t>0</w:t>
            </w:r>
          </w:p>
        </w:tc>
        <w:tc>
          <w:tcPr>
            <w:tcW w:w="1225" w:type="dxa"/>
          </w:tcPr>
          <w:p w:rsidR="00781BDD" w:rsidRPr="00E2627C" w:rsidRDefault="000A6056" w:rsidP="00E81468">
            <w:pPr>
              <w:jc w:val="center"/>
              <w:rPr>
                <w:rFonts w:ascii="Times New Roman" w:hAnsi="Times New Roman"/>
                <w:sz w:val="24"/>
                <w:szCs w:val="24"/>
                <w:lang w:val="lv-LV"/>
              </w:rPr>
            </w:pPr>
            <w:r>
              <w:rPr>
                <w:rFonts w:ascii="Times New Roman" w:hAnsi="Times New Roman"/>
                <w:sz w:val="24"/>
                <w:szCs w:val="24"/>
                <w:lang w:val="lv-LV"/>
              </w:rPr>
              <w:t>2391</w:t>
            </w:r>
          </w:p>
        </w:tc>
        <w:tc>
          <w:tcPr>
            <w:tcW w:w="1327" w:type="dxa"/>
          </w:tcPr>
          <w:p w:rsidR="00781BDD" w:rsidRPr="00E2627C" w:rsidRDefault="000A6056" w:rsidP="00E81468">
            <w:pPr>
              <w:jc w:val="center"/>
              <w:rPr>
                <w:rFonts w:ascii="Times New Roman" w:hAnsi="Times New Roman"/>
                <w:sz w:val="24"/>
                <w:szCs w:val="24"/>
                <w:lang w:val="lv-LV"/>
              </w:rPr>
            </w:pPr>
            <w:r>
              <w:rPr>
                <w:rFonts w:ascii="Times New Roman" w:hAnsi="Times New Roman"/>
                <w:sz w:val="24"/>
                <w:szCs w:val="24"/>
                <w:lang w:val="lv-LV"/>
              </w:rPr>
              <w:t>7970</w:t>
            </w:r>
          </w:p>
        </w:tc>
      </w:tr>
      <w:tr w:rsidR="00781BDD" w:rsidRPr="00E2627C" w:rsidTr="000B0270">
        <w:tc>
          <w:tcPr>
            <w:tcW w:w="2838" w:type="dxa"/>
          </w:tcPr>
          <w:p w:rsidR="00781BDD" w:rsidRPr="00E2627C" w:rsidRDefault="00781BDD" w:rsidP="00917640">
            <w:pPr>
              <w:rPr>
                <w:rFonts w:ascii="Times New Roman" w:hAnsi="Times New Roman"/>
                <w:sz w:val="24"/>
                <w:szCs w:val="24"/>
                <w:lang w:val="lv-LV"/>
              </w:rPr>
            </w:pPr>
            <w:r w:rsidRPr="00E2627C">
              <w:rPr>
                <w:rFonts w:ascii="Times New Roman" w:hAnsi="Times New Roman"/>
                <w:sz w:val="24"/>
                <w:szCs w:val="24"/>
                <w:lang w:val="lv-LV"/>
              </w:rPr>
              <w:t>1.2. valsts speciālais budžets</w:t>
            </w:r>
          </w:p>
        </w:tc>
        <w:tc>
          <w:tcPr>
            <w:tcW w:w="1327" w:type="dxa"/>
          </w:tcPr>
          <w:p w:rsidR="00781BDD" w:rsidRPr="00E2627C" w:rsidRDefault="00E81468" w:rsidP="00E81468">
            <w:pPr>
              <w:jc w:val="center"/>
              <w:rPr>
                <w:rFonts w:ascii="Times New Roman" w:hAnsi="Times New Roman"/>
                <w:sz w:val="24"/>
                <w:szCs w:val="24"/>
                <w:lang w:val="lv-LV"/>
              </w:rPr>
            </w:pPr>
            <w:r>
              <w:rPr>
                <w:rFonts w:ascii="Times New Roman" w:hAnsi="Times New Roman"/>
                <w:sz w:val="24"/>
                <w:szCs w:val="24"/>
                <w:lang w:val="lv-LV"/>
              </w:rPr>
              <w:t>0</w:t>
            </w:r>
          </w:p>
        </w:tc>
        <w:tc>
          <w:tcPr>
            <w:tcW w:w="1230" w:type="dxa"/>
          </w:tcPr>
          <w:p w:rsidR="00781BDD" w:rsidRPr="00E2627C" w:rsidRDefault="000A6056" w:rsidP="00E81468">
            <w:pPr>
              <w:jc w:val="center"/>
              <w:rPr>
                <w:rFonts w:ascii="Times New Roman" w:hAnsi="Times New Roman"/>
                <w:sz w:val="24"/>
                <w:szCs w:val="24"/>
                <w:lang w:val="lv-LV"/>
              </w:rPr>
            </w:pPr>
            <w:r>
              <w:rPr>
                <w:rFonts w:ascii="Times New Roman" w:hAnsi="Times New Roman"/>
                <w:sz w:val="24"/>
                <w:szCs w:val="24"/>
                <w:lang w:val="lv-LV"/>
              </w:rPr>
              <w:t>0</w:t>
            </w:r>
          </w:p>
        </w:tc>
        <w:tc>
          <w:tcPr>
            <w:tcW w:w="1327" w:type="dxa"/>
          </w:tcPr>
          <w:p w:rsidR="00781BDD" w:rsidRPr="00E2627C" w:rsidRDefault="000A6056" w:rsidP="00E81468">
            <w:pPr>
              <w:jc w:val="center"/>
              <w:rPr>
                <w:rFonts w:ascii="Times New Roman" w:hAnsi="Times New Roman"/>
                <w:sz w:val="24"/>
                <w:szCs w:val="24"/>
                <w:lang w:val="lv-LV"/>
              </w:rPr>
            </w:pPr>
            <w:r>
              <w:rPr>
                <w:rFonts w:ascii="Times New Roman" w:hAnsi="Times New Roman"/>
                <w:sz w:val="24"/>
                <w:szCs w:val="24"/>
                <w:lang w:val="lv-LV"/>
              </w:rPr>
              <w:t>0</w:t>
            </w:r>
          </w:p>
        </w:tc>
        <w:tc>
          <w:tcPr>
            <w:tcW w:w="1225" w:type="dxa"/>
          </w:tcPr>
          <w:p w:rsidR="00781BDD" w:rsidRPr="00E2627C" w:rsidRDefault="000A6056" w:rsidP="00E81468">
            <w:pPr>
              <w:jc w:val="center"/>
              <w:rPr>
                <w:rFonts w:ascii="Times New Roman" w:hAnsi="Times New Roman"/>
                <w:sz w:val="24"/>
                <w:szCs w:val="24"/>
                <w:lang w:val="lv-LV"/>
              </w:rPr>
            </w:pPr>
            <w:r>
              <w:rPr>
                <w:rFonts w:ascii="Times New Roman" w:hAnsi="Times New Roman"/>
                <w:sz w:val="24"/>
                <w:szCs w:val="24"/>
                <w:lang w:val="lv-LV"/>
              </w:rPr>
              <w:t>0</w:t>
            </w:r>
          </w:p>
        </w:tc>
        <w:tc>
          <w:tcPr>
            <w:tcW w:w="1327" w:type="dxa"/>
          </w:tcPr>
          <w:p w:rsidR="00781BDD" w:rsidRPr="00E2627C" w:rsidRDefault="000A6056" w:rsidP="00E81468">
            <w:pPr>
              <w:jc w:val="center"/>
              <w:rPr>
                <w:rFonts w:ascii="Times New Roman" w:hAnsi="Times New Roman"/>
                <w:sz w:val="24"/>
                <w:szCs w:val="24"/>
                <w:lang w:val="lv-LV"/>
              </w:rPr>
            </w:pPr>
            <w:r>
              <w:rPr>
                <w:rFonts w:ascii="Times New Roman" w:hAnsi="Times New Roman"/>
                <w:sz w:val="24"/>
                <w:szCs w:val="24"/>
                <w:lang w:val="lv-LV"/>
              </w:rPr>
              <w:t>0</w:t>
            </w:r>
          </w:p>
        </w:tc>
      </w:tr>
      <w:tr w:rsidR="00781BDD" w:rsidRPr="00E2627C" w:rsidTr="000B0270">
        <w:tc>
          <w:tcPr>
            <w:tcW w:w="2838" w:type="dxa"/>
          </w:tcPr>
          <w:p w:rsidR="00781BDD" w:rsidRPr="00E2627C" w:rsidRDefault="00781BDD" w:rsidP="00153488">
            <w:pPr>
              <w:jc w:val="both"/>
              <w:rPr>
                <w:rFonts w:ascii="Times New Roman" w:hAnsi="Times New Roman"/>
                <w:sz w:val="24"/>
                <w:szCs w:val="24"/>
                <w:lang w:val="lv-LV"/>
              </w:rPr>
            </w:pPr>
            <w:r w:rsidRPr="00E2627C">
              <w:rPr>
                <w:rFonts w:ascii="Times New Roman" w:hAnsi="Times New Roman"/>
                <w:sz w:val="24"/>
                <w:szCs w:val="24"/>
                <w:lang w:val="lv-LV"/>
              </w:rPr>
              <w:t> 1.3. pašvaldību budžets</w:t>
            </w:r>
          </w:p>
        </w:tc>
        <w:tc>
          <w:tcPr>
            <w:tcW w:w="1327" w:type="dxa"/>
          </w:tcPr>
          <w:p w:rsidR="00781BDD" w:rsidRPr="00E2627C" w:rsidRDefault="00E81468" w:rsidP="00E81468">
            <w:pPr>
              <w:jc w:val="center"/>
              <w:rPr>
                <w:rFonts w:ascii="Times New Roman" w:hAnsi="Times New Roman"/>
                <w:sz w:val="24"/>
                <w:szCs w:val="24"/>
                <w:lang w:val="lv-LV"/>
              </w:rPr>
            </w:pPr>
            <w:r>
              <w:rPr>
                <w:rFonts w:ascii="Times New Roman" w:hAnsi="Times New Roman"/>
                <w:sz w:val="24"/>
                <w:szCs w:val="24"/>
                <w:lang w:val="lv-LV"/>
              </w:rPr>
              <w:t>0</w:t>
            </w:r>
          </w:p>
        </w:tc>
        <w:tc>
          <w:tcPr>
            <w:tcW w:w="1230" w:type="dxa"/>
          </w:tcPr>
          <w:p w:rsidR="00781BDD" w:rsidRPr="00E2627C" w:rsidRDefault="00E81468" w:rsidP="00E81468">
            <w:pPr>
              <w:jc w:val="center"/>
              <w:rPr>
                <w:rFonts w:ascii="Times New Roman" w:hAnsi="Times New Roman"/>
                <w:sz w:val="24"/>
                <w:szCs w:val="24"/>
                <w:lang w:val="lv-LV"/>
              </w:rPr>
            </w:pPr>
            <w:r>
              <w:rPr>
                <w:rFonts w:ascii="Times New Roman" w:hAnsi="Times New Roman"/>
                <w:sz w:val="24"/>
                <w:szCs w:val="24"/>
                <w:lang w:val="lv-LV"/>
              </w:rPr>
              <w:t>0</w:t>
            </w:r>
          </w:p>
        </w:tc>
        <w:tc>
          <w:tcPr>
            <w:tcW w:w="1327" w:type="dxa"/>
          </w:tcPr>
          <w:p w:rsidR="00781BDD" w:rsidRPr="00E2627C" w:rsidRDefault="00E81468" w:rsidP="00E81468">
            <w:pPr>
              <w:jc w:val="center"/>
              <w:rPr>
                <w:rFonts w:ascii="Times New Roman" w:hAnsi="Times New Roman"/>
                <w:sz w:val="24"/>
                <w:szCs w:val="24"/>
                <w:lang w:val="lv-LV"/>
              </w:rPr>
            </w:pPr>
            <w:r>
              <w:rPr>
                <w:rFonts w:ascii="Times New Roman" w:hAnsi="Times New Roman"/>
                <w:sz w:val="24"/>
                <w:szCs w:val="24"/>
                <w:lang w:val="lv-LV"/>
              </w:rPr>
              <w:t>0</w:t>
            </w:r>
          </w:p>
        </w:tc>
        <w:tc>
          <w:tcPr>
            <w:tcW w:w="1225" w:type="dxa"/>
          </w:tcPr>
          <w:p w:rsidR="00781BDD" w:rsidRPr="00E2627C" w:rsidRDefault="00E81468" w:rsidP="00E81468">
            <w:pPr>
              <w:jc w:val="center"/>
              <w:rPr>
                <w:rFonts w:ascii="Times New Roman" w:hAnsi="Times New Roman"/>
                <w:sz w:val="24"/>
                <w:szCs w:val="24"/>
                <w:lang w:val="lv-LV"/>
              </w:rPr>
            </w:pPr>
            <w:r>
              <w:rPr>
                <w:rFonts w:ascii="Times New Roman" w:hAnsi="Times New Roman"/>
                <w:sz w:val="24"/>
                <w:szCs w:val="24"/>
                <w:lang w:val="lv-LV"/>
              </w:rPr>
              <w:t>0</w:t>
            </w:r>
          </w:p>
        </w:tc>
        <w:tc>
          <w:tcPr>
            <w:tcW w:w="1327" w:type="dxa"/>
          </w:tcPr>
          <w:p w:rsidR="00781BDD" w:rsidRPr="00E2627C" w:rsidRDefault="00E81468" w:rsidP="00E81468">
            <w:pPr>
              <w:jc w:val="center"/>
              <w:rPr>
                <w:rFonts w:ascii="Times New Roman" w:hAnsi="Times New Roman"/>
                <w:sz w:val="24"/>
                <w:szCs w:val="24"/>
                <w:lang w:val="lv-LV"/>
              </w:rPr>
            </w:pPr>
            <w:r>
              <w:rPr>
                <w:rFonts w:ascii="Times New Roman" w:hAnsi="Times New Roman"/>
                <w:sz w:val="24"/>
                <w:szCs w:val="24"/>
                <w:lang w:val="lv-LV"/>
              </w:rPr>
              <w:t>0</w:t>
            </w:r>
          </w:p>
        </w:tc>
      </w:tr>
      <w:tr w:rsidR="00781BDD" w:rsidRPr="00E2627C" w:rsidTr="000B0270">
        <w:tc>
          <w:tcPr>
            <w:tcW w:w="2838" w:type="dxa"/>
          </w:tcPr>
          <w:p w:rsidR="00781BDD" w:rsidRPr="00E2627C" w:rsidRDefault="00781BDD" w:rsidP="00153488">
            <w:pPr>
              <w:jc w:val="both"/>
              <w:rPr>
                <w:rFonts w:ascii="Times New Roman" w:hAnsi="Times New Roman"/>
                <w:sz w:val="24"/>
                <w:szCs w:val="24"/>
                <w:lang w:val="lv-LV"/>
              </w:rPr>
            </w:pPr>
            <w:r w:rsidRPr="00E2627C">
              <w:rPr>
                <w:rFonts w:ascii="Times New Roman" w:hAnsi="Times New Roman"/>
                <w:sz w:val="24"/>
                <w:szCs w:val="24"/>
                <w:lang w:val="lv-LV"/>
              </w:rPr>
              <w:t> 2. Budžeta izdevumi:</w:t>
            </w:r>
          </w:p>
        </w:tc>
        <w:tc>
          <w:tcPr>
            <w:tcW w:w="1327" w:type="dxa"/>
          </w:tcPr>
          <w:p w:rsidR="00781BDD" w:rsidRPr="00E2627C" w:rsidRDefault="00E81468" w:rsidP="00E81468">
            <w:pPr>
              <w:jc w:val="center"/>
              <w:rPr>
                <w:rFonts w:ascii="Times New Roman" w:hAnsi="Times New Roman"/>
                <w:sz w:val="24"/>
                <w:szCs w:val="24"/>
                <w:lang w:val="lv-LV"/>
              </w:rPr>
            </w:pPr>
            <w:r>
              <w:rPr>
                <w:rFonts w:ascii="Times New Roman" w:hAnsi="Times New Roman"/>
                <w:sz w:val="24"/>
                <w:szCs w:val="24"/>
                <w:lang w:val="lv-LV"/>
              </w:rPr>
              <w:t>0</w:t>
            </w:r>
          </w:p>
        </w:tc>
        <w:tc>
          <w:tcPr>
            <w:tcW w:w="1230" w:type="dxa"/>
          </w:tcPr>
          <w:p w:rsidR="00781BDD" w:rsidRPr="00E2627C" w:rsidRDefault="000A6056" w:rsidP="00E81468">
            <w:pPr>
              <w:jc w:val="center"/>
              <w:rPr>
                <w:rFonts w:ascii="Times New Roman" w:hAnsi="Times New Roman"/>
                <w:sz w:val="24"/>
                <w:szCs w:val="24"/>
                <w:lang w:val="lv-LV"/>
              </w:rPr>
            </w:pPr>
            <w:r>
              <w:rPr>
                <w:rFonts w:ascii="Times New Roman" w:hAnsi="Times New Roman"/>
                <w:sz w:val="24"/>
                <w:szCs w:val="24"/>
                <w:lang w:val="lv-LV"/>
              </w:rPr>
              <w:t>0</w:t>
            </w:r>
          </w:p>
        </w:tc>
        <w:tc>
          <w:tcPr>
            <w:tcW w:w="1327" w:type="dxa"/>
          </w:tcPr>
          <w:p w:rsidR="00781BDD" w:rsidRPr="002246D5" w:rsidRDefault="002246D5" w:rsidP="002246D5">
            <w:pPr>
              <w:jc w:val="center"/>
              <w:rPr>
                <w:rFonts w:ascii="Times New Roman" w:hAnsi="Times New Roman"/>
                <w:sz w:val="24"/>
                <w:szCs w:val="24"/>
                <w:lang w:val="lv-LV"/>
              </w:rPr>
            </w:pPr>
            <w:r w:rsidRPr="002246D5">
              <w:rPr>
                <w:rFonts w:ascii="Times New Roman" w:hAnsi="Times New Roman"/>
                <w:sz w:val="24"/>
                <w:szCs w:val="24"/>
                <w:lang w:val="lv-LV"/>
              </w:rPr>
              <w:t>Nav precīzi aprēķināms</w:t>
            </w:r>
          </w:p>
        </w:tc>
        <w:tc>
          <w:tcPr>
            <w:tcW w:w="1225" w:type="dxa"/>
          </w:tcPr>
          <w:p w:rsidR="00781BDD" w:rsidRPr="002246D5" w:rsidRDefault="002246D5" w:rsidP="00E81468">
            <w:pPr>
              <w:jc w:val="center"/>
              <w:rPr>
                <w:rFonts w:ascii="Times New Roman" w:hAnsi="Times New Roman"/>
                <w:sz w:val="24"/>
                <w:szCs w:val="24"/>
                <w:lang w:val="lv-LV"/>
              </w:rPr>
            </w:pPr>
            <w:r w:rsidRPr="002246D5">
              <w:rPr>
                <w:rFonts w:ascii="Times New Roman" w:hAnsi="Times New Roman"/>
                <w:sz w:val="24"/>
                <w:szCs w:val="24"/>
                <w:lang w:val="lv-LV"/>
              </w:rPr>
              <w:t>33 436</w:t>
            </w:r>
          </w:p>
        </w:tc>
        <w:tc>
          <w:tcPr>
            <w:tcW w:w="1327" w:type="dxa"/>
          </w:tcPr>
          <w:p w:rsidR="00781BDD" w:rsidRPr="002246D5" w:rsidRDefault="002246D5" w:rsidP="00E81468">
            <w:pPr>
              <w:jc w:val="center"/>
              <w:rPr>
                <w:rFonts w:ascii="Times New Roman" w:hAnsi="Times New Roman"/>
                <w:sz w:val="24"/>
                <w:szCs w:val="24"/>
                <w:lang w:val="lv-LV"/>
              </w:rPr>
            </w:pPr>
            <w:r w:rsidRPr="002246D5">
              <w:rPr>
                <w:rFonts w:ascii="Times New Roman" w:hAnsi="Times New Roman"/>
                <w:sz w:val="24"/>
                <w:szCs w:val="24"/>
                <w:lang w:val="lv-LV"/>
              </w:rPr>
              <w:t>33 436</w:t>
            </w:r>
          </w:p>
        </w:tc>
      </w:tr>
      <w:tr w:rsidR="002246D5" w:rsidRPr="00E2627C" w:rsidTr="000B0270">
        <w:tc>
          <w:tcPr>
            <w:tcW w:w="2838" w:type="dxa"/>
          </w:tcPr>
          <w:p w:rsidR="002246D5" w:rsidRPr="002246D5" w:rsidRDefault="002246D5" w:rsidP="002246D5">
            <w:pPr>
              <w:jc w:val="both"/>
              <w:rPr>
                <w:rFonts w:ascii="Times New Roman" w:hAnsi="Times New Roman"/>
                <w:sz w:val="24"/>
                <w:szCs w:val="24"/>
                <w:lang w:val="lv-LV"/>
              </w:rPr>
            </w:pPr>
            <w:r w:rsidRPr="002246D5">
              <w:rPr>
                <w:rFonts w:ascii="Times New Roman" w:hAnsi="Times New Roman"/>
                <w:sz w:val="24"/>
                <w:szCs w:val="24"/>
                <w:lang w:val="lv-LV"/>
              </w:rPr>
              <w:t> 2.1. valsts pamatbudžets</w:t>
            </w:r>
          </w:p>
        </w:tc>
        <w:tc>
          <w:tcPr>
            <w:tcW w:w="1327" w:type="dxa"/>
          </w:tcPr>
          <w:p w:rsidR="002246D5" w:rsidRPr="00E2627C" w:rsidRDefault="002246D5" w:rsidP="002246D5">
            <w:pPr>
              <w:jc w:val="center"/>
              <w:rPr>
                <w:rFonts w:ascii="Times New Roman" w:hAnsi="Times New Roman"/>
                <w:sz w:val="24"/>
                <w:szCs w:val="24"/>
                <w:lang w:val="lv-LV"/>
              </w:rPr>
            </w:pPr>
            <w:r>
              <w:rPr>
                <w:rFonts w:ascii="Times New Roman" w:hAnsi="Times New Roman"/>
                <w:sz w:val="24"/>
                <w:szCs w:val="24"/>
                <w:lang w:val="lv-LV"/>
              </w:rPr>
              <w:t>0</w:t>
            </w:r>
          </w:p>
        </w:tc>
        <w:tc>
          <w:tcPr>
            <w:tcW w:w="1230" w:type="dxa"/>
          </w:tcPr>
          <w:p w:rsidR="002246D5" w:rsidRPr="00E2627C" w:rsidRDefault="002246D5" w:rsidP="002246D5">
            <w:pPr>
              <w:jc w:val="center"/>
              <w:rPr>
                <w:rFonts w:ascii="Times New Roman" w:hAnsi="Times New Roman"/>
                <w:sz w:val="24"/>
                <w:szCs w:val="24"/>
                <w:lang w:val="lv-LV"/>
              </w:rPr>
            </w:pPr>
            <w:r>
              <w:rPr>
                <w:rFonts w:ascii="Times New Roman" w:hAnsi="Times New Roman"/>
                <w:sz w:val="24"/>
                <w:szCs w:val="24"/>
                <w:lang w:val="lv-LV"/>
              </w:rPr>
              <w:t>0</w:t>
            </w:r>
          </w:p>
        </w:tc>
        <w:tc>
          <w:tcPr>
            <w:tcW w:w="1327" w:type="dxa"/>
          </w:tcPr>
          <w:p w:rsidR="002246D5" w:rsidRPr="002246D5" w:rsidRDefault="002246D5" w:rsidP="002246D5">
            <w:pPr>
              <w:jc w:val="center"/>
              <w:rPr>
                <w:rFonts w:ascii="Times New Roman" w:hAnsi="Times New Roman"/>
                <w:sz w:val="24"/>
                <w:szCs w:val="24"/>
                <w:lang w:val="lv-LV"/>
              </w:rPr>
            </w:pPr>
            <w:r w:rsidRPr="002246D5">
              <w:rPr>
                <w:rFonts w:ascii="Times New Roman" w:hAnsi="Times New Roman"/>
                <w:sz w:val="24"/>
                <w:szCs w:val="24"/>
                <w:lang w:val="lv-LV"/>
              </w:rPr>
              <w:t>Nav precīzi aprēķināms</w:t>
            </w:r>
          </w:p>
        </w:tc>
        <w:tc>
          <w:tcPr>
            <w:tcW w:w="1225" w:type="dxa"/>
          </w:tcPr>
          <w:p w:rsidR="002246D5" w:rsidRPr="002246D5" w:rsidRDefault="002246D5" w:rsidP="002246D5">
            <w:pPr>
              <w:jc w:val="center"/>
              <w:rPr>
                <w:rFonts w:ascii="Times New Roman" w:hAnsi="Times New Roman"/>
                <w:sz w:val="24"/>
                <w:szCs w:val="24"/>
                <w:lang w:val="lv-LV"/>
              </w:rPr>
            </w:pPr>
            <w:r w:rsidRPr="002246D5">
              <w:rPr>
                <w:rFonts w:ascii="Times New Roman" w:hAnsi="Times New Roman"/>
                <w:sz w:val="24"/>
                <w:szCs w:val="24"/>
                <w:lang w:val="lv-LV"/>
              </w:rPr>
              <w:t>33 436</w:t>
            </w:r>
          </w:p>
        </w:tc>
        <w:tc>
          <w:tcPr>
            <w:tcW w:w="1327" w:type="dxa"/>
          </w:tcPr>
          <w:p w:rsidR="002246D5" w:rsidRPr="002246D5" w:rsidRDefault="002246D5" w:rsidP="002246D5">
            <w:pPr>
              <w:jc w:val="center"/>
              <w:rPr>
                <w:rFonts w:ascii="Times New Roman" w:hAnsi="Times New Roman"/>
                <w:sz w:val="24"/>
                <w:szCs w:val="24"/>
                <w:lang w:val="lv-LV"/>
              </w:rPr>
            </w:pPr>
            <w:r w:rsidRPr="002246D5">
              <w:rPr>
                <w:rFonts w:ascii="Times New Roman" w:hAnsi="Times New Roman"/>
                <w:sz w:val="24"/>
                <w:szCs w:val="24"/>
                <w:lang w:val="lv-LV"/>
              </w:rPr>
              <w:t>33 436</w:t>
            </w:r>
          </w:p>
        </w:tc>
      </w:tr>
      <w:tr w:rsidR="00781BDD" w:rsidRPr="00E2627C" w:rsidTr="000B0270">
        <w:tc>
          <w:tcPr>
            <w:tcW w:w="2838" w:type="dxa"/>
          </w:tcPr>
          <w:p w:rsidR="00781BDD" w:rsidRPr="002246D5" w:rsidRDefault="00781BDD" w:rsidP="00153488">
            <w:pPr>
              <w:jc w:val="both"/>
              <w:rPr>
                <w:rFonts w:ascii="Times New Roman" w:hAnsi="Times New Roman"/>
                <w:sz w:val="24"/>
                <w:szCs w:val="24"/>
                <w:lang w:val="lv-LV"/>
              </w:rPr>
            </w:pPr>
            <w:r w:rsidRPr="002246D5">
              <w:rPr>
                <w:rFonts w:ascii="Times New Roman" w:hAnsi="Times New Roman"/>
                <w:sz w:val="24"/>
                <w:szCs w:val="24"/>
                <w:lang w:val="lv-LV"/>
              </w:rPr>
              <w:t> 2.2. valsts speciālais budžets</w:t>
            </w:r>
          </w:p>
        </w:tc>
        <w:tc>
          <w:tcPr>
            <w:tcW w:w="1327" w:type="dxa"/>
          </w:tcPr>
          <w:p w:rsidR="00781BDD" w:rsidRPr="00E2627C" w:rsidRDefault="00E81468" w:rsidP="00E81468">
            <w:pPr>
              <w:jc w:val="center"/>
              <w:rPr>
                <w:rFonts w:ascii="Times New Roman" w:hAnsi="Times New Roman"/>
                <w:sz w:val="24"/>
                <w:szCs w:val="24"/>
                <w:lang w:val="lv-LV"/>
              </w:rPr>
            </w:pPr>
            <w:r>
              <w:rPr>
                <w:rFonts w:ascii="Times New Roman" w:hAnsi="Times New Roman"/>
                <w:sz w:val="24"/>
                <w:szCs w:val="24"/>
                <w:lang w:val="lv-LV"/>
              </w:rPr>
              <w:t>0</w:t>
            </w:r>
          </w:p>
        </w:tc>
        <w:tc>
          <w:tcPr>
            <w:tcW w:w="1230" w:type="dxa"/>
          </w:tcPr>
          <w:p w:rsidR="00781BDD" w:rsidRPr="00E2627C" w:rsidRDefault="000A6056" w:rsidP="00E81468">
            <w:pPr>
              <w:jc w:val="center"/>
              <w:rPr>
                <w:rFonts w:ascii="Times New Roman" w:hAnsi="Times New Roman"/>
                <w:sz w:val="24"/>
                <w:szCs w:val="24"/>
                <w:lang w:val="lv-LV"/>
              </w:rPr>
            </w:pPr>
            <w:r>
              <w:rPr>
                <w:rFonts w:ascii="Times New Roman" w:hAnsi="Times New Roman"/>
                <w:sz w:val="24"/>
                <w:szCs w:val="24"/>
                <w:lang w:val="lv-LV"/>
              </w:rPr>
              <w:t>0</w:t>
            </w:r>
          </w:p>
        </w:tc>
        <w:tc>
          <w:tcPr>
            <w:tcW w:w="1327" w:type="dxa"/>
          </w:tcPr>
          <w:p w:rsidR="00781BDD" w:rsidRPr="002246D5" w:rsidRDefault="001204F1" w:rsidP="00E81468">
            <w:pPr>
              <w:jc w:val="center"/>
              <w:rPr>
                <w:rFonts w:ascii="Times New Roman" w:hAnsi="Times New Roman"/>
                <w:sz w:val="24"/>
                <w:szCs w:val="24"/>
                <w:lang w:val="lv-LV"/>
              </w:rPr>
            </w:pPr>
            <w:r w:rsidRPr="002246D5">
              <w:rPr>
                <w:rFonts w:ascii="Times New Roman" w:hAnsi="Times New Roman"/>
                <w:sz w:val="24"/>
                <w:szCs w:val="24"/>
                <w:lang w:val="lv-LV"/>
              </w:rPr>
              <w:t>0</w:t>
            </w:r>
          </w:p>
        </w:tc>
        <w:tc>
          <w:tcPr>
            <w:tcW w:w="1225" w:type="dxa"/>
          </w:tcPr>
          <w:p w:rsidR="00781BDD" w:rsidRPr="002246D5" w:rsidRDefault="001204F1" w:rsidP="00E81468">
            <w:pPr>
              <w:jc w:val="center"/>
              <w:rPr>
                <w:rFonts w:ascii="Times New Roman" w:hAnsi="Times New Roman"/>
                <w:sz w:val="24"/>
                <w:szCs w:val="24"/>
                <w:lang w:val="lv-LV"/>
              </w:rPr>
            </w:pPr>
            <w:r w:rsidRPr="002246D5">
              <w:rPr>
                <w:rFonts w:ascii="Times New Roman" w:hAnsi="Times New Roman"/>
                <w:sz w:val="24"/>
                <w:szCs w:val="24"/>
                <w:lang w:val="lv-LV"/>
              </w:rPr>
              <w:t>0</w:t>
            </w:r>
          </w:p>
        </w:tc>
        <w:tc>
          <w:tcPr>
            <w:tcW w:w="1327" w:type="dxa"/>
          </w:tcPr>
          <w:p w:rsidR="00781BDD" w:rsidRPr="002246D5" w:rsidRDefault="001204F1" w:rsidP="00E81468">
            <w:pPr>
              <w:jc w:val="center"/>
              <w:rPr>
                <w:rFonts w:ascii="Times New Roman" w:hAnsi="Times New Roman"/>
                <w:sz w:val="24"/>
                <w:szCs w:val="24"/>
                <w:lang w:val="lv-LV"/>
              </w:rPr>
            </w:pPr>
            <w:r w:rsidRPr="002246D5">
              <w:rPr>
                <w:rFonts w:ascii="Times New Roman" w:hAnsi="Times New Roman"/>
                <w:sz w:val="24"/>
                <w:szCs w:val="24"/>
                <w:lang w:val="lv-LV"/>
              </w:rPr>
              <w:t>0</w:t>
            </w:r>
          </w:p>
        </w:tc>
      </w:tr>
      <w:tr w:rsidR="00781BDD" w:rsidRPr="00E2627C" w:rsidTr="000B0270">
        <w:tc>
          <w:tcPr>
            <w:tcW w:w="2838" w:type="dxa"/>
          </w:tcPr>
          <w:p w:rsidR="00781BDD" w:rsidRPr="002246D5" w:rsidRDefault="00781BDD" w:rsidP="00153488">
            <w:pPr>
              <w:jc w:val="both"/>
              <w:rPr>
                <w:rFonts w:ascii="Times New Roman" w:hAnsi="Times New Roman"/>
                <w:sz w:val="24"/>
                <w:szCs w:val="24"/>
                <w:lang w:val="lv-LV"/>
              </w:rPr>
            </w:pPr>
            <w:r w:rsidRPr="002246D5">
              <w:rPr>
                <w:rFonts w:ascii="Times New Roman" w:hAnsi="Times New Roman"/>
                <w:sz w:val="24"/>
                <w:szCs w:val="24"/>
                <w:lang w:val="lv-LV"/>
              </w:rPr>
              <w:t> 2.3. pašvaldību budžets</w:t>
            </w:r>
          </w:p>
        </w:tc>
        <w:tc>
          <w:tcPr>
            <w:tcW w:w="1327" w:type="dxa"/>
          </w:tcPr>
          <w:p w:rsidR="00781BDD" w:rsidRPr="00E2627C" w:rsidRDefault="00E81468" w:rsidP="00E81468">
            <w:pPr>
              <w:jc w:val="center"/>
              <w:rPr>
                <w:rFonts w:ascii="Times New Roman" w:hAnsi="Times New Roman"/>
                <w:sz w:val="24"/>
                <w:szCs w:val="24"/>
                <w:lang w:val="lv-LV"/>
              </w:rPr>
            </w:pPr>
            <w:r>
              <w:rPr>
                <w:rFonts w:ascii="Times New Roman" w:hAnsi="Times New Roman"/>
                <w:sz w:val="24"/>
                <w:szCs w:val="24"/>
                <w:lang w:val="lv-LV"/>
              </w:rPr>
              <w:t>0</w:t>
            </w:r>
          </w:p>
        </w:tc>
        <w:tc>
          <w:tcPr>
            <w:tcW w:w="1230" w:type="dxa"/>
          </w:tcPr>
          <w:p w:rsidR="00781BDD" w:rsidRPr="00E2627C" w:rsidRDefault="000A6056" w:rsidP="00E81468">
            <w:pPr>
              <w:jc w:val="center"/>
              <w:rPr>
                <w:rFonts w:ascii="Times New Roman" w:hAnsi="Times New Roman"/>
                <w:sz w:val="24"/>
                <w:szCs w:val="24"/>
                <w:lang w:val="lv-LV"/>
              </w:rPr>
            </w:pPr>
            <w:r>
              <w:rPr>
                <w:rFonts w:ascii="Times New Roman" w:hAnsi="Times New Roman"/>
                <w:sz w:val="24"/>
                <w:szCs w:val="24"/>
                <w:lang w:val="lv-LV"/>
              </w:rPr>
              <w:t>0</w:t>
            </w:r>
          </w:p>
        </w:tc>
        <w:tc>
          <w:tcPr>
            <w:tcW w:w="1327" w:type="dxa"/>
          </w:tcPr>
          <w:p w:rsidR="00781BDD" w:rsidRPr="002246D5" w:rsidRDefault="001204F1" w:rsidP="00E81468">
            <w:pPr>
              <w:jc w:val="center"/>
              <w:rPr>
                <w:rFonts w:ascii="Times New Roman" w:hAnsi="Times New Roman"/>
                <w:sz w:val="24"/>
                <w:szCs w:val="24"/>
                <w:lang w:val="lv-LV"/>
              </w:rPr>
            </w:pPr>
            <w:r w:rsidRPr="002246D5">
              <w:rPr>
                <w:rFonts w:ascii="Times New Roman" w:hAnsi="Times New Roman"/>
                <w:sz w:val="24"/>
                <w:szCs w:val="24"/>
                <w:lang w:val="lv-LV"/>
              </w:rPr>
              <w:t>0</w:t>
            </w:r>
          </w:p>
        </w:tc>
        <w:tc>
          <w:tcPr>
            <w:tcW w:w="1225" w:type="dxa"/>
          </w:tcPr>
          <w:p w:rsidR="00781BDD" w:rsidRPr="002246D5" w:rsidRDefault="001204F1" w:rsidP="00E81468">
            <w:pPr>
              <w:jc w:val="center"/>
              <w:rPr>
                <w:rFonts w:ascii="Times New Roman" w:hAnsi="Times New Roman"/>
                <w:sz w:val="24"/>
                <w:szCs w:val="24"/>
                <w:lang w:val="lv-LV"/>
              </w:rPr>
            </w:pPr>
            <w:r w:rsidRPr="002246D5">
              <w:rPr>
                <w:rFonts w:ascii="Times New Roman" w:hAnsi="Times New Roman"/>
                <w:sz w:val="24"/>
                <w:szCs w:val="24"/>
                <w:lang w:val="lv-LV"/>
              </w:rPr>
              <w:t>0</w:t>
            </w:r>
          </w:p>
        </w:tc>
        <w:tc>
          <w:tcPr>
            <w:tcW w:w="1327" w:type="dxa"/>
          </w:tcPr>
          <w:p w:rsidR="00781BDD" w:rsidRPr="002246D5" w:rsidRDefault="001204F1" w:rsidP="00E81468">
            <w:pPr>
              <w:jc w:val="center"/>
              <w:rPr>
                <w:rFonts w:ascii="Times New Roman" w:hAnsi="Times New Roman"/>
                <w:sz w:val="24"/>
                <w:szCs w:val="24"/>
                <w:lang w:val="lv-LV"/>
              </w:rPr>
            </w:pPr>
            <w:r w:rsidRPr="002246D5">
              <w:rPr>
                <w:rFonts w:ascii="Times New Roman" w:hAnsi="Times New Roman"/>
                <w:sz w:val="24"/>
                <w:szCs w:val="24"/>
                <w:lang w:val="lv-LV"/>
              </w:rPr>
              <w:t>0</w:t>
            </w:r>
          </w:p>
        </w:tc>
      </w:tr>
      <w:tr w:rsidR="00781BDD" w:rsidRPr="00E2627C" w:rsidTr="000B0270">
        <w:tc>
          <w:tcPr>
            <w:tcW w:w="2838" w:type="dxa"/>
          </w:tcPr>
          <w:p w:rsidR="00781BDD" w:rsidRPr="002246D5" w:rsidRDefault="00781BDD" w:rsidP="00153488">
            <w:pPr>
              <w:jc w:val="both"/>
              <w:rPr>
                <w:rFonts w:ascii="Times New Roman" w:hAnsi="Times New Roman"/>
                <w:sz w:val="24"/>
                <w:szCs w:val="24"/>
                <w:lang w:val="lv-LV"/>
              </w:rPr>
            </w:pPr>
            <w:r w:rsidRPr="002246D5">
              <w:rPr>
                <w:rFonts w:ascii="Times New Roman" w:hAnsi="Times New Roman"/>
                <w:sz w:val="24"/>
                <w:szCs w:val="24"/>
                <w:lang w:val="lv-LV"/>
              </w:rPr>
              <w:t> 3. Finansiālā ietekme:</w:t>
            </w:r>
          </w:p>
        </w:tc>
        <w:tc>
          <w:tcPr>
            <w:tcW w:w="1327" w:type="dxa"/>
          </w:tcPr>
          <w:p w:rsidR="00781BDD" w:rsidRPr="00E2627C" w:rsidRDefault="00E81468" w:rsidP="00E81468">
            <w:pPr>
              <w:jc w:val="center"/>
              <w:rPr>
                <w:rFonts w:ascii="Times New Roman" w:hAnsi="Times New Roman"/>
                <w:sz w:val="24"/>
                <w:szCs w:val="24"/>
                <w:lang w:val="lv-LV"/>
              </w:rPr>
            </w:pPr>
            <w:r>
              <w:rPr>
                <w:rFonts w:ascii="Times New Roman" w:hAnsi="Times New Roman"/>
                <w:sz w:val="24"/>
                <w:szCs w:val="24"/>
                <w:lang w:val="lv-LV"/>
              </w:rPr>
              <w:t>0</w:t>
            </w:r>
          </w:p>
        </w:tc>
        <w:tc>
          <w:tcPr>
            <w:tcW w:w="1230" w:type="dxa"/>
          </w:tcPr>
          <w:p w:rsidR="00781BDD" w:rsidRPr="00E2627C" w:rsidRDefault="000A6056" w:rsidP="00E81468">
            <w:pPr>
              <w:jc w:val="center"/>
              <w:rPr>
                <w:rFonts w:ascii="Times New Roman" w:hAnsi="Times New Roman"/>
                <w:sz w:val="24"/>
                <w:szCs w:val="24"/>
                <w:lang w:val="lv-LV"/>
              </w:rPr>
            </w:pPr>
            <w:r>
              <w:rPr>
                <w:rFonts w:ascii="Times New Roman" w:hAnsi="Times New Roman"/>
                <w:sz w:val="24"/>
                <w:szCs w:val="24"/>
                <w:lang w:val="lv-LV"/>
              </w:rPr>
              <w:t>0</w:t>
            </w:r>
          </w:p>
        </w:tc>
        <w:tc>
          <w:tcPr>
            <w:tcW w:w="1327" w:type="dxa"/>
          </w:tcPr>
          <w:p w:rsidR="00781BDD" w:rsidRPr="002246D5" w:rsidRDefault="001204F1" w:rsidP="00E81468">
            <w:pPr>
              <w:jc w:val="center"/>
              <w:rPr>
                <w:rFonts w:ascii="Times New Roman" w:hAnsi="Times New Roman"/>
                <w:sz w:val="24"/>
                <w:szCs w:val="24"/>
                <w:lang w:val="lv-LV"/>
              </w:rPr>
            </w:pPr>
            <w:r w:rsidRPr="002246D5">
              <w:rPr>
                <w:rFonts w:ascii="Times New Roman" w:hAnsi="Times New Roman"/>
                <w:sz w:val="24"/>
                <w:szCs w:val="24"/>
                <w:lang w:val="lv-LV"/>
              </w:rPr>
              <w:t>0</w:t>
            </w:r>
          </w:p>
        </w:tc>
        <w:tc>
          <w:tcPr>
            <w:tcW w:w="1225" w:type="dxa"/>
          </w:tcPr>
          <w:p w:rsidR="00781BDD" w:rsidRPr="002246D5" w:rsidRDefault="002246D5" w:rsidP="002246D5">
            <w:pPr>
              <w:jc w:val="center"/>
              <w:rPr>
                <w:rFonts w:ascii="Times New Roman" w:hAnsi="Times New Roman"/>
                <w:sz w:val="24"/>
                <w:szCs w:val="24"/>
                <w:lang w:val="lv-LV"/>
              </w:rPr>
            </w:pPr>
            <w:r w:rsidRPr="002246D5">
              <w:rPr>
                <w:rFonts w:ascii="Times New Roman" w:hAnsi="Times New Roman"/>
                <w:sz w:val="24"/>
                <w:szCs w:val="24"/>
                <w:lang w:val="lv-LV"/>
              </w:rPr>
              <w:t>-33 436</w:t>
            </w:r>
          </w:p>
        </w:tc>
        <w:tc>
          <w:tcPr>
            <w:tcW w:w="1327" w:type="dxa"/>
          </w:tcPr>
          <w:p w:rsidR="00781BDD" w:rsidRPr="002246D5" w:rsidRDefault="002246D5" w:rsidP="00E81468">
            <w:pPr>
              <w:jc w:val="center"/>
              <w:rPr>
                <w:rFonts w:ascii="Times New Roman" w:hAnsi="Times New Roman"/>
                <w:sz w:val="24"/>
                <w:szCs w:val="24"/>
                <w:lang w:val="lv-LV"/>
              </w:rPr>
            </w:pPr>
            <w:r w:rsidRPr="002246D5">
              <w:rPr>
                <w:rFonts w:ascii="Times New Roman" w:hAnsi="Times New Roman"/>
                <w:sz w:val="24"/>
                <w:szCs w:val="24"/>
                <w:lang w:val="lv-LV"/>
              </w:rPr>
              <w:t>-33 436</w:t>
            </w:r>
          </w:p>
        </w:tc>
      </w:tr>
      <w:tr w:rsidR="00781BDD" w:rsidRPr="00E2627C" w:rsidTr="000B0270">
        <w:tc>
          <w:tcPr>
            <w:tcW w:w="2838" w:type="dxa"/>
          </w:tcPr>
          <w:p w:rsidR="00781BDD" w:rsidRPr="00E2627C" w:rsidRDefault="00781BDD" w:rsidP="00153488">
            <w:pPr>
              <w:jc w:val="both"/>
              <w:rPr>
                <w:rFonts w:ascii="Times New Roman" w:hAnsi="Times New Roman"/>
                <w:sz w:val="24"/>
                <w:szCs w:val="24"/>
                <w:lang w:val="lv-LV"/>
              </w:rPr>
            </w:pPr>
            <w:r w:rsidRPr="00E2627C">
              <w:rPr>
                <w:rFonts w:ascii="Times New Roman" w:hAnsi="Times New Roman"/>
                <w:sz w:val="24"/>
                <w:szCs w:val="24"/>
                <w:lang w:val="lv-LV"/>
              </w:rPr>
              <w:t> 3.1. valsts pamatbudžets</w:t>
            </w:r>
          </w:p>
        </w:tc>
        <w:tc>
          <w:tcPr>
            <w:tcW w:w="1327" w:type="dxa"/>
          </w:tcPr>
          <w:p w:rsidR="00781BDD" w:rsidRPr="00E2627C" w:rsidRDefault="00E81468" w:rsidP="00E81468">
            <w:pPr>
              <w:jc w:val="center"/>
              <w:rPr>
                <w:rFonts w:ascii="Times New Roman" w:hAnsi="Times New Roman"/>
                <w:sz w:val="24"/>
                <w:szCs w:val="24"/>
                <w:lang w:val="lv-LV"/>
              </w:rPr>
            </w:pPr>
            <w:r>
              <w:rPr>
                <w:rFonts w:ascii="Times New Roman" w:hAnsi="Times New Roman"/>
                <w:sz w:val="24"/>
                <w:szCs w:val="24"/>
                <w:lang w:val="lv-LV"/>
              </w:rPr>
              <w:t>0</w:t>
            </w:r>
          </w:p>
        </w:tc>
        <w:tc>
          <w:tcPr>
            <w:tcW w:w="1230" w:type="dxa"/>
          </w:tcPr>
          <w:p w:rsidR="00781BDD" w:rsidRPr="00E2627C" w:rsidRDefault="000A6056" w:rsidP="00E81468">
            <w:pPr>
              <w:jc w:val="center"/>
              <w:rPr>
                <w:rFonts w:ascii="Times New Roman" w:hAnsi="Times New Roman"/>
                <w:sz w:val="24"/>
                <w:szCs w:val="24"/>
                <w:lang w:val="lv-LV"/>
              </w:rPr>
            </w:pPr>
            <w:r>
              <w:rPr>
                <w:rFonts w:ascii="Times New Roman" w:hAnsi="Times New Roman"/>
                <w:sz w:val="24"/>
                <w:szCs w:val="24"/>
                <w:lang w:val="lv-LV"/>
              </w:rPr>
              <w:t>0</w:t>
            </w:r>
          </w:p>
        </w:tc>
        <w:tc>
          <w:tcPr>
            <w:tcW w:w="1327" w:type="dxa"/>
          </w:tcPr>
          <w:p w:rsidR="00781BDD" w:rsidRPr="002246D5" w:rsidRDefault="001204F1" w:rsidP="00E81468">
            <w:pPr>
              <w:jc w:val="center"/>
              <w:rPr>
                <w:rFonts w:ascii="Times New Roman" w:hAnsi="Times New Roman"/>
                <w:sz w:val="24"/>
                <w:szCs w:val="24"/>
                <w:lang w:val="lv-LV"/>
              </w:rPr>
            </w:pPr>
            <w:r w:rsidRPr="002246D5">
              <w:rPr>
                <w:rFonts w:ascii="Times New Roman" w:hAnsi="Times New Roman"/>
                <w:sz w:val="24"/>
                <w:szCs w:val="24"/>
                <w:lang w:val="lv-LV"/>
              </w:rPr>
              <w:t>0</w:t>
            </w:r>
          </w:p>
        </w:tc>
        <w:tc>
          <w:tcPr>
            <w:tcW w:w="1225" w:type="dxa"/>
          </w:tcPr>
          <w:p w:rsidR="00781BDD" w:rsidRPr="002246D5" w:rsidRDefault="002246D5" w:rsidP="00E81468">
            <w:pPr>
              <w:jc w:val="center"/>
              <w:rPr>
                <w:rFonts w:ascii="Times New Roman" w:hAnsi="Times New Roman"/>
                <w:sz w:val="24"/>
                <w:szCs w:val="24"/>
                <w:lang w:val="lv-LV"/>
              </w:rPr>
            </w:pPr>
            <w:r w:rsidRPr="002246D5">
              <w:rPr>
                <w:rFonts w:ascii="Times New Roman" w:hAnsi="Times New Roman"/>
                <w:sz w:val="24"/>
                <w:szCs w:val="24"/>
                <w:lang w:val="lv-LV"/>
              </w:rPr>
              <w:t>-33 436</w:t>
            </w:r>
          </w:p>
        </w:tc>
        <w:tc>
          <w:tcPr>
            <w:tcW w:w="1327" w:type="dxa"/>
          </w:tcPr>
          <w:p w:rsidR="00781BDD" w:rsidRPr="002246D5" w:rsidRDefault="002246D5" w:rsidP="00E81468">
            <w:pPr>
              <w:jc w:val="center"/>
              <w:rPr>
                <w:rFonts w:ascii="Times New Roman" w:hAnsi="Times New Roman"/>
                <w:sz w:val="24"/>
                <w:szCs w:val="24"/>
                <w:lang w:val="lv-LV"/>
              </w:rPr>
            </w:pPr>
            <w:r w:rsidRPr="002246D5">
              <w:rPr>
                <w:rFonts w:ascii="Times New Roman" w:hAnsi="Times New Roman"/>
                <w:sz w:val="24"/>
                <w:szCs w:val="24"/>
                <w:lang w:val="lv-LV"/>
              </w:rPr>
              <w:t>-33 436</w:t>
            </w:r>
          </w:p>
        </w:tc>
      </w:tr>
      <w:tr w:rsidR="00781BDD" w:rsidRPr="00E2627C" w:rsidTr="000B0270">
        <w:tc>
          <w:tcPr>
            <w:tcW w:w="2838" w:type="dxa"/>
          </w:tcPr>
          <w:p w:rsidR="00781BDD" w:rsidRPr="00E2627C" w:rsidRDefault="00781BDD" w:rsidP="00153488">
            <w:pPr>
              <w:jc w:val="both"/>
              <w:rPr>
                <w:rFonts w:ascii="Times New Roman" w:hAnsi="Times New Roman"/>
                <w:sz w:val="24"/>
                <w:szCs w:val="24"/>
                <w:lang w:val="lv-LV"/>
              </w:rPr>
            </w:pPr>
            <w:r w:rsidRPr="00E2627C">
              <w:rPr>
                <w:rFonts w:ascii="Times New Roman" w:hAnsi="Times New Roman"/>
                <w:sz w:val="24"/>
                <w:szCs w:val="24"/>
                <w:lang w:val="lv-LV"/>
              </w:rPr>
              <w:t> 3.2. speciālais budžets</w:t>
            </w:r>
          </w:p>
        </w:tc>
        <w:tc>
          <w:tcPr>
            <w:tcW w:w="1327" w:type="dxa"/>
          </w:tcPr>
          <w:p w:rsidR="00781BDD" w:rsidRPr="00E2627C" w:rsidRDefault="00E81468" w:rsidP="00E81468">
            <w:pPr>
              <w:jc w:val="center"/>
              <w:rPr>
                <w:rFonts w:ascii="Times New Roman" w:hAnsi="Times New Roman"/>
                <w:sz w:val="24"/>
                <w:szCs w:val="24"/>
                <w:lang w:val="lv-LV"/>
              </w:rPr>
            </w:pPr>
            <w:r>
              <w:rPr>
                <w:rFonts w:ascii="Times New Roman" w:hAnsi="Times New Roman"/>
                <w:sz w:val="24"/>
                <w:szCs w:val="24"/>
                <w:lang w:val="lv-LV"/>
              </w:rPr>
              <w:t>0</w:t>
            </w:r>
          </w:p>
        </w:tc>
        <w:tc>
          <w:tcPr>
            <w:tcW w:w="1230" w:type="dxa"/>
          </w:tcPr>
          <w:p w:rsidR="00781BDD" w:rsidRPr="00E2627C" w:rsidRDefault="000A6056" w:rsidP="00E81468">
            <w:pPr>
              <w:jc w:val="center"/>
              <w:rPr>
                <w:rFonts w:ascii="Times New Roman" w:hAnsi="Times New Roman"/>
                <w:sz w:val="24"/>
                <w:szCs w:val="24"/>
                <w:lang w:val="lv-LV"/>
              </w:rPr>
            </w:pPr>
            <w:r>
              <w:rPr>
                <w:rFonts w:ascii="Times New Roman" w:hAnsi="Times New Roman"/>
                <w:sz w:val="24"/>
                <w:szCs w:val="24"/>
                <w:lang w:val="lv-LV"/>
              </w:rPr>
              <w:t>0</w:t>
            </w:r>
          </w:p>
        </w:tc>
        <w:tc>
          <w:tcPr>
            <w:tcW w:w="1327" w:type="dxa"/>
          </w:tcPr>
          <w:p w:rsidR="00781BDD" w:rsidRPr="002246D5" w:rsidRDefault="001204F1" w:rsidP="00E81468">
            <w:pPr>
              <w:jc w:val="center"/>
              <w:rPr>
                <w:rFonts w:ascii="Times New Roman" w:hAnsi="Times New Roman"/>
                <w:sz w:val="24"/>
                <w:szCs w:val="24"/>
                <w:lang w:val="lv-LV"/>
              </w:rPr>
            </w:pPr>
            <w:r w:rsidRPr="002246D5">
              <w:rPr>
                <w:rFonts w:ascii="Times New Roman" w:hAnsi="Times New Roman"/>
                <w:sz w:val="24"/>
                <w:szCs w:val="24"/>
                <w:lang w:val="lv-LV"/>
              </w:rPr>
              <w:t>0</w:t>
            </w:r>
          </w:p>
        </w:tc>
        <w:tc>
          <w:tcPr>
            <w:tcW w:w="1225" w:type="dxa"/>
          </w:tcPr>
          <w:p w:rsidR="00781BDD" w:rsidRPr="002246D5" w:rsidRDefault="001204F1" w:rsidP="00E81468">
            <w:pPr>
              <w:jc w:val="center"/>
              <w:rPr>
                <w:rFonts w:ascii="Times New Roman" w:hAnsi="Times New Roman"/>
                <w:sz w:val="24"/>
                <w:szCs w:val="24"/>
                <w:lang w:val="lv-LV"/>
              </w:rPr>
            </w:pPr>
            <w:r w:rsidRPr="002246D5">
              <w:rPr>
                <w:rFonts w:ascii="Times New Roman" w:hAnsi="Times New Roman"/>
                <w:sz w:val="24"/>
                <w:szCs w:val="24"/>
                <w:lang w:val="lv-LV"/>
              </w:rPr>
              <w:t>0</w:t>
            </w:r>
          </w:p>
        </w:tc>
        <w:tc>
          <w:tcPr>
            <w:tcW w:w="1327" w:type="dxa"/>
          </w:tcPr>
          <w:p w:rsidR="00781BDD" w:rsidRPr="002246D5" w:rsidRDefault="001204F1" w:rsidP="00E81468">
            <w:pPr>
              <w:jc w:val="center"/>
              <w:rPr>
                <w:rFonts w:ascii="Times New Roman" w:hAnsi="Times New Roman"/>
                <w:sz w:val="24"/>
                <w:szCs w:val="24"/>
                <w:lang w:val="lv-LV"/>
              </w:rPr>
            </w:pPr>
            <w:r w:rsidRPr="002246D5">
              <w:rPr>
                <w:rFonts w:ascii="Times New Roman" w:hAnsi="Times New Roman"/>
                <w:sz w:val="24"/>
                <w:szCs w:val="24"/>
                <w:lang w:val="lv-LV"/>
              </w:rPr>
              <w:t>0</w:t>
            </w:r>
          </w:p>
        </w:tc>
      </w:tr>
      <w:tr w:rsidR="00781BDD" w:rsidRPr="00E2627C" w:rsidTr="000B0270">
        <w:tc>
          <w:tcPr>
            <w:tcW w:w="2838" w:type="dxa"/>
          </w:tcPr>
          <w:p w:rsidR="00781BDD" w:rsidRPr="00E2627C" w:rsidRDefault="00781BDD" w:rsidP="00153488">
            <w:pPr>
              <w:jc w:val="both"/>
              <w:rPr>
                <w:rFonts w:ascii="Times New Roman" w:hAnsi="Times New Roman"/>
                <w:sz w:val="24"/>
                <w:szCs w:val="24"/>
                <w:lang w:val="lv-LV"/>
              </w:rPr>
            </w:pPr>
            <w:r w:rsidRPr="00E2627C">
              <w:rPr>
                <w:rFonts w:ascii="Times New Roman" w:hAnsi="Times New Roman"/>
                <w:sz w:val="24"/>
                <w:szCs w:val="24"/>
                <w:lang w:val="lv-LV"/>
              </w:rPr>
              <w:t> 3.3. pašvaldību budžets</w:t>
            </w:r>
          </w:p>
        </w:tc>
        <w:tc>
          <w:tcPr>
            <w:tcW w:w="1327" w:type="dxa"/>
          </w:tcPr>
          <w:p w:rsidR="00781BDD" w:rsidRPr="00E2627C" w:rsidRDefault="00E81468" w:rsidP="00E81468">
            <w:pPr>
              <w:jc w:val="center"/>
              <w:rPr>
                <w:rFonts w:ascii="Times New Roman" w:hAnsi="Times New Roman"/>
                <w:sz w:val="24"/>
                <w:szCs w:val="24"/>
                <w:lang w:val="lv-LV"/>
              </w:rPr>
            </w:pPr>
            <w:r>
              <w:rPr>
                <w:rFonts w:ascii="Times New Roman" w:hAnsi="Times New Roman"/>
                <w:sz w:val="24"/>
                <w:szCs w:val="24"/>
                <w:lang w:val="lv-LV"/>
              </w:rPr>
              <w:t>0</w:t>
            </w:r>
          </w:p>
        </w:tc>
        <w:tc>
          <w:tcPr>
            <w:tcW w:w="1230" w:type="dxa"/>
          </w:tcPr>
          <w:p w:rsidR="00781BDD" w:rsidRPr="00E2627C" w:rsidRDefault="000A6056" w:rsidP="00E81468">
            <w:pPr>
              <w:jc w:val="center"/>
              <w:rPr>
                <w:rFonts w:ascii="Times New Roman" w:hAnsi="Times New Roman"/>
                <w:sz w:val="24"/>
                <w:szCs w:val="24"/>
                <w:lang w:val="lv-LV"/>
              </w:rPr>
            </w:pPr>
            <w:r>
              <w:rPr>
                <w:rFonts w:ascii="Times New Roman" w:hAnsi="Times New Roman"/>
                <w:sz w:val="24"/>
                <w:szCs w:val="24"/>
                <w:lang w:val="lv-LV"/>
              </w:rPr>
              <w:t>0</w:t>
            </w:r>
          </w:p>
        </w:tc>
        <w:tc>
          <w:tcPr>
            <w:tcW w:w="1327" w:type="dxa"/>
          </w:tcPr>
          <w:p w:rsidR="00781BDD" w:rsidRPr="002246D5" w:rsidRDefault="001204F1" w:rsidP="00E81468">
            <w:pPr>
              <w:jc w:val="center"/>
              <w:rPr>
                <w:rFonts w:ascii="Times New Roman" w:hAnsi="Times New Roman"/>
                <w:sz w:val="24"/>
                <w:szCs w:val="24"/>
                <w:lang w:val="lv-LV"/>
              </w:rPr>
            </w:pPr>
            <w:r w:rsidRPr="002246D5">
              <w:rPr>
                <w:rFonts w:ascii="Times New Roman" w:hAnsi="Times New Roman"/>
                <w:sz w:val="24"/>
                <w:szCs w:val="24"/>
                <w:lang w:val="lv-LV"/>
              </w:rPr>
              <w:t>0</w:t>
            </w:r>
          </w:p>
        </w:tc>
        <w:tc>
          <w:tcPr>
            <w:tcW w:w="1225" w:type="dxa"/>
          </w:tcPr>
          <w:p w:rsidR="00781BDD" w:rsidRPr="002246D5" w:rsidRDefault="001204F1" w:rsidP="00E81468">
            <w:pPr>
              <w:jc w:val="center"/>
              <w:rPr>
                <w:rFonts w:ascii="Times New Roman" w:hAnsi="Times New Roman"/>
                <w:sz w:val="24"/>
                <w:szCs w:val="24"/>
                <w:lang w:val="lv-LV"/>
              </w:rPr>
            </w:pPr>
            <w:r w:rsidRPr="002246D5">
              <w:rPr>
                <w:rFonts w:ascii="Times New Roman" w:hAnsi="Times New Roman"/>
                <w:sz w:val="24"/>
                <w:szCs w:val="24"/>
                <w:lang w:val="lv-LV"/>
              </w:rPr>
              <w:t>0</w:t>
            </w:r>
          </w:p>
        </w:tc>
        <w:tc>
          <w:tcPr>
            <w:tcW w:w="1327" w:type="dxa"/>
          </w:tcPr>
          <w:p w:rsidR="00781BDD" w:rsidRPr="002246D5" w:rsidRDefault="001204F1" w:rsidP="00E81468">
            <w:pPr>
              <w:jc w:val="center"/>
              <w:rPr>
                <w:rFonts w:ascii="Times New Roman" w:hAnsi="Times New Roman"/>
                <w:sz w:val="24"/>
                <w:szCs w:val="24"/>
                <w:lang w:val="lv-LV"/>
              </w:rPr>
            </w:pPr>
            <w:r w:rsidRPr="002246D5">
              <w:rPr>
                <w:rFonts w:ascii="Times New Roman" w:hAnsi="Times New Roman"/>
                <w:sz w:val="24"/>
                <w:szCs w:val="24"/>
                <w:lang w:val="lv-LV"/>
              </w:rPr>
              <w:t>0</w:t>
            </w:r>
          </w:p>
        </w:tc>
      </w:tr>
      <w:tr w:rsidR="00781BDD" w:rsidRPr="00E2627C" w:rsidTr="000B0270">
        <w:tc>
          <w:tcPr>
            <w:tcW w:w="2838" w:type="dxa"/>
          </w:tcPr>
          <w:p w:rsidR="00781BDD" w:rsidRPr="00E2627C" w:rsidRDefault="00781BDD" w:rsidP="00153488">
            <w:pPr>
              <w:rPr>
                <w:rFonts w:ascii="Times New Roman" w:hAnsi="Times New Roman"/>
                <w:sz w:val="24"/>
                <w:szCs w:val="24"/>
                <w:lang w:val="lv-LV"/>
              </w:rPr>
            </w:pPr>
            <w:r w:rsidRPr="00E2627C">
              <w:rPr>
                <w:rFonts w:ascii="Times New Roman" w:hAnsi="Times New Roman"/>
                <w:sz w:val="24"/>
                <w:szCs w:val="24"/>
                <w:lang w:val="lv-LV"/>
              </w:rPr>
              <w:t> 4. Finanšu līdzekļi papildu izde</w:t>
            </w:r>
            <w:r w:rsidRPr="00E2627C">
              <w:rPr>
                <w:rFonts w:ascii="Times New Roman" w:hAnsi="Times New Roman"/>
                <w:sz w:val="24"/>
                <w:szCs w:val="24"/>
                <w:lang w:val="lv-LV"/>
              </w:rPr>
              <w:softHyphen/>
              <w:t xml:space="preserve">vumu finansēšanai (kompensējošu izdevumu </w:t>
            </w:r>
            <w:r w:rsidRPr="00E2627C">
              <w:rPr>
                <w:rFonts w:ascii="Times New Roman" w:hAnsi="Times New Roman"/>
                <w:sz w:val="24"/>
                <w:szCs w:val="24"/>
                <w:lang w:val="lv-LV"/>
              </w:rPr>
              <w:lastRenderedPageBreak/>
              <w:t>samazinājumu norāda ar "+" zīmi)</w:t>
            </w:r>
          </w:p>
        </w:tc>
        <w:tc>
          <w:tcPr>
            <w:tcW w:w="1327" w:type="dxa"/>
          </w:tcPr>
          <w:p w:rsidR="00781BDD" w:rsidRPr="00E2627C" w:rsidRDefault="000A6056" w:rsidP="00E81468">
            <w:pPr>
              <w:jc w:val="center"/>
              <w:rPr>
                <w:rFonts w:ascii="Times New Roman" w:hAnsi="Times New Roman"/>
                <w:sz w:val="24"/>
                <w:szCs w:val="24"/>
                <w:lang w:val="lv-LV"/>
              </w:rPr>
            </w:pPr>
            <w:r>
              <w:rPr>
                <w:rFonts w:ascii="Times New Roman" w:hAnsi="Times New Roman"/>
                <w:sz w:val="24"/>
                <w:szCs w:val="24"/>
                <w:lang w:val="lv-LV"/>
              </w:rPr>
              <w:lastRenderedPageBreak/>
              <w:t>X</w:t>
            </w:r>
          </w:p>
        </w:tc>
        <w:tc>
          <w:tcPr>
            <w:tcW w:w="1230" w:type="dxa"/>
          </w:tcPr>
          <w:p w:rsidR="00781BDD" w:rsidRPr="00E2627C" w:rsidRDefault="000A6056" w:rsidP="00E81468">
            <w:pPr>
              <w:jc w:val="center"/>
              <w:rPr>
                <w:rFonts w:ascii="Times New Roman" w:hAnsi="Times New Roman"/>
                <w:sz w:val="24"/>
                <w:szCs w:val="24"/>
                <w:lang w:val="lv-LV"/>
              </w:rPr>
            </w:pPr>
            <w:r>
              <w:rPr>
                <w:rFonts w:ascii="Times New Roman" w:hAnsi="Times New Roman"/>
                <w:sz w:val="24"/>
                <w:szCs w:val="24"/>
                <w:lang w:val="lv-LV"/>
              </w:rPr>
              <w:t>0</w:t>
            </w:r>
          </w:p>
        </w:tc>
        <w:tc>
          <w:tcPr>
            <w:tcW w:w="1327" w:type="dxa"/>
          </w:tcPr>
          <w:p w:rsidR="00781BDD" w:rsidRPr="002246D5" w:rsidRDefault="001204F1" w:rsidP="00E81468">
            <w:pPr>
              <w:jc w:val="center"/>
              <w:rPr>
                <w:rFonts w:ascii="Times New Roman" w:hAnsi="Times New Roman"/>
                <w:sz w:val="24"/>
                <w:szCs w:val="24"/>
                <w:lang w:val="lv-LV"/>
              </w:rPr>
            </w:pPr>
            <w:r w:rsidRPr="002246D5">
              <w:rPr>
                <w:rFonts w:ascii="Times New Roman" w:hAnsi="Times New Roman"/>
                <w:sz w:val="24"/>
                <w:szCs w:val="24"/>
                <w:lang w:val="lv-LV"/>
              </w:rPr>
              <w:t>0</w:t>
            </w:r>
          </w:p>
        </w:tc>
        <w:tc>
          <w:tcPr>
            <w:tcW w:w="1225" w:type="dxa"/>
          </w:tcPr>
          <w:p w:rsidR="00781BDD" w:rsidRPr="002246D5" w:rsidRDefault="001204F1" w:rsidP="00E81468">
            <w:pPr>
              <w:jc w:val="center"/>
              <w:rPr>
                <w:rFonts w:ascii="Times New Roman" w:hAnsi="Times New Roman"/>
                <w:sz w:val="24"/>
                <w:szCs w:val="24"/>
                <w:lang w:val="lv-LV"/>
              </w:rPr>
            </w:pPr>
            <w:r w:rsidRPr="002246D5">
              <w:rPr>
                <w:rFonts w:ascii="Times New Roman" w:hAnsi="Times New Roman"/>
                <w:sz w:val="24"/>
                <w:szCs w:val="24"/>
                <w:lang w:val="lv-LV"/>
              </w:rPr>
              <w:t>0</w:t>
            </w:r>
          </w:p>
        </w:tc>
        <w:tc>
          <w:tcPr>
            <w:tcW w:w="1327" w:type="dxa"/>
          </w:tcPr>
          <w:p w:rsidR="00781BDD" w:rsidRPr="002246D5" w:rsidRDefault="001204F1" w:rsidP="00E81468">
            <w:pPr>
              <w:jc w:val="center"/>
              <w:rPr>
                <w:rFonts w:ascii="Times New Roman" w:hAnsi="Times New Roman"/>
                <w:sz w:val="24"/>
                <w:szCs w:val="24"/>
                <w:lang w:val="lv-LV"/>
              </w:rPr>
            </w:pPr>
            <w:r w:rsidRPr="002246D5">
              <w:rPr>
                <w:rFonts w:ascii="Times New Roman" w:hAnsi="Times New Roman"/>
                <w:sz w:val="24"/>
                <w:szCs w:val="24"/>
                <w:lang w:val="lv-LV"/>
              </w:rPr>
              <w:t>0</w:t>
            </w:r>
          </w:p>
        </w:tc>
      </w:tr>
      <w:tr w:rsidR="00781BDD" w:rsidRPr="00E2627C" w:rsidTr="000B0270">
        <w:tc>
          <w:tcPr>
            <w:tcW w:w="2838" w:type="dxa"/>
          </w:tcPr>
          <w:p w:rsidR="00781BDD" w:rsidRPr="00E2627C" w:rsidRDefault="00781BDD" w:rsidP="00153488">
            <w:pPr>
              <w:jc w:val="both"/>
              <w:rPr>
                <w:rFonts w:ascii="Times New Roman" w:hAnsi="Times New Roman"/>
                <w:sz w:val="24"/>
                <w:szCs w:val="24"/>
                <w:lang w:val="lv-LV"/>
              </w:rPr>
            </w:pPr>
            <w:r w:rsidRPr="00E2627C">
              <w:rPr>
                <w:rFonts w:ascii="Times New Roman" w:hAnsi="Times New Roman"/>
                <w:sz w:val="24"/>
                <w:szCs w:val="24"/>
                <w:lang w:val="lv-LV"/>
              </w:rPr>
              <w:t> 5. Precizēta finansiālā ietekme:</w:t>
            </w:r>
          </w:p>
        </w:tc>
        <w:tc>
          <w:tcPr>
            <w:tcW w:w="1327" w:type="dxa"/>
          </w:tcPr>
          <w:p w:rsidR="00781BDD" w:rsidRPr="00E2627C" w:rsidRDefault="000A6056" w:rsidP="00E81468">
            <w:pPr>
              <w:jc w:val="center"/>
              <w:rPr>
                <w:rFonts w:ascii="Times New Roman" w:hAnsi="Times New Roman"/>
                <w:sz w:val="24"/>
                <w:szCs w:val="24"/>
                <w:lang w:val="lv-LV"/>
              </w:rPr>
            </w:pPr>
            <w:r>
              <w:rPr>
                <w:rFonts w:ascii="Times New Roman" w:hAnsi="Times New Roman"/>
                <w:sz w:val="24"/>
                <w:szCs w:val="24"/>
                <w:lang w:val="lv-LV"/>
              </w:rPr>
              <w:t>X</w:t>
            </w:r>
          </w:p>
        </w:tc>
        <w:tc>
          <w:tcPr>
            <w:tcW w:w="1230" w:type="dxa"/>
          </w:tcPr>
          <w:p w:rsidR="00781BDD" w:rsidRPr="00E2627C" w:rsidRDefault="000A6056" w:rsidP="00E81468">
            <w:pPr>
              <w:jc w:val="center"/>
              <w:rPr>
                <w:rFonts w:ascii="Times New Roman" w:hAnsi="Times New Roman"/>
                <w:sz w:val="24"/>
                <w:szCs w:val="24"/>
                <w:lang w:val="lv-LV"/>
              </w:rPr>
            </w:pPr>
            <w:r>
              <w:rPr>
                <w:rFonts w:ascii="Times New Roman" w:hAnsi="Times New Roman"/>
                <w:sz w:val="24"/>
                <w:szCs w:val="24"/>
                <w:lang w:val="lv-LV"/>
              </w:rPr>
              <w:t>0</w:t>
            </w:r>
          </w:p>
        </w:tc>
        <w:tc>
          <w:tcPr>
            <w:tcW w:w="1327" w:type="dxa"/>
          </w:tcPr>
          <w:p w:rsidR="00781BDD" w:rsidRPr="00E2627C" w:rsidRDefault="001204F1" w:rsidP="00E81468">
            <w:pPr>
              <w:jc w:val="center"/>
              <w:rPr>
                <w:rFonts w:ascii="Times New Roman" w:hAnsi="Times New Roman"/>
                <w:sz w:val="24"/>
                <w:szCs w:val="24"/>
                <w:lang w:val="lv-LV"/>
              </w:rPr>
            </w:pPr>
            <w:r>
              <w:rPr>
                <w:rFonts w:ascii="Times New Roman" w:hAnsi="Times New Roman"/>
                <w:sz w:val="24"/>
                <w:szCs w:val="24"/>
                <w:lang w:val="lv-LV"/>
              </w:rPr>
              <w:t>0</w:t>
            </w:r>
          </w:p>
        </w:tc>
        <w:tc>
          <w:tcPr>
            <w:tcW w:w="1225" w:type="dxa"/>
          </w:tcPr>
          <w:p w:rsidR="00781BDD" w:rsidRPr="00E2627C" w:rsidRDefault="001204F1" w:rsidP="00E81468">
            <w:pPr>
              <w:jc w:val="center"/>
              <w:rPr>
                <w:rFonts w:ascii="Times New Roman" w:hAnsi="Times New Roman"/>
                <w:sz w:val="24"/>
                <w:szCs w:val="24"/>
                <w:lang w:val="lv-LV"/>
              </w:rPr>
            </w:pPr>
            <w:r>
              <w:rPr>
                <w:rFonts w:ascii="Times New Roman" w:hAnsi="Times New Roman"/>
                <w:sz w:val="24"/>
                <w:szCs w:val="24"/>
                <w:lang w:val="lv-LV"/>
              </w:rPr>
              <w:t>0</w:t>
            </w:r>
          </w:p>
        </w:tc>
        <w:tc>
          <w:tcPr>
            <w:tcW w:w="1327" w:type="dxa"/>
          </w:tcPr>
          <w:p w:rsidR="00781BDD" w:rsidRPr="00E2627C" w:rsidRDefault="001204F1" w:rsidP="00E81468">
            <w:pPr>
              <w:jc w:val="center"/>
              <w:rPr>
                <w:rFonts w:ascii="Times New Roman" w:hAnsi="Times New Roman"/>
                <w:sz w:val="24"/>
                <w:szCs w:val="24"/>
                <w:lang w:val="lv-LV"/>
              </w:rPr>
            </w:pPr>
            <w:r>
              <w:rPr>
                <w:rFonts w:ascii="Times New Roman" w:hAnsi="Times New Roman"/>
                <w:sz w:val="24"/>
                <w:szCs w:val="24"/>
                <w:lang w:val="lv-LV"/>
              </w:rPr>
              <w:t>0</w:t>
            </w:r>
          </w:p>
        </w:tc>
      </w:tr>
      <w:tr w:rsidR="00781BDD" w:rsidRPr="00E2627C" w:rsidTr="000B0270">
        <w:tc>
          <w:tcPr>
            <w:tcW w:w="2838" w:type="dxa"/>
          </w:tcPr>
          <w:p w:rsidR="00781BDD" w:rsidRPr="00E2627C" w:rsidRDefault="00781BDD" w:rsidP="00153488">
            <w:pPr>
              <w:jc w:val="both"/>
              <w:rPr>
                <w:rFonts w:ascii="Times New Roman" w:hAnsi="Times New Roman"/>
                <w:sz w:val="24"/>
                <w:szCs w:val="24"/>
                <w:lang w:val="lv-LV"/>
              </w:rPr>
            </w:pPr>
            <w:r w:rsidRPr="00E2627C">
              <w:rPr>
                <w:rFonts w:ascii="Times New Roman" w:hAnsi="Times New Roman"/>
                <w:sz w:val="24"/>
                <w:szCs w:val="24"/>
                <w:lang w:val="lv-LV"/>
              </w:rPr>
              <w:t> 5.1. valsts pamatbudžets</w:t>
            </w:r>
          </w:p>
        </w:tc>
        <w:tc>
          <w:tcPr>
            <w:tcW w:w="1327" w:type="dxa"/>
          </w:tcPr>
          <w:p w:rsidR="00781BDD" w:rsidRPr="00E2627C" w:rsidRDefault="000A6056" w:rsidP="00E81468">
            <w:pPr>
              <w:jc w:val="center"/>
              <w:rPr>
                <w:rFonts w:ascii="Times New Roman" w:hAnsi="Times New Roman"/>
                <w:sz w:val="24"/>
                <w:szCs w:val="24"/>
                <w:lang w:val="lv-LV"/>
              </w:rPr>
            </w:pPr>
            <w:r>
              <w:rPr>
                <w:rFonts w:ascii="Times New Roman" w:hAnsi="Times New Roman"/>
                <w:sz w:val="24"/>
                <w:szCs w:val="24"/>
                <w:lang w:val="lv-LV"/>
              </w:rPr>
              <w:t>0</w:t>
            </w:r>
          </w:p>
        </w:tc>
        <w:tc>
          <w:tcPr>
            <w:tcW w:w="1230" w:type="dxa"/>
          </w:tcPr>
          <w:p w:rsidR="00781BDD" w:rsidRPr="00E2627C" w:rsidRDefault="000A6056" w:rsidP="00E81468">
            <w:pPr>
              <w:jc w:val="center"/>
              <w:rPr>
                <w:rFonts w:ascii="Times New Roman" w:hAnsi="Times New Roman"/>
                <w:sz w:val="24"/>
                <w:szCs w:val="24"/>
                <w:lang w:val="lv-LV"/>
              </w:rPr>
            </w:pPr>
            <w:r>
              <w:rPr>
                <w:rFonts w:ascii="Times New Roman" w:hAnsi="Times New Roman"/>
                <w:sz w:val="24"/>
                <w:szCs w:val="24"/>
                <w:lang w:val="lv-LV"/>
              </w:rPr>
              <w:t>0</w:t>
            </w:r>
          </w:p>
        </w:tc>
        <w:tc>
          <w:tcPr>
            <w:tcW w:w="1327" w:type="dxa"/>
          </w:tcPr>
          <w:p w:rsidR="00781BDD" w:rsidRPr="00E2627C" w:rsidRDefault="001204F1" w:rsidP="00E81468">
            <w:pPr>
              <w:jc w:val="center"/>
              <w:rPr>
                <w:rFonts w:ascii="Times New Roman" w:hAnsi="Times New Roman"/>
                <w:sz w:val="24"/>
                <w:szCs w:val="24"/>
                <w:lang w:val="lv-LV"/>
              </w:rPr>
            </w:pPr>
            <w:r>
              <w:rPr>
                <w:rFonts w:ascii="Times New Roman" w:hAnsi="Times New Roman"/>
                <w:sz w:val="24"/>
                <w:szCs w:val="24"/>
                <w:lang w:val="lv-LV"/>
              </w:rPr>
              <w:t>0</w:t>
            </w:r>
          </w:p>
        </w:tc>
        <w:tc>
          <w:tcPr>
            <w:tcW w:w="1225" w:type="dxa"/>
          </w:tcPr>
          <w:p w:rsidR="00781BDD" w:rsidRPr="00E2627C" w:rsidRDefault="001204F1" w:rsidP="00E81468">
            <w:pPr>
              <w:jc w:val="center"/>
              <w:rPr>
                <w:rFonts w:ascii="Times New Roman" w:hAnsi="Times New Roman"/>
                <w:sz w:val="24"/>
                <w:szCs w:val="24"/>
                <w:lang w:val="lv-LV"/>
              </w:rPr>
            </w:pPr>
            <w:r>
              <w:rPr>
                <w:rFonts w:ascii="Times New Roman" w:hAnsi="Times New Roman"/>
                <w:sz w:val="24"/>
                <w:szCs w:val="24"/>
                <w:lang w:val="lv-LV"/>
              </w:rPr>
              <w:t>0</w:t>
            </w:r>
          </w:p>
        </w:tc>
        <w:tc>
          <w:tcPr>
            <w:tcW w:w="1327" w:type="dxa"/>
          </w:tcPr>
          <w:p w:rsidR="00781BDD" w:rsidRPr="00E2627C" w:rsidRDefault="001204F1" w:rsidP="00E81468">
            <w:pPr>
              <w:jc w:val="center"/>
              <w:rPr>
                <w:rFonts w:ascii="Times New Roman" w:hAnsi="Times New Roman"/>
                <w:sz w:val="24"/>
                <w:szCs w:val="24"/>
                <w:lang w:val="lv-LV"/>
              </w:rPr>
            </w:pPr>
            <w:r>
              <w:rPr>
                <w:rFonts w:ascii="Times New Roman" w:hAnsi="Times New Roman"/>
                <w:sz w:val="24"/>
                <w:szCs w:val="24"/>
                <w:lang w:val="lv-LV"/>
              </w:rPr>
              <w:t>0</w:t>
            </w:r>
          </w:p>
        </w:tc>
      </w:tr>
      <w:tr w:rsidR="00781BDD" w:rsidRPr="00E2627C" w:rsidTr="000B0270">
        <w:tc>
          <w:tcPr>
            <w:tcW w:w="2838" w:type="dxa"/>
          </w:tcPr>
          <w:p w:rsidR="00781BDD" w:rsidRPr="00E2627C" w:rsidRDefault="00781BDD" w:rsidP="00153488">
            <w:pPr>
              <w:jc w:val="both"/>
              <w:rPr>
                <w:rFonts w:ascii="Times New Roman" w:hAnsi="Times New Roman"/>
                <w:sz w:val="24"/>
                <w:szCs w:val="24"/>
                <w:lang w:val="lv-LV"/>
              </w:rPr>
            </w:pPr>
            <w:r w:rsidRPr="00E2627C">
              <w:rPr>
                <w:rFonts w:ascii="Times New Roman" w:hAnsi="Times New Roman"/>
                <w:sz w:val="24"/>
                <w:szCs w:val="24"/>
                <w:lang w:val="lv-LV"/>
              </w:rPr>
              <w:t> 5.2. speciālais budžets</w:t>
            </w:r>
          </w:p>
        </w:tc>
        <w:tc>
          <w:tcPr>
            <w:tcW w:w="1327" w:type="dxa"/>
          </w:tcPr>
          <w:p w:rsidR="00781BDD" w:rsidRPr="00E2627C" w:rsidRDefault="000A6056" w:rsidP="000A6056">
            <w:pPr>
              <w:jc w:val="center"/>
              <w:rPr>
                <w:rFonts w:ascii="Times New Roman" w:hAnsi="Times New Roman"/>
                <w:sz w:val="24"/>
                <w:szCs w:val="24"/>
                <w:lang w:val="lv-LV"/>
              </w:rPr>
            </w:pPr>
            <w:r>
              <w:rPr>
                <w:rFonts w:ascii="Times New Roman" w:hAnsi="Times New Roman"/>
                <w:sz w:val="24"/>
                <w:szCs w:val="24"/>
                <w:lang w:val="lv-LV"/>
              </w:rPr>
              <w:t>0</w:t>
            </w:r>
          </w:p>
        </w:tc>
        <w:tc>
          <w:tcPr>
            <w:tcW w:w="1230" w:type="dxa"/>
          </w:tcPr>
          <w:p w:rsidR="00781BDD" w:rsidRPr="00E2627C" w:rsidRDefault="000A6056" w:rsidP="000A6056">
            <w:pPr>
              <w:jc w:val="center"/>
              <w:rPr>
                <w:rFonts w:ascii="Times New Roman" w:hAnsi="Times New Roman"/>
                <w:sz w:val="24"/>
                <w:szCs w:val="24"/>
                <w:lang w:val="lv-LV"/>
              </w:rPr>
            </w:pPr>
            <w:r>
              <w:rPr>
                <w:rFonts w:ascii="Times New Roman" w:hAnsi="Times New Roman"/>
                <w:sz w:val="24"/>
                <w:szCs w:val="24"/>
                <w:lang w:val="lv-LV"/>
              </w:rPr>
              <w:t>0</w:t>
            </w:r>
          </w:p>
        </w:tc>
        <w:tc>
          <w:tcPr>
            <w:tcW w:w="1327" w:type="dxa"/>
          </w:tcPr>
          <w:p w:rsidR="00781BDD" w:rsidRPr="00E2627C" w:rsidRDefault="001204F1" w:rsidP="001204F1">
            <w:pPr>
              <w:jc w:val="center"/>
              <w:rPr>
                <w:rFonts w:ascii="Times New Roman" w:hAnsi="Times New Roman"/>
                <w:sz w:val="24"/>
                <w:szCs w:val="24"/>
                <w:lang w:val="lv-LV"/>
              </w:rPr>
            </w:pPr>
            <w:r>
              <w:rPr>
                <w:rFonts w:ascii="Times New Roman" w:hAnsi="Times New Roman"/>
                <w:sz w:val="24"/>
                <w:szCs w:val="24"/>
                <w:lang w:val="lv-LV"/>
              </w:rPr>
              <w:t>0</w:t>
            </w:r>
          </w:p>
        </w:tc>
        <w:tc>
          <w:tcPr>
            <w:tcW w:w="1225" w:type="dxa"/>
          </w:tcPr>
          <w:p w:rsidR="00781BDD" w:rsidRPr="00E2627C" w:rsidRDefault="001204F1" w:rsidP="001204F1">
            <w:pPr>
              <w:jc w:val="center"/>
              <w:rPr>
                <w:rFonts w:ascii="Times New Roman" w:hAnsi="Times New Roman"/>
                <w:sz w:val="24"/>
                <w:szCs w:val="24"/>
                <w:lang w:val="lv-LV"/>
              </w:rPr>
            </w:pPr>
            <w:r>
              <w:rPr>
                <w:rFonts w:ascii="Times New Roman" w:hAnsi="Times New Roman"/>
                <w:sz w:val="24"/>
                <w:szCs w:val="24"/>
                <w:lang w:val="lv-LV"/>
              </w:rPr>
              <w:t>0</w:t>
            </w:r>
          </w:p>
        </w:tc>
        <w:tc>
          <w:tcPr>
            <w:tcW w:w="1327" w:type="dxa"/>
          </w:tcPr>
          <w:p w:rsidR="00781BDD" w:rsidRPr="00E2627C" w:rsidRDefault="001204F1" w:rsidP="001204F1">
            <w:pPr>
              <w:jc w:val="center"/>
              <w:rPr>
                <w:rFonts w:ascii="Times New Roman" w:hAnsi="Times New Roman"/>
                <w:sz w:val="24"/>
                <w:szCs w:val="24"/>
                <w:lang w:val="lv-LV"/>
              </w:rPr>
            </w:pPr>
            <w:r>
              <w:rPr>
                <w:rFonts w:ascii="Times New Roman" w:hAnsi="Times New Roman"/>
                <w:sz w:val="24"/>
                <w:szCs w:val="24"/>
                <w:lang w:val="lv-LV"/>
              </w:rPr>
              <w:t>0</w:t>
            </w:r>
          </w:p>
        </w:tc>
      </w:tr>
      <w:tr w:rsidR="00781BDD" w:rsidRPr="00E2627C" w:rsidTr="000B0270">
        <w:tc>
          <w:tcPr>
            <w:tcW w:w="2838" w:type="dxa"/>
          </w:tcPr>
          <w:p w:rsidR="00781BDD" w:rsidRPr="00E2627C" w:rsidRDefault="00781BDD" w:rsidP="00153488">
            <w:pPr>
              <w:jc w:val="both"/>
              <w:rPr>
                <w:rFonts w:ascii="Times New Roman" w:hAnsi="Times New Roman"/>
                <w:sz w:val="24"/>
                <w:szCs w:val="24"/>
                <w:lang w:val="lv-LV"/>
              </w:rPr>
            </w:pPr>
            <w:r w:rsidRPr="00E2627C">
              <w:rPr>
                <w:rFonts w:ascii="Times New Roman" w:hAnsi="Times New Roman"/>
                <w:sz w:val="24"/>
                <w:szCs w:val="24"/>
                <w:lang w:val="lv-LV"/>
              </w:rPr>
              <w:t> 5.3. pašvaldību budžets</w:t>
            </w:r>
          </w:p>
        </w:tc>
        <w:tc>
          <w:tcPr>
            <w:tcW w:w="1327" w:type="dxa"/>
          </w:tcPr>
          <w:p w:rsidR="00781BDD" w:rsidRPr="00E2627C" w:rsidRDefault="000A6056" w:rsidP="000A6056">
            <w:pPr>
              <w:jc w:val="center"/>
              <w:rPr>
                <w:rFonts w:ascii="Times New Roman" w:hAnsi="Times New Roman"/>
                <w:sz w:val="24"/>
                <w:szCs w:val="24"/>
                <w:lang w:val="lv-LV"/>
              </w:rPr>
            </w:pPr>
            <w:r>
              <w:rPr>
                <w:rFonts w:ascii="Times New Roman" w:hAnsi="Times New Roman"/>
                <w:sz w:val="24"/>
                <w:szCs w:val="24"/>
                <w:lang w:val="lv-LV"/>
              </w:rPr>
              <w:t>0</w:t>
            </w:r>
          </w:p>
        </w:tc>
        <w:tc>
          <w:tcPr>
            <w:tcW w:w="1230" w:type="dxa"/>
          </w:tcPr>
          <w:p w:rsidR="00781BDD" w:rsidRPr="00E2627C" w:rsidRDefault="000A6056" w:rsidP="000A6056">
            <w:pPr>
              <w:jc w:val="center"/>
              <w:rPr>
                <w:rFonts w:ascii="Times New Roman" w:hAnsi="Times New Roman"/>
                <w:sz w:val="24"/>
                <w:szCs w:val="24"/>
                <w:lang w:val="lv-LV"/>
              </w:rPr>
            </w:pPr>
            <w:r>
              <w:rPr>
                <w:rFonts w:ascii="Times New Roman" w:hAnsi="Times New Roman"/>
                <w:sz w:val="24"/>
                <w:szCs w:val="24"/>
                <w:lang w:val="lv-LV"/>
              </w:rPr>
              <w:t>0</w:t>
            </w:r>
          </w:p>
        </w:tc>
        <w:tc>
          <w:tcPr>
            <w:tcW w:w="1327" w:type="dxa"/>
          </w:tcPr>
          <w:p w:rsidR="00781BDD" w:rsidRPr="00E2627C" w:rsidRDefault="001204F1" w:rsidP="001204F1">
            <w:pPr>
              <w:jc w:val="center"/>
              <w:rPr>
                <w:rFonts w:ascii="Times New Roman" w:hAnsi="Times New Roman"/>
                <w:sz w:val="24"/>
                <w:szCs w:val="24"/>
                <w:lang w:val="lv-LV"/>
              </w:rPr>
            </w:pPr>
            <w:r>
              <w:rPr>
                <w:rFonts w:ascii="Times New Roman" w:hAnsi="Times New Roman"/>
                <w:sz w:val="24"/>
                <w:szCs w:val="24"/>
                <w:lang w:val="lv-LV"/>
              </w:rPr>
              <w:t>0</w:t>
            </w:r>
          </w:p>
        </w:tc>
        <w:tc>
          <w:tcPr>
            <w:tcW w:w="1225" w:type="dxa"/>
          </w:tcPr>
          <w:p w:rsidR="00781BDD" w:rsidRPr="00E2627C" w:rsidRDefault="001204F1" w:rsidP="001204F1">
            <w:pPr>
              <w:jc w:val="center"/>
              <w:rPr>
                <w:rFonts w:ascii="Times New Roman" w:hAnsi="Times New Roman"/>
                <w:sz w:val="24"/>
                <w:szCs w:val="24"/>
                <w:lang w:val="lv-LV"/>
              </w:rPr>
            </w:pPr>
            <w:r>
              <w:rPr>
                <w:rFonts w:ascii="Times New Roman" w:hAnsi="Times New Roman"/>
                <w:sz w:val="24"/>
                <w:szCs w:val="24"/>
                <w:lang w:val="lv-LV"/>
              </w:rPr>
              <w:t>0</w:t>
            </w:r>
          </w:p>
        </w:tc>
        <w:tc>
          <w:tcPr>
            <w:tcW w:w="1327" w:type="dxa"/>
          </w:tcPr>
          <w:p w:rsidR="00781BDD" w:rsidRPr="00E2627C" w:rsidRDefault="001204F1" w:rsidP="001204F1">
            <w:pPr>
              <w:jc w:val="center"/>
              <w:rPr>
                <w:rFonts w:ascii="Times New Roman" w:hAnsi="Times New Roman"/>
                <w:sz w:val="24"/>
                <w:szCs w:val="24"/>
                <w:lang w:val="lv-LV"/>
              </w:rPr>
            </w:pPr>
            <w:r>
              <w:rPr>
                <w:rFonts w:ascii="Times New Roman" w:hAnsi="Times New Roman"/>
                <w:sz w:val="24"/>
                <w:szCs w:val="24"/>
                <w:lang w:val="lv-LV"/>
              </w:rPr>
              <w:t>0</w:t>
            </w:r>
          </w:p>
        </w:tc>
      </w:tr>
      <w:tr w:rsidR="000B0270" w:rsidRPr="00E2627C" w:rsidTr="00DE31D1">
        <w:tc>
          <w:tcPr>
            <w:tcW w:w="2838" w:type="dxa"/>
          </w:tcPr>
          <w:p w:rsidR="000B0270" w:rsidRDefault="000B0270" w:rsidP="00153488">
            <w:pPr>
              <w:jc w:val="both"/>
              <w:rPr>
                <w:rFonts w:ascii="Times New Roman" w:hAnsi="Times New Roman"/>
                <w:sz w:val="24"/>
                <w:szCs w:val="24"/>
                <w:lang w:val="lv-LV"/>
              </w:rPr>
            </w:pPr>
            <w:r w:rsidRPr="00E2627C">
              <w:rPr>
                <w:rFonts w:ascii="Times New Roman" w:hAnsi="Times New Roman"/>
                <w:sz w:val="24"/>
                <w:szCs w:val="24"/>
                <w:lang w:val="lv-LV"/>
              </w:rPr>
              <w:t>6</w:t>
            </w:r>
            <w:r>
              <w:rPr>
                <w:rFonts w:ascii="Times New Roman" w:hAnsi="Times New Roman"/>
                <w:sz w:val="24"/>
                <w:szCs w:val="24"/>
                <w:lang w:val="lv-LV"/>
              </w:rPr>
              <w:t>. Detalizēts ieņēmumu un izdevu</w:t>
            </w:r>
            <w:r w:rsidRPr="00E2627C">
              <w:rPr>
                <w:rFonts w:ascii="Times New Roman" w:hAnsi="Times New Roman"/>
                <w:sz w:val="24"/>
                <w:szCs w:val="24"/>
                <w:lang w:val="lv-LV"/>
              </w:rPr>
              <w:t>mu aprēķins (ja nepieciešams, detalizētu ieņēmumu un izdevumu aprēķinu var pievienot anotācijas pielikumā):</w:t>
            </w:r>
          </w:p>
          <w:p w:rsidR="000B0270" w:rsidRDefault="000B0270" w:rsidP="00153488">
            <w:pPr>
              <w:jc w:val="both"/>
              <w:rPr>
                <w:rFonts w:ascii="Times New Roman" w:hAnsi="Times New Roman"/>
                <w:sz w:val="24"/>
                <w:szCs w:val="24"/>
                <w:lang w:val="lv-LV"/>
              </w:rPr>
            </w:pPr>
          </w:p>
          <w:p w:rsidR="000B0270" w:rsidRDefault="000B0270" w:rsidP="00153488">
            <w:pPr>
              <w:jc w:val="both"/>
              <w:rPr>
                <w:rFonts w:ascii="Times New Roman" w:hAnsi="Times New Roman"/>
                <w:sz w:val="24"/>
                <w:szCs w:val="24"/>
                <w:lang w:val="lv-LV"/>
              </w:rPr>
            </w:pPr>
          </w:p>
          <w:p w:rsidR="000B0270" w:rsidRDefault="000B0270" w:rsidP="00153488">
            <w:pPr>
              <w:jc w:val="both"/>
              <w:rPr>
                <w:rFonts w:ascii="Times New Roman" w:hAnsi="Times New Roman"/>
                <w:sz w:val="24"/>
                <w:szCs w:val="24"/>
                <w:lang w:val="lv-LV"/>
              </w:rPr>
            </w:pPr>
          </w:p>
          <w:p w:rsidR="000B0270" w:rsidRDefault="000B0270" w:rsidP="00153488">
            <w:pPr>
              <w:jc w:val="both"/>
              <w:rPr>
                <w:rFonts w:ascii="Times New Roman" w:hAnsi="Times New Roman"/>
                <w:sz w:val="24"/>
                <w:szCs w:val="24"/>
                <w:lang w:val="lv-LV"/>
              </w:rPr>
            </w:pPr>
          </w:p>
          <w:p w:rsidR="000B0270" w:rsidRDefault="000B0270" w:rsidP="00153488">
            <w:pPr>
              <w:jc w:val="both"/>
              <w:rPr>
                <w:rFonts w:ascii="Times New Roman" w:hAnsi="Times New Roman"/>
                <w:sz w:val="24"/>
                <w:szCs w:val="24"/>
                <w:lang w:val="lv-LV"/>
              </w:rPr>
            </w:pPr>
          </w:p>
          <w:p w:rsidR="000B0270" w:rsidRDefault="000B0270" w:rsidP="00153488">
            <w:pPr>
              <w:jc w:val="both"/>
              <w:rPr>
                <w:rFonts w:ascii="Times New Roman" w:hAnsi="Times New Roman"/>
                <w:sz w:val="24"/>
                <w:szCs w:val="24"/>
                <w:lang w:val="lv-LV"/>
              </w:rPr>
            </w:pPr>
          </w:p>
          <w:p w:rsidR="000B0270" w:rsidRPr="00E2627C" w:rsidRDefault="000B0270" w:rsidP="00153488">
            <w:pPr>
              <w:jc w:val="both"/>
              <w:rPr>
                <w:rFonts w:ascii="Times New Roman" w:hAnsi="Times New Roman"/>
                <w:sz w:val="24"/>
                <w:szCs w:val="24"/>
                <w:lang w:val="lv-LV"/>
              </w:rPr>
            </w:pPr>
          </w:p>
        </w:tc>
        <w:tc>
          <w:tcPr>
            <w:tcW w:w="6436" w:type="dxa"/>
            <w:gridSpan w:val="5"/>
          </w:tcPr>
          <w:p w:rsidR="000B0270" w:rsidRPr="001204F1" w:rsidRDefault="000B0270" w:rsidP="000B0270">
            <w:pPr>
              <w:spacing w:after="120"/>
              <w:rPr>
                <w:rFonts w:ascii="Times New Roman" w:hAnsi="Times New Roman"/>
                <w:i/>
                <w:sz w:val="24"/>
                <w:szCs w:val="24"/>
                <w:lang w:val="lv-LV"/>
              </w:rPr>
            </w:pPr>
            <w:r w:rsidRPr="001204F1">
              <w:rPr>
                <w:rFonts w:ascii="Times New Roman" w:hAnsi="Times New Roman"/>
                <w:i/>
                <w:sz w:val="24"/>
                <w:szCs w:val="24"/>
                <w:lang w:val="lv-LV"/>
              </w:rPr>
              <w:t>6.1.</w:t>
            </w:r>
            <w:r w:rsidR="00B938F6">
              <w:rPr>
                <w:rFonts w:ascii="Times New Roman" w:hAnsi="Times New Roman"/>
                <w:i/>
                <w:sz w:val="24"/>
                <w:szCs w:val="24"/>
                <w:lang w:val="lv-LV"/>
              </w:rPr>
              <w:t xml:space="preserve"> Detalizēts ieņēmumu aprēķins:</w:t>
            </w:r>
          </w:p>
          <w:p w:rsidR="00401037" w:rsidRDefault="000B0270" w:rsidP="000B0270">
            <w:pPr>
              <w:jc w:val="both"/>
              <w:rPr>
                <w:rFonts w:ascii="Times New Roman" w:hAnsi="Times New Roman"/>
                <w:sz w:val="24"/>
                <w:szCs w:val="24"/>
                <w:lang w:val="lv-LV"/>
              </w:rPr>
            </w:pPr>
            <w:r>
              <w:rPr>
                <w:rFonts w:ascii="Times New Roman" w:hAnsi="Times New Roman"/>
                <w:sz w:val="24"/>
                <w:szCs w:val="24"/>
                <w:lang w:val="lv-LV"/>
              </w:rPr>
              <w:t>Ieņēmumi no valsts nodevas par noslēguma pārbaudījuma kārto</w:t>
            </w:r>
            <w:r w:rsidR="00401037">
              <w:rPr>
                <w:rFonts w:ascii="Times New Roman" w:hAnsi="Times New Roman"/>
                <w:sz w:val="24"/>
                <w:szCs w:val="24"/>
                <w:lang w:val="lv-LV"/>
              </w:rPr>
              <w:t>šanu un apliecību izsniegšanu nav iekļauti likumā „Par vidēj</w:t>
            </w:r>
            <w:r w:rsidR="00B938F6">
              <w:rPr>
                <w:rFonts w:ascii="Times New Roman" w:hAnsi="Times New Roman"/>
                <w:sz w:val="24"/>
                <w:szCs w:val="24"/>
                <w:lang w:val="lv-LV"/>
              </w:rPr>
              <w:t>a</w:t>
            </w:r>
            <w:r w:rsidR="00401037">
              <w:rPr>
                <w:rFonts w:ascii="Times New Roman" w:hAnsi="Times New Roman"/>
                <w:sz w:val="24"/>
                <w:szCs w:val="24"/>
                <w:lang w:val="lv-LV"/>
              </w:rPr>
              <w:t xml:space="preserve"> termiņa budžeta ietvaru 2017., 2018., un 2019.gadam” (pieņemts Saeimā 2016.gada 24.novembrī), bet tiek plānots, ka 2019.gada un turpmāko gadu ieņēmumu prognoze tiks precizēta likumprojekta </w:t>
            </w:r>
            <w:r w:rsidR="00B938F6">
              <w:rPr>
                <w:rFonts w:ascii="Times New Roman" w:hAnsi="Times New Roman"/>
                <w:sz w:val="24"/>
                <w:szCs w:val="24"/>
                <w:lang w:val="lv-LV"/>
              </w:rPr>
              <w:t>„</w:t>
            </w:r>
            <w:r w:rsidR="00401037">
              <w:rPr>
                <w:rFonts w:ascii="Times New Roman" w:hAnsi="Times New Roman"/>
                <w:sz w:val="24"/>
                <w:szCs w:val="24"/>
                <w:lang w:val="lv-LV"/>
              </w:rPr>
              <w:t xml:space="preserve">Par valsts budžetu 2019.gadam” un likumprojekta </w:t>
            </w:r>
            <w:r w:rsidR="00B938F6">
              <w:rPr>
                <w:rFonts w:ascii="Times New Roman" w:hAnsi="Times New Roman"/>
                <w:sz w:val="24"/>
                <w:szCs w:val="24"/>
                <w:lang w:val="lv-LV"/>
              </w:rPr>
              <w:t>„Par vidēja termiņa budžeta ietvaru 2018., 2019., un 2020.gadam</w:t>
            </w:r>
            <w:r w:rsidR="00401037">
              <w:rPr>
                <w:rFonts w:ascii="Times New Roman" w:hAnsi="Times New Roman"/>
                <w:sz w:val="24"/>
                <w:szCs w:val="24"/>
                <w:lang w:val="lv-LV"/>
              </w:rPr>
              <w:t>’</w:t>
            </w:r>
            <w:r w:rsidR="00B938F6">
              <w:rPr>
                <w:rFonts w:ascii="Times New Roman" w:hAnsi="Times New Roman"/>
                <w:sz w:val="24"/>
                <w:szCs w:val="24"/>
                <w:lang w:val="lv-LV"/>
              </w:rPr>
              <w:t xml:space="preserve"> sagatavošanas procesā.</w:t>
            </w:r>
          </w:p>
          <w:p w:rsidR="004E0D9C" w:rsidRDefault="004E0D9C" w:rsidP="000B0270">
            <w:pPr>
              <w:jc w:val="both"/>
              <w:rPr>
                <w:rFonts w:ascii="Times New Roman" w:hAnsi="Times New Roman"/>
                <w:sz w:val="24"/>
                <w:szCs w:val="24"/>
                <w:lang w:val="lv-LV"/>
              </w:rPr>
            </w:pPr>
          </w:p>
          <w:p w:rsidR="000B0270" w:rsidRDefault="00B938F6" w:rsidP="000B0270">
            <w:pPr>
              <w:jc w:val="both"/>
              <w:rPr>
                <w:rFonts w:ascii="Times New Roman" w:hAnsi="Times New Roman"/>
                <w:sz w:val="24"/>
                <w:szCs w:val="24"/>
                <w:lang w:val="lv-LV"/>
              </w:rPr>
            </w:pPr>
            <w:r>
              <w:rPr>
                <w:rFonts w:ascii="Times New Roman" w:hAnsi="Times New Roman"/>
                <w:sz w:val="24"/>
                <w:szCs w:val="24"/>
                <w:lang w:val="lv-LV"/>
              </w:rPr>
              <w:t xml:space="preserve">2019.gadā </w:t>
            </w:r>
            <w:r w:rsidR="000B0270">
              <w:rPr>
                <w:rFonts w:ascii="Times New Roman" w:hAnsi="Times New Roman"/>
                <w:sz w:val="24"/>
                <w:szCs w:val="24"/>
                <w:lang w:val="lv-LV"/>
              </w:rPr>
              <w:t>plānots, ka noslēguma pārbaudījumu kārtos 150 personas. Savukārt, 2020.gadā un turpmāk ik gadu tiek plānots, ka noslēguma pārbaudījumu kārtos 500 personas.</w:t>
            </w:r>
          </w:p>
          <w:p w:rsidR="000B0270" w:rsidRDefault="000B0270" w:rsidP="000B0270">
            <w:pPr>
              <w:jc w:val="both"/>
              <w:rPr>
                <w:rFonts w:ascii="Times New Roman" w:hAnsi="Times New Roman"/>
                <w:sz w:val="24"/>
                <w:szCs w:val="24"/>
                <w:lang w:val="lv-LV"/>
              </w:rPr>
            </w:pPr>
          </w:p>
          <w:p w:rsidR="009D630A" w:rsidRPr="000B0270" w:rsidRDefault="000B0270" w:rsidP="00F5725D">
            <w:pPr>
              <w:jc w:val="both"/>
              <w:rPr>
                <w:rFonts w:ascii="Times New Roman" w:hAnsi="Times New Roman"/>
                <w:sz w:val="24"/>
                <w:szCs w:val="24"/>
                <w:lang w:val="lv-LV"/>
              </w:rPr>
            </w:pPr>
            <w:r>
              <w:rPr>
                <w:rFonts w:ascii="Times New Roman" w:hAnsi="Times New Roman"/>
                <w:sz w:val="24"/>
                <w:szCs w:val="24"/>
                <w:lang w:val="lv-LV"/>
              </w:rPr>
              <w:t xml:space="preserve">Valsts nodevas apmērs par </w:t>
            </w:r>
            <w:r w:rsidRPr="00A52093">
              <w:rPr>
                <w:rFonts w:ascii="Times New Roman" w:hAnsi="Times New Roman"/>
                <w:sz w:val="24"/>
                <w:szCs w:val="24"/>
                <w:lang w:val="lv-LV"/>
              </w:rPr>
              <w:t>noslēguma pārbaudījuma kārtošanu tiek pieņemts kā analoģiska maksa par at</w:t>
            </w:r>
            <w:r w:rsidR="009D630A">
              <w:rPr>
                <w:rFonts w:ascii="Times New Roman" w:hAnsi="Times New Roman"/>
                <w:sz w:val="24"/>
                <w:szCs w:val="24"/>
                <w:lang w:val="lv-LV"/>
              </w:rPr>
              <w:t>kārtota pārbaudījuma kārtošanu K</w:t>
            </w:r>
            <w:r w:rsidRPr="00A52093">
              <w:rPr>
                <w:rFonts w:ascii="Times New Roman" w:hAnsi="Times New Roman"/>
                <w:sz w:val="24"/>
                <w:szCs w:val="24"/>
                <w:lang w:val="lv-LV"/>
              </w:rPr>
              <w:t>oledžā atbilstoši Ministru kabineta 2013.gada 24.septembra noteikumiem Nr.902 „Ugunsdrošības un civilās aizsardzības koledžas maksas pakalpojumu cenrādis”</w:t>
            </w:r>
            <w:r>
              <w:rPr>
                <w:rFonts w:ascii="Times New Roman" w:hAnsi="Times New Roman"/>
                <w:sz w:val="24"/>
                <w:szCs w:val="24"/>
                <w:lang w:val="lv-LV"/>
              </w:rPr>
              <w:t xml:space="preserve">, proti, 10,94 </w:t>
            </w:r>
            <w:r w:rsidRPr="00A52093">
              <w:rPr>
                <w:rFonts w:ascii="Times New Roman" w:hAnsi="Times New Roman"/>
                <w:i/>
                <w:sz w:val="24"/>
                <w:szCs w:val="24"/>
                <w:lang w:val="lv-LV"/>
              </w:rPr>
              <w:t>euro</w:t>
            </w:r>
            <w:r>
              <w:rPr>
                <w:rFonts w:ascii="Times New Roman" w:hAnsi="Times New Roman"/>
                <w:sz w:val="24"/>
                <w:szCs w:val="24"/>
                <w:lang w:val="lv-LV"/>
              </w:rPr>
              <w:t>.</w:t>
            </w:r>
            <w:r w:rsidR="009D630A">
              <w:rPr>
                <w:rFonts w:ascii="Times New Roman" w:hAnsi="Times New Roman"/>
                <w:sz w:val="24"/>
                <w:szCs w:val="24"/>
                <w:lang w:val="lv-LV"/>
              </w:rPr>
              <w:t xml:space="preserve"> Savukārt, valsts nodeva</w:t>
            </w:r>
            <w:r w:rsidR="00B938F6">
              <w:rPr>
                <w:rFonts w:ascii="Times New Roman" w:hAnsi="Times New Roman"/>
                <w:sz w:val="24"/>
                <w:szCs w:val="24"/>
                <w:lang w:val="lv-LV"/>
              </w:rPr>
              <w:t>s apmērs</w:t>
            </w:r>
            <w:r w:rsidR="009D630A">
              <w:rPr>
                <w:rFonts w:ascii="Times New Roman" w:hAnsi="Times New Roman"/>
                <w:sz w:val="24"/>
                <w:szCs w:val="24"/>
                <w:lang w:val="lv-LV"/>
              </w:rPr>
              <w:t xml:space="preserve"> par apliecības izsniegšanu</w:t>
            </w:r>
            <w:r w:rsidR="00B938F6">
              <w:rPr>
                <w:rFonts w:ascii="Times New Roman" w:hAnsi="Times New Roman"/>
                <w:sz w:val="24"/>
                <w:szCs w:val="24"/>
                <w:lang w:val="lv-LV"/>
              </w:rPr>
              <w:t xml:space="preserve">, tika pieņemts kā tiešie izdevumi šādas </w:t>
            </w:r>
            <w:r w:rsidR="00F5725D">
              <w:rPr>
                <w:rFonts w:ascii="Times New Roman" w:hAnsi="Times New Roman"/>
                <w:sz w:val="24"/>
                <w:szCs w:val="24"/>
                <w:lang w:val="lv-LV"/>
              </w:rPr>
              <w:t xml:space="preserve">vienas </w:t>
            </w:r>
            <w:r w:rsidR="00B938F6">
              <w:rPr>
                <w:rFonts w:ascii="Times New Roman" w:hAnsi="Times New Roman"/>
                <w:sz w:val="24"/>
                <w:szCs w:val="24"/>
                <w:lang w:val="lv-LV"/>
              </w:rPr>
              <w:t xml:space="preserve">apliecības </w:t>
            </w:r>
            <w:r w:rsidR="000E6958">
              <w:rPr>
                <w:rFonts w:ascii="Times New Roman" w:hAnsi="Times New Roman"/>
                <w:sz w:val="24"/>
                <w:szCs w:val="24"/>
                <w:lang w:val="lv-LV"/>
              </w:rPr>
              <w:t xml:space="preserve">tipogrāfiskai </w:t>
            </w:r>
            <w:r w:rsidR="00F5725D">
              <w:rPr>
                <w:rFonts w:ascii="Times New Roman" w:hAnsi="Times New Roman"/>
                <w:sz w:val="24"/>
                <w:szCs w:val="24"/>
                <w:lang w:val="lv-LV"/>
              </w:rPr>
              <w:t>izgatavošanai</w:t>
            </w:r>
            <w:r w:rsidR="00B938F6">
              <w:rPr>
                <w:rFonts w:ascii="Times New Roman" w:hAnsi="Times New Roman"/>
                <w:sz w:val="24"/>
                <w:szCs w:val="24"/>
                <w:lang w:val="lv-LV"/>
              </w:rPr>
              <w:t xml:space="preserve">, tas </w:t>
            </w:r>
            <w:r w:rsidR="00B938F6" w:rsidRPr="000E6958">
              <w:rPr>
                <w:rFonts w:ascii="Times New Roman" w:hAnsi="Times New Roman"/>
                <w:sz w:val="24"/>
                <w:szCs w:val="24"/>
                <w:lang w:val="lv-LV"/>
              </w:rPr>
              <w:t xml:space="preserve">ir, 5,00 </w:t>
            </w:r>
            <w:r w:rsidR="00B938F6" w:rsidRPr="000E6958">
              <w:rPr>
                <w:rFonts w:ascii="Times New Roman" w:hAnsi="Times New Roman"/>
                <w:i/>
                <w:sz w:val="24"/>
                <w:szCs w:val="24"/>
                <w:lang w:val="lv-LV"/>
              </w:rPr>
              <w:t>euro</w:t>
            </w:r>
            <w:r w:rsidR="00B938F6" w:rsidRPr="000E6958">
              <w:rPr>
                <w:rFonts w:ascii="Times New Roman" w:hAnsi="Times New Roman"/>
                <w:sz w:val="24"/>
                <w:szCs w:val="24"/>
                <w:lang w:val="lv-LV"/>
              </w:rPr>
              <w:t>.</w:t>
            </w:r>
          </w:p>
        </w:tc>
      </w:tr>
      <w:tr w:rsidR="000B0270" w:rsidRPr="00E2627C" w:rsidTr="007D1AA0">
        <w:tc>
          <w:tcPr>
            <w:tcW w:w="2838" w:type="dxa"/>
          </w:tcPr>
          <w:p w:rsidR="000B0270" w:rsidRDefault="000B0270" w:rsidP="004E04FE">
            <w:pPr>
              <w:rPr>
                <w:rFonts w:ascii="Times New Roman" w:hAnsi="Times New Roman"/>
                <w:sz w:val="24"/>
                <w:szCs w:val="24"/>
                <w:lang w:val="lv-LV"/>
              </w:rPr>
            </w:pPr>
            <w:r w:rsidRPr="00E2627C">
              <w:rPr>
                <w:rFonts w:ascii="Times New Roman" w:hAnsi="Times New Roman"/>
                <w:sz w:val="24"/>
                <w:szCs w:val="24"/>
                <w:lang w:val="lv-LV"/>
              </w:rPr>
              <w:t>6.1. detalizēts ieņēmumu aprēķins</w:t>
            </w:r>
          </w:p>
          <w:p w:rsidR="000B0270" w:rsidRDefault="000B0270" w:rsidP="004E04FE">
            <w:pPr>
              <w:rPr>
                <w:rFonts w:ascii="Times New Roman" w:hAnsi="Times New Roman"/>
                <w:sz w:val="24"/>
                <w:szCs w:val="24"/>
                <w:lang w:val="lv-LV"/>
              </w:rPr>
            </w:pPr>
          </w:p>
          <w:p w:rsidR="000B0270" w:rsidRDefault="000B0270" w:rsidP="004E04FE">
            <w:pPr>
              <w:rPr>
                <w:rFonts w:ascii="Times New Roman" w:hAnsi="Times New Roman"/>
                <w:sz w:val="24"/>
                <w:szCs w:val="24"/>
                <w:lang w:val="lv-LV"/>
              </w:rPr>
            </w:pPr>
          </w:p>
          <w:p w:rsidR="000B0270" w:rsidRDefault="000B0270" w:rsidP="004E04FE">
            <w:pPr>
              <w:rPr>
                <w:rFonts w:ascii="Times New Roman" w:hAnsi="Times New Roman"/>
                <w:sz w:val="24"/>
                <w:szCs w:val="24"/>
                <w:lang w:val="lv-LV"/>
              </w:rPr>
            </w:pPr>
          </w:p>
          <w:p w:rsidR="000B0270" w:rsidRDefault="000B0270" w:rsidP="004E04FE">
            <w:pPr>
              <w:rPr>
                <w:rFonts w:ascii="Times New Roman" w:hAnsi="Times New Roman"/>
                <w:sz w:val="24"/>
                <w:szCs w:val="24"/>
                <w:lang w:val="lv-LV"/>
              </w:rPr>
            </w:pPr>
          </w:p>
          <w:p w:rsidR="000B0270" w:rsidRPr="00E2627C" w:rsidRDefault="000B0270" w:rsidP="004E04FE">
            <w:pPr>
              <w:rPr>
                <w:rFonts w:ascii="Times New Roman" w:hAnsi="Times New Roman"/>
                <w:sz w:val="24"/>
                <w:szCs w:val="24"/>
                <w:lang w:val="lv-LV"/>
              </w:rPr>
            </w:pPr>
          </w:p>
        </w:tc>
        <w:tc>
          <w:tcPr>
            <w:tcW w:w="6436" w:type="dxa"/>
            <w:gridSpan w:val="5"/>
          </w:tcPr>
          <w:p w:rsidR="000B0270" w:rsidRDefault="000B0270" w:rsidP="000B0270">
            <w:pPr>
              <w:rPr>
                <w:rFonts w:ascii="Times New Roman" w:hAnsi="Times New Roman"/>
                <w:sz w:val="24"/>
                <w:szCs w:val="24"/>
                <w:lang w:val="lv-LV"/>
              </w:rPr>
            </w:pPr>
            <w:r w:rsidRPr="00366F58">
              <w:rPr>
                <w:rFonts w:ascii="Times New Roman" w:hAnsi="Times New Roman"/>
                <w:i/>
                <w:sz w:val="24"/>
                <w:szCs w:val="24"/>
                <w:lang w:val="lv-LV"/>
              </w:rPr>
              <w:t>Valsts pamatbudžeta ieņēmumu no valsts nodevas prognoze</w:t>
            </w:r>
            <w:r>
              <w:rPr>
                <w:rFonts w:ascii="Times New Roman" w:hAnsi="Times New Roman"/>
                <w:sz w:val="24"/>
                <w:szCs w:val="24"/>
                <w:lang w:val="lv-LV"/>
              </w:rPr>
              <w:t>:</w:t>
            </w:r>
          </w:p>
          <w:p w:rsidR="000B0270" w:rsidRDefault="000B0270" w:rsidP="000B0270">
            <w:pPr>
              <w:jc w:val="both"/>
              <w:rPr>
                <w:rFonts w:ascii="Times New Roman" w:hAnsi="Times New Roman"/>
                <w:sz w:val="24"/>
                <w:szCs w:val="24"/>
                <w:lang w:val="lv-LV"/>
              </w:rPr>
            </w:pPr>
            <w:r>
              <w:rPr>
                <w:rFonts w:ascii="Times New Roman" w:hAnsi="Times New Roman"/>
                <w:sz w:val="24"/>
                <w:szCs w:val="24"/>
                <w:lang w:val="lv-LV"/>
              </w:rPr>
              <w:t xml:space="preserve">1) 2019.gadā tiek prognozēti ieņēmumi </w:t>
            </w:r>
            <w:r w:rsidRPr="00454C6B">
              <w:rPr>
                <w:rFonts w:ascii="Times New Roman" w:hAnsi="Times New Roman"/>
                <w:b/>
                <w:sz w:val="24"/>
                <w:szCs w:val="24"/>
                <w:lang w:val="lv-LV"/>
              </w:rPr>
              <w:t xml:space="preserve">2391 </w:t>
            </w:r>
            <w:r w:rsidRPr="00454C6B">
              <w:rPr>
                <w:rFonts w:ascii="Times New Roman" w:hAnsi="Times New Roman"/>
                <w:b/>
                <w:i/>
                <w:sz w:val="24"/>
                <w:szCs w:val="24"/>
                <w:lang w:val="lv-LV"/>
              </w:rPr>
              <w:t>euro</w:t>
            </w:r>
            <w:r>
              <w:rPr>
                <w:rFonts w:ascii="Times New Roman" w:hAnsi="Times New Roman"/>
                <w:sz w:val="24"/>
                <w:szCs w:val="24"/>
                <w:lang w:val="lv-LV"/>
              </w:rPr>
              <w:t xml:space="preserve"> apmērā:</w:t>
            </w:r>
          </w:p>
          <w:p w:rsidR="000B0270" w:rsidRDefault="009D630A" w:rsidP="000B0270">
            <w:pPr>
              <w:pStyle w:val="Sarakstarindkopa"/>
              <w:numPr>
                <w:ilvl w:val="0"/>
                <w:numId w:val="11"/>
              </w:numPr>
              <w:jc w:val="both"/>
              <w:rPr>
                <w:rFonts w:ascii="Times New Roman" w:hAnsi="Times New Roman"/>
                <w:sz w:val="24"/>
                <w:szCs w:val="24"/>
                <w:lang w:val="lv-LV"/>
              </w:rPr>
            </w:pPr>
            <w:r>
              <w:rPr>
                <w:rFonts w:ascii="Times New Roman" w:hAnsi="Times New Roman"/>
                <w:sz w:val="24"/>
                <w:szCs w:val="24"/>
                <w:lang w:val="lv-LV"/>
              </w:rPr>
              <w:t xml:space="preserve">10,94 </w:t>
            </w:r>
            <w:r w:rsidRPr="009D630A">
              <w:rPr>
                <w:rFonts w:ascii="Times New Roman" w:hAnsi="Times New Roman"/>
                <w:i/>
                <w:sz w:val="24"/>
                <w:szCs w:val="24"/>
                <w:lang w:val="lv-LV"/>
              </w:rPr>
              <w:t>euro</w:t>
            </w:r>
            <w:r>
              <w:rPr>
                <w:rFonts w:ascii="Times New Roman" w:hAnsi="Times New Roman"/>
                <w:sz w:val="24"/>
                <w:szCs w:val="24"/>
                <w:lang w:val="lv-LV"/>
              </w:rPr>
              <w:t xml:space="preserve"> x 150</w:t>
            </w:r>
            <w:r w:rsidR="00B938F6">
              <w:rPr>
                <w:rFonts w:ascii="Times New Roman" w:hAnsi="Times New Roman"/>
                <w:sz w:val="24"/>
                <w:szCs w:val="24"/>
                <w:lang w:val="lv-LV"/>
              </w:rPr>
              <w:t xml:space="preserve"> noslēguma pārbaudījumi</w:t>
            </w:r>
            <w:r>
              <w:rPr>
                <w:rFonts w:ascii="Times New Roman" w:hAnsi="Times New Roman"/>
                <w:sz w:val="24"/>
                <w:szCs w:val="24"/>
                <w:lang w:val="lv-LV"/>
              </w:rPr>
              <w:t xml:space="preserve"> = 1641</w:t>
            </w:r>
            <w:r w:rsidR="000B0270">
              <w:rPr>
                <w:rFonts w:ascii="Times New Roman" w:hAnsi="Times New Roman"/>
                <w:sz w:val="24"/>
                <w:szCs w:val="24"/>
                <w:lang w:val="lv-LV"/>
              </w:rPr>
              <w:t xml:space="preserve"> </w:t>
            </w:r>
            <w:r w:rsidR="000B0270" w:rsidRPr="009D630A">
              <w:rPr>
                <w:rFonts w:ascii="Times New Roman" w:hAnsi="Times New Roman"/>
                <w:i/>
                <w:sz w:val="24"/>
                <w:szCs w:val="24"/>
                <w:lang w:val="lv-LV"/>
              </w:rPr>
              <w:t>euro</w:t>
            </w:r>
            <w:r w:rsidR="000B0270">
              <w:rPr>
                <w:rFonts w:ascii="Times New Roman" w:hAnsi="Times New Roman"/>
                <w:sz w:val="24"/>
                <w:szCs w:val="24"/>
                <w:lang w:val="lv-LV"/>
              </w:rPr>
              <w:t>.</w:t>
            </w:r>
          </w:p>
          <w:p w:rsidR="009D630A" w:rsidRDefault="009D630A" w:rsidP="000B0270">
            <w:pPr>
              <w:pStyle w:val="Sarakstarindkopa"/>
              <w:numPr>
                <w:ilvl w:val="0"/>
                <w:numId w:val="11"/>
              </w:numPr>
              <w:jc w:val="both"/>
              <w:rPr>
                <w:rFonts w:ascii="Times New Roman" w:hAnsi="Times New Roman"/>
                <w:sz w:val="24"/>
                <w:szCs w:val="24"/>
                <w:lang w:val="lv-LV"/>
              </w:rPr>
            </w:pPr>
            <w:r>
              <w:rPr>
                <w:rFonts w:ascii="Times New Roman" w:hAnsi="Times New Roman"/>
                <w:sz w:val="24"/>
                <w:szCs w:val="24"/>
                <w:lang w:val="lv-LV"/>
              </w:rPr>
              <w:t xml:space="preserve">5,00 </w:t>
            </w:r>
            <w:r w:rsidRPr="009D630A">
              <w:rPr>
                <w:rFonts w:ascii="Times New Roman" w:hAnsi="Times New Roman"/>
                <w:i/>
                <w:sz w:val="24"/>
                <w:szCs w:val="24"/>
                <w:lang w:val="lv-LV"/>
              </w:rPr>
              <w:t>euro</w:t>
            </w:r>
            <w:r>
              <w:rPr>
                <w:rFonts w:ascii="Times New Roman" w:hAnsi="Times New Roman"/>
                <w:sz w:val="24"/>
                <w:szCs w:val="24"/>
                <w:lang w:val="lv-LV"/>
              </w:rPr>
              <w:t xml:space="preserve"> x 150 </w:t>
            </w:r>
            <w:r w:rsidR="00B938F6">
              <w:rPr>
                <w:rFonts w:ascii="Times New Roman" w:hAnsi="Times New Roman"/>
                <w:sz w:val="24"/>
                <w:szCs w:val="24"/>
                <w:lang w:val="lv-LV"/>
              </w:rPr>
              <w:t xml:space="preserve">apliecības </w:t>
            </w:r>
            <w:r>
              <w:rPr>
                <w:rFonts w:ascii="Times New Roman" w:hAnsi="Times New Roman"/>
                <w:sz w:val="24"/>
                <w:szCs w:val="24"/>
                <w:lang w:val="lv-LV"/>
              </w:rPr>
              <w:t xml:space="preserve">= 750 </w:t>
            </w:r>
            <w:r w:rsidRPr="009D630A">
              <w:rPr>
                <w:rFonts w:ascii="Times New Roman" w:hAnsi="Times New Roman"/>
                <w:i/>
                <w:sz w:val="24"/>
                <w:szCs w:val="24"/>
                <w:lang w:val="lv-LV"/>
              </w:rPr>
              <w:t>euro</w:t>
            </w:r>
            <w:r>
              <w:rPr>
                <w:rFonts w:ascii="Times New Roman" w:hAnsi="Times New Roman"/>
                <w:sz w:val="24"/>
                <w:szCs w:val="24"/>
                <w:lang w:val="lv-LV"/>
              </w:rPr>
              <w:t>.</w:t>
            </w:r>
          </w:p>
          <w:p w:rsidR="000B0270" w:rsidRPr="00A52093" w:rsidRDefault="000B0270" w:rsidP="000B0270">
            <w:pPr>
              <w:jc w:val="both"/>
              <w:rPr>
                <w:rFonts w:ascii="Times New Roman" w:hAnsi="Times New Roman"/>
                <w:sz w:val="24"/>
                <w:szCs w:val="24"/>
                <w:lang w:val="lv-LV"/>
              </w:rPr>
            </w:pPr>
            <w:r>
              <w:rPr>
                <w:rFonts w:ascii="Times New Roman" w:hAnsi="Times New Roman"/>
                <w:sz w:val="24"/>
                <w:szCs w:val="24"/>
                <w:lang w:val="lv-LV"/>
              </w:rPr>
              <w:t xml:space="preserve">2) </w:t>
            </w:r>
            <w:r w:rsidRPr="00A52093">
              <w:rPr>
                <w:rFonts w:ascii="Times New Roman" w:hAnsi="Times New Roman"/>
                <w:sz w:val="24"/>
                <w:szCs w:val="24"/>
                <w:lang w:val="lv-LV"/>
              </w:rPr>
              <w:t xml:space="preserve">2020.gadā un turpmāk ik gadu prognozēti ieņēmumi </w:t>
            </w:r>
            <w:r w:rsidRPr="00454C6B">
              <w:rPr>
                <w:rFonts w:ascii="Times New Roman" w:hAnsi="Times New Roman"/>
                <w:b/>
                <w:sz w:val="24"/>
                <w:szCs w:val="24"/>
                <w:lang w:val="lv-LV"/>
              </w:rPr>
              <w:t xml:space="preserve">7970 </w:t>
            </w:r>
            <w:r w:rsidRPr="00454C6B">
              <w:rPr>
                <w:rFonts w:ascii="Times New Roman" w:hAnsi="Times New Roman"/>
                <w:b/>
                <w:i/>
                <w:sz w:val="24"/>
                <w:szCs w:val="24"/>
                <w:lang w:val="lv-LV"/>
              </w:rPr>
              <w:t>euro</w:t>
            </w:r>
            <w:r w:rsidRPr="00A52093">
              <w:rPr>
                <w:rFonts w:ascii="Times New Roman" w:hAnsi="Times New Roman"/>
                <w:sz w:val="24"/>
                <w:szCs w:val="24"/>
                <w:lang w:val="lv-LV"/>
              </w:rPr>
              <w:t xml:space="preserve"> apmērā</w:t>
            </w:r>
            <w:r>
              <w:rPr>
                <w:rFonts w:ascii="Times New Roman" w:hAnsi="Times New Roman"/>
                <w:sz w:val="24"/>
                <w:szCs w:val="24"/>
                <w:lang w:val="lv-LV"/>
              </w:rPr>
              <w:t>:</w:t>
            </w:r>
          </w:p>
          <w:p w:rsidR="000B0270" w:rsidRDefault="009D630A" w:rsidP="000B0270">
            <w:pPr>
              <w:pStyle w:val="Sarakstarindkopa"/>
              <w:numPr>
                <w:ilvl w:val="0"/>
                <w:numId w:val="11"/>
              </w:numPr>
              <w:rPr>
                <w:rFonts w:ascii="Times New Roman" w:hAnsi="Times New Roman"/>
                <w:sz w:val="24"/>
                <w:szCs w:val="24"/>
                <w:lang w:val="lv-LV"/>
              </w:rPr>
            </w:pPr>
            <w:r>
              <w:rPr>
                <w:rFonts w:ascii="Times New Roman" w:hAnsi="Times New Roman"/>
                <w:sz w:val="24"/>
                <w:szCs w:val="24"/>
                <w:lang w:val="lv-LV"/>
              </w:rPr>
              <w:t>10</w:t>
            </w:r>
            <w:r w:rsidR="000B0270">
              <w:rPr>
                <w:rFonts w:ascii="Times New Roman" w:hAnsi="Times New Roman"/>
                <w:sz w:val="24"/>
                <w:szCs w:val="24"/>
                <w:lang w:val="lv-LV"/>
              </w:rPr>
              <w:t xml:space="preserve">,94 </w:t>
            </w:r>
            <w:r w:rsidR="000B0270" w:rsidRPr="009D630A">
              <w:rPr>
                <w:rFonts w:ascii="Times New Roman" w:hAnsi="Times New Roman"/>
                <w:i/>
                <w:sz w:val="24"/>
                <w:szCs w:val="24"/>
                <w:lang w:val="lv-LV"/>
              </w:rPr>
              <w:t>euro</w:t>
            </w:r>
            <w:r w:rsidR="00401037">
              <w:rPr>
                <w:rFonts w:ascii="Times New Roman" w:hAnsi="Times New Roman"/>
                <w:sz w:val="24"/>
                <w:szCs w:val="24"/>
                <w:lang w:val="lv-LV"/>
              </w:rPr>
              <w:t xml:space="preserve"> x 500 </w:t>
            </w:r>
            <w:r w:rsidR="00B938F6">
              <w:rPr>
                <w:rFonts w:ascii="Times New Roman" w:hAnsi="Times New Roman"/>
                <w:sz w:val="24"/>
                <w:szCs w:val="24"/>
                <w:lang w:val="lv-LV"/>
              </w:rPr>
              <w:t xml:space="preserve">noslēguma pārbaudījumi </w:t>
            </w:r>
            <w:r w:rsidR="00401037">
              <w:rPr>
                <w:rFonts w:ascii="Times New Roman" w:hAnsi="Times New Roman"/>
                <w:sz w:val="24"/>
                <w:szCs w:val="24"/>
                <w:lang w:val="lv-LV"/>
              </w:rPr>
              <w:t>= 5470</w:t>
            </w:r>
            <w:r w:rsidR="000B0270">
              <w:rPr>
                <w:rFonts w:ascii="Times New Roman" w:hAnsi="Times New Roman"/>
                <w:sz w:val="24"/>
                <w:szCs w:val="24"/>
                <w:lang w:val="lv-LV"/>
              </w:rPr>
              <w:t xml:space="preserve"> </w:t>
            </w:r>
            <w:r w:rsidR="000B0270" w:rsidRPr="00A52093">
              <w:rPr>
                <w:rFonts w:ascii="Times New Roman" w:hAnsi="Times New Roman"/>
                <w:i/>
                <w:sz w:val="24"/>
                <w:szCs w:val="24"/>
                <w:lang w:val="lv-LV"/>
              </w:rPr>
              <w:t>euro</w:t>
            </w:r>
            <w:r w:rsidR="000B0270">
              <w:rPr>
                <w:rFonts w:ascii="Times New Roman" w:hAnsi="Times New Roman"/>
                <w:sz w:val="24"/>
                <w:szCs w:val="24"/>
                <w:lang w:val="lv-LV"/>
              </w:rPr>
              <w:t>.</w:t>
            </w:r>
          </w:p>
          <w:p w:rsidR="000B0270" w:rsidRPr="00401037" w:rsidRDefault="00401037" w:rsidP="000B0270">
            <w:pPr>
              <w:pStyle w:val="Sarakstarindkopa"/>
              <w:numPr>
                <w:ilvl w:val="0"/>
                <w:numId w:val="11"/>
              </w:numPr>
              <w:rPr>
                <w:rFonts w:ascii="Times New Roman" w:hAnsi="Times New Roman"/>
                <w:sz w:val="24"/>
                <w:szCs w:val="24"/>
                <w:lang w:val="lv-LV"/>
              </w:rPr>
            </w:pPr>
            <w:r>
              <w:rPr>
                <w:rFonts w:ascii="Times New Roman" w:hAnsi="Times New Roman"/>
                <w:sz w:val="24"/>
                <w:szCs w:val="24"/>
                <w:lang w:val="lv-LV"/>
              </w:rPr>
              <w:t xml:space="preserve">5,00 </w:t>
            </w:r>
            <w:r w:rsidRPr="00401037">
              <w:rPr>
                <w:rFonts w:ascii="Times New Roman" w:hAnsi="Times New Roman"/>
                <w:i/>
                <w:sz w:val="24"/>
                <w:szCs w:val="24"/>
                <w:lang w:val="lv-LV"/>
              </w:rPr>
              <w:t>euro</w:t>
            </w:r>
            <w:r>
              <w:rPr>
                <w:rFonts w:ascii="Times New Roman" w:hAnsi="Times New Roman"/>
                <w:sz w:val="24"/>
                <w:szCs w:val="24"/>
                <w:lang w:val="lv-LV"/>
              </w:rPr>
              <w:t xml:space="preserve"> x 500</w:t>
            </w:r>
            <w:r w:rsidR="00B938F6">
              <w:rPr>
                <w:rFonts w:ascii="Times New Roman" w:hAnsi="Times New Roman"/>
                <w:sz w:val="24"/>
                <w:szCs w:val="24"/>
                <w:lang w:val="lv-LV"/>
              </w:rPr>
              <w:t xml:space="preserve"> apliecības</w:t>
            </w:r>
            <w:r>
              <w:rPr>
                <w:rFonts w:ascii="Times New Roman" w:hAnsi="Times New Roman"/>
                <w:sz w:val="24"/>
                <w:szCs w:val="24"/>
                <w:lang w:val="lv-LV"/>
              </w:rPr>
              <w:t xml:space="preserve"> = 2500 </w:t>
            </w:r>
            <w:r w:rsidRPr="00401037">
              <w:rPr>
                <w:rFonts w:ascii="Times New Roman" w:hAnsi="Times New Roman"/>
                <w:i/>
                <w:sz w:val="24"/>
                <w:szCs w:val="24"/>
                <w:lang w:val="lv-LV"/>
              </w:rPr>
              <w:t>euro</w:t>
            </w:r>
            <w:r>
              <w:rPr>
                <w:rFonts w:ascii="Times New Roman" w:hAnsi="Times New Roman"/>
                <w:sz w:val="24"/>
                <w:szCs w:val="24"/>
                <w:lang w:val="lv-LV"/>
              </w:rPr>
              <w:t>.</w:t>
            </w:r>
          </w:p>
        </w:tc>
      </w:tr>
      <w:tr w:rsidR="000B0270" w:rsidRPr="00E2627C" w:rsidTr="00BF1324">
        <w:tc>
          <w:tcPr>
            <w:tcW w:w="2838" w:type="dxa"/>
          </w:tcPr>
          <w:p w:rsidR="000B0270" w:rsidRPr="00E2627C" w:rsidRDefault="000B0270" w:rsidP="004E04FE">
            <w:pPr>
              <w:rPr>
                <w:rFonts w:ascii="Times New Roman" w:hAnsi="Times New Roman"/>
                <w:sz w:val="24"/>
                <w:szCs w:val="24"/>
                <w:lang w:val="lv-LV"/>
              </w:rPr>
            </w:pPr>
            <w:r w:rsidRPr="00E2627C">
              <w:rPr>
                <w:rFonts w:ascii="Times New Roman" w:hAnsi="Times New Roman"/>
                <w:sz w:val="24"/>
                <w:szCs w:val="24"/>
                <w:lang w:val="lv-LV"/>
              </w:rPr>
              <w:t>6.2. detalizēts izdevumu aprēķins</w:t>
            </w:r>
          </w:p>
        </w:tc>
        <w:tc>
          <w:tcPr>
            <w:tcW w:w="6436" w:type="dxa"/>
            <w:gridSpan w:val="5"/>
          </w:tcPr>
          <w:p w:rsidR="000B0270" w:rsidRDefault="000B0270" w:rsidP="000B0270">
            <w:pPr>
              <w:rPr>
                <w:rFonts w:ascii="Times New Roman" w:hAnsi="Times New Roman"/>
                <w:i/>
                <w:sz w:val="24"/>
                <w:szCs w:val="24"/>
                <w:lang w:val="lv-LV"/>
              </w:rPr>
            </w:pPr>
            <w:r w:rsidRPr="004515D0">
              <w:rPr>
                <w:rFonts w:ascii="Times New Roman" w:hAnsi="Times New Roman"/>
                <w:i/>
                <w:sz w:val="24"/>
                <w:szCs w:val="24"/>
                <w:lang w:val="lv-LV"/>
              </w:rPr>
              <w:t>6.2. Detalizēts izdevumu aprēķins</w:t>
            </w:r>
            <w:r w:rsidR="00B938F6" w:rsidRPr="004515D0">
              <w:rPr>
                <w:rFonts w:ascii="Times New Roman" w:hAnsi="Times New Roman"/>
                <w:i/>
                <w:sz w:val="24"/>
                <w:szCs w:val="24"/>
                <w:lang w:val="lv-LV"/>
              </w:rPr>
              <w:t>:</w:t>
            </w:r>
          </w:p>
          <w:p w:rsidR="00EB5CE9" w:rsidRDefault="00EB5CE9" w:rsidP="000B0270">
            <w:pPr>
              <w:rPr>
                <w:rFonts w:ascii="Times New Roman" w:hAnsi="Times New Roman"/>
                <w:i/>
                <w:sz w:val="24"/>
                <w:szCs w:val="24"/>
                <w:lang w:val="lv-LV"/>
              </w:rPr>
            </w:pPr>
          </w:p>
          <w:p w:rsidR="004515D0" w:rsidRPr="004515D0" w:rsidRDefault="004515D0" w:rsidP="004515D0">
            <w:pPr>
              <w:jc w:val="both"/>
              <w:rPr>
                <w:rFonts w:ascii="Times New Roman" w:hAnsi="Times New Roman"/>
                <w:sz w:val="24"/>
                <w:szCs w:val="24"/>
                <w:lang w:val="lv-LV"/>
              </w:rPr>
            </w:pPr>
            <w:r>
              <w:rPr>
                <w:rFonts w:ascii="Times New Roman" w:hAnsi="Times New Roman"/>
                <w:sz w:val="24"/>
                <w:szCs w:val="24"/>
                <w:lang w:val="lv-LV"/>
              </w:rPr>
              <w:t xml:space="preserve">Aptuvenās administratīvās izmaksas, kas veidojas VUGD, nodrošinot noslēguma pārbaudījuma kārtošanu, pieņemšanu un uzraudzību, kā arī apliecības izsniegšanu, ir </w:t>
            </w:r>
            <w:r w:rsidRPr="004515D0">
              <w:rPr>
                <w:rFonts w:ascii="Times New Roman" w:hAnsi="Times New Roman"/>
                <w:b/>
                <w:sz w:val="24"/>
                <w:szCs w:val="24"/>
                <w:lang w:val="lv-LV"/>
              </w:rPr>
              <w:t xml:space="preserve">6892 </w:t>
            </w:r>
            <w:r w:rsidRPr="004515D0">
              <w:rPr>
                <w:rFonts w:ascii="Times New Roman" w:hAnsi="Times New Roman"/>
                <w:b/>
                <w:i/>
                <w:sz w:val="24"/>
                <w:szCs w:val="24"/>
                <w:lang w:val="lv-LV"/>
              </w:rPr>
              <w:t>euro</w:t>
            </w:r>
            <w:r>
              <w:rPr>
                <w:rFonts w:ascii="Times New Roman" w:hAnsi="Times New Roman"/>
                <w:sz w:val="24"/>
                <w:szCs w:val="24"/>
                <w:lang w:val="lv-LV"/>
              </w:rPr>
              <w:t>. (skatīt pielikumu).</w:t>
            </w:r>
          </w:p>
          <w:p w:rsidR="004515D0" w:rsidRDefault="004515D0" w:rsidP="000B0270">
            <w:pPr>
              <w:rPr>
                <w:rFonts w:ascii="Times New Roman" w:hAnsi="Times New Roman"/>
                <w:i/>
                <w:sz w:val="24"/>
                <w:szCs w:val="24"/>
                <w:lang w:val="lv-LV"/>
              </w:rPr>
            </w:pPr>
          </w:p>
          <w:p w:rsidR="009F5471" w:rsidRPr="004515D0" w:rsidRDefault="009F5471" w:rsidP="00067809">
            <w:pPr>
              <w:jc w:val="both"/>
              <w:rPr>
                <w:rFonts w:ascii="Times New Roman" w:hAnsi="Times New Roman"/>
                <w:sz w:val="24"/>
                <w:szCs w:val="24"/>
                <w:lang w:val="lv-LV"/>
              </w:rPr>
            </w:pPr>
            <w:r>
              <w:rPr>
                <w:rFonts w:ascii="Times New Roman" w:hAnsi="Times New Roman"/>
                <w:sz w:val="24"/>
                <w:szCs w:val="24"/>
                <w:lang w:val="lv-LV"/>
              </w:rPr>
              <w:t>2018.-2019.gadā plānojami izdevumi noslēguma pārbaudījuma kārtošanai paredzēt</w:t>
            </w:r>
            <w:r w:rsidR="004515D0">
              <w:rPr>
                <w:rFonts w:ascii="Times New Roman" w:hAnsi="Times New Roman"/>
                <w:sz w:val="24"/>
                <w:szCs w:val="24"/>
                <w:lang w:val="lv-LV"/>
              </w:rPr>
              <w:t xml:space="preserve">ās </w:t>
            </w:r>
            <w:r>
              <w:rPr>
                <w:rFonts w:ascii="Times New Roman" w:hAnsi="Times New Roman"/>
                <w:sz w:val="24"/>
                <w:szCs w:val="24"/>
                <w:lang w:val="lv-LV"/>
              </w:rPr>
              <w:t>auditorijas materiāltehniskā nodrošinājuma pilnveidošanai</w:t>
            </w:r>
            <w:r w:rsidR="00067809">
              <w:rPr>
                <w:rFonts w:ascii="Times New Roman" w:hAnsi="Times New Roman"/>
                <w:sz w:val="24"/>
                <w:szCs w:val="24"/>
                <w:lang w:val="lv-LV"/>
              </w:rPr>
              <w:t>, paredzot pakāpenisku 25 datoru nomaiņu, projektora uzstādīšanu un videonovērošanas ierīko</w:t>
            </w:r>
            <w:r w:rsidR="00EB5CE9">
              <w:rPr>
                <w:rFonts w:ascii="Times New Roman" w:hAnsi="Times New Roman"/>
                <w:sz w:val="24"/>
                <w:szCs w:val="24"/>
                <w:lang w:val="lv-LV"/>
              </w:rPr>
              <w:t>šanu. Tāpat 2019.gadā plānojami izdevumi par noslēguma pārbaudījumu kārtošanas uzskaites reģistra izveidi.</w:t>
            </w:r>
            <w:r w:rsidR="00067809">
              <w:rPr>
                <w:rFonts w:ascii="Times New Roman" w:hAnsi="Times New Roman"/>
                <w:sz w:val="24"/>
                <w:szCs w:val="24"/>
                <w:lang w:val="lv-LV"/>
              </w:rPr>
              <w:t xml:space="preserve"> </w:t>
            </w:r>
          </w:p>
          <w:p w:rsidR="002246D5" w:rsidRDefault="002246D5" w:rsidP="00EB5CE9">
            <w:pPr>
              <w:jc w:val="both"/>
              <w:rPr>
                <w:rFonts w:ascii="Times New Roman" w:hAnsi="Times New Roman"/>
                <w:sz w:val="24"/>
                <w:szCs w:val="24"/>
                <w:lang w:val="lv-LV"/>
              </w:rPr>
            </w:pPr>
          </w:p>
          <w:p w:rsidR="00EC4BBC" w:rsidRPr="00E2627C" w:rsidRDefault="00436A28" w:rsidP="00EB5CE9">
            <w:pPr>
              <w:jc w:val="both"/>
              <w:rPr>
                <w:rFonts w:ascii="Times New Roman" w:hAnsi="Times New Roman"/>
                <w:sz w:val="24"/>
                <w:szCs w:val="24"/>
                <w:lang w:val="lv-LV"/>
              </w:rPr>
            </w:pPr>
            <w:r>
              <w:rPr>
                <w:rFonts w:ascii="Times New Roman" w:hAnsi="Times New Roman"/>
                <w:sz w:val="24"/>
                <w:szCs w:val="24"/>
                <w:lang w:val="lv-LV"/>
              </w:rPr>
              <w:t>2019.gadā un turpmāk ik gadu plānojami izdevumi</w:t>
            </w:r>
            <w:r w:rsidR="00067809">
              <w:rPr>
                <w:rFonts w:ascii="Times New Roman" w:hAnsi="Times New Roman"/>
                <w:sz w:val="24"/>
                <w:szCs w:val="24"/>
                <w:lang w:val="lv-LV"/>
              </w:rPr>
              <w:t xml:space="preserve"> </w:t>
            </w:r>
            <w:r w:rsidRPr="00067809">
              <w:rPr>
                <w:rFonts w:ascii="Times New Roman" w:hAnsi="Times New Roman"/>
                <w:sz w:val="24"/>
                <w:szCs w:val="24"/>
                <w:lang w:val="lv-LV"/>
              </w:rPr>
              <w:t>atlīdzībai</w:t>
            </w:r>
            <w:r w:rsidR="009F5471" w:rsidRPr="00067809">
              <w:rPr>
                <w:rFonts w:ascii="Times New Roman" w:hAnsi="Times New Roman"/>
                <w:sz w:val="24"/>
                <w:szCs w:val="24"/>
                <w:lang w:val="lv-LV"/>
              </w:rPr>
              <w:t xml:space="preserve"> </w:t>
            </w:r>
            <w:r w:rsidR="009F5471" w:rsidRPr="00067809">
              <w:rPr>
                <w:rFonts w:ascii="Times New Roman" w:hAnsi="Times New Roman"/>
                <w:b/>
                <w:sz w:val="24"/>
                <w:szCs w:val="24"/>
                <w:lang w:val="lv-LV"/>
              </w:rPr>
              <w:lastRenderedPageBreak/>
              <w:t xml:space="preserve">26544 </w:t>
            </w:r>
            <w:r w:rsidR="007827B2" w:rsidRPr="00067809">
              <w:rPr>
                <w:rFonts w:ascii="Times New Roman" w:hAnsi="Times New Roman"/>
                <w:b/>
                <w:i/>
                <w:sz w:val="24"/>
                <w:szCs w:val="24"/>
                <w:lang w:val="lv-LV"/>
              </w:rPr>
              <w:t>euro</w:t>
            </w:r>
            <w:r w:rsidRPr="00067809">
              <w:rPr>
                <w:rFonts w:ascii="Times New Roman" w:hAnsi="Times New Roman"/>
                <w:sz w:val="24"/>
                <w:szCs w:val="24"/>
                <w:lang w:val="lv-LV"/>
              </w:rPr>
              <w:t>, pieņemot, ka likumprojektā paredzēto jauno VUGD funkciju īstenošanai saistībā ar noslēguma</w:t>
            </w:r>
            <w:r w:rsidR="007827B2" w:rsidRPr="00067809">
              <w:rPr>
                <w:rFonts w:ascii="Times New Roman" w:hAnsi="Times New Roman"/>
                <w:sz w:val="24"/>
                <w:szCs w:val="24"/>
                <w:lang w:val="lv-LV"/>
              </w:rPr>
              <w:t xml:space="preserve"> </w:t>
            </w:r>
            <w:r w:rsidRPr="00067809">
              <w:rPr>
                <w:rFonts w:ascii="Times New Roman" w:hAnsi="Times New Roman"/>
                <w:sz w:val="24"/>
                <w:szCs w:val="24"/>
                <w:lang w:val="lv-LV"/>
              </w:rPr>
              <w:t>pārbaudījumu kārtošanu un apliecību izsniegšanu nepieciešamas papildus 2 amata vietas</w:t>
            </w:r>
            <w:r w:rsidR="007827B2" w:rsidRPr="00067809">
              <w:rPr>
                <w:rFonts w:ascii="Times New Roman" w:hAnsi="Times New Roman"/>
                <w:sz w:val="24"/>
                <w:szCs w:val="24"/>
                <w:lang w:val="lv-LV"/>
              </w:rPr>
              <w:t xml:space="preserve"> (lektors</w:t>
            </w:r>
            <w:r w:rsidR="009F5471" w:rsidRPr="00067809">
              <w:rPr>
                <w:rFonts w:ascii="Times New Roman" w:hAnsi="Times New Roman"/>
                <w:sz w:val="24"/>
                <w:szCs w:val="24"/>
                <w:lang w:val="lv-LV"/>
              </w:rPr>
              <w:t>, Va amata līmenis, 9.mēnešalgu grupa, mēnešalgas apmērs ar izdienu 5-10 gadi –</w:t>
            </w:r>
            <w:r w:rsidR="00EB5CE9">
              <w:rPr>
                <w:rFonts w:ascii="Times New Roman" w:hAnsi="Times New Roman"/>
                <w:sz w:val="24"/>
                <w:szCs w:val="24"/>
                <w:lang w:val="lv-LV"/>
              </w:rPr>
              <w:t xml:space="preserve"> </w:t>
            </w:r>
            <w:r w:rsidR="009F5471" w:rsidRPr="00067809">
              <w:rPr>
                <w:rFonts w:ascii="Times New Roman" w:hAnsi="Times New Roman"/>
                <w:sz w:val="24"/>
                <w:szCs w:val="24"/>
                <w:lang w:val="lv-LV"/>
              </w:rPr>
              <w:t xml:space="preserve">1202 </w:t>
            </w:r>
            <w:r w:rsidR="009F5471" w:rsidRPr="00067809">
              <w:rPr>
                <w:rFonts w:ascii="Times New Roman" w:hAnsi="Times New Roman"/>
                <w:i/>
                <w:sz w:val="24"/>
                <w:szCs w:val="24"/>
                <w:lang w:val="lv-LV"/>
              </w:rPr>
              <w:t>euro</w:t>
            </w:r>
            <w:r w:rsidR="007827B2" w:rsidRPr="00067809">
              <w:rPr>
                <w:rFonts w:ascii="Times New Roman" w:hAnsi="Times New Roman"/>
                <w:sz w:val="24"/>
                <w:szCs w:val="24"/>
                <w:lang w:val="lv-LV"/>
              </w:rPr>
              <w:t xml:space="preserve"> un vecākais inspektors</w:t>
            </w:r>
            <w:r w:rsidR="009F5471" w:rsidRPr="00067809">
              <w:rPr>
                <w:rFonts w:ascii="Times New Roman" w:hAnsi="Times New Roman"/>
                <w:sz w:val="24"/>
                <w:szCs w:val="24"/>
                <w:lang w:val="lv-LV"/>
              </w:rPr>
              <w:t>, IIIa amata līmenis, 6.mēnešalgu grupa, mēnešalgas apmērs ar izdienu 5-10 gadi –</w:t>
            </w:r>
            <w:r w:rsidR="00EB5CE9">
              <w:rPr>
                <w:rFonts w:ascii="Times New Roman" w:hAnsi="Times New Roman"/>
                <w:sz w:val="24"/>
                <w:szCs w:val="24"/>
                <w:lang w:val="lv-LV"/>
              </w:rPr>
              <w:t xml:space="preserve"> </w:t>
            </w:r>
            <w:r w:rsidR="009F5471" w:rsidRPr="00067809">
              <w:rPr>
                <w:rFonts w:ascii="Times New Roman" w:hAnsi="Times New Roman"/>
                <w:sz w:val="24"/>
                <w:szCs w:val="24"/>
                <w:lang w:val="lv-LV"/>
              </w:rPr>
              <w:t xml:space="preserve">1010 </w:t>
            </w:r>
            <w:r w:rsidR="009F5471" w:rsidRPr="00067809">
              <w:rPr>
                <w:rFonts w:ascii="Times New Roman" w:hAnsi="Times New Roman"/>
                <w:i/>
                <w:sz w:val="24"/>
                <w:szCs w:val="24"/>
                <w:lang w:val="lv-LV"/>
              </w:rPr>
              <w:t>euro</w:t>
            </w:r>
            <w:r w:rsidR="007827B2" w:rsidRPr="00067809">
              <w:rPr>
                <w:rFonts w:ascii="Times New Roman" w:hAnsi="Times New Roman"/>
                <w:sz w:val="24"/>
                <w:szCs w:val="24"/>
                <w:lang w:val="lv-LV"/>
              </w:rPr>
              <w:t>)</w:t>
            </w:r>
            <w:r w:rsidR="009F5471" w:rsidRPr="00067809">
              <w:rPr>
                <w:rFonts w:ascii="Times New Roman" w:hAnsi="Times New Roman"/>
                <w:sz w:val="24"/>
                <w:szCs w:val="24"/>
                <w:lang w:val="lv-LV"/>
              </w:rPr>
              <w:t>.</w:t>
            </w:r>
          </w:p>
        </w:tc>
      </w:tr>
      <w:tr w:rsidR="00781BDD" w:rsidRPr="00E2627C" w:rsidTr="00153488">
        <w:tc>
          <w:tcPr>
            <w:tcW w:w="2838" w:type="dxa"/>
          </w:tcPr>
          <w:p w:rsidR="00781BDD" w:rsidRPr="00E2627C" w:rsidRDefault="00781BDD" w:rsidP="00153488">
            <w:pPr>
              <w:jc w:val="both"/>
              <w:rPr>
                <w:rFonts w:ascii="Times New Roman" w:hAnsi="Times New Roman"/>
                <w:sz w:val="24"/>
                <w:szCs w:val="24"/>
                <w:lang w:val="lv-LV"/>
              </w:rPr>
            </w:pPr>
            <w:r w:rsidRPr="00E2627C">
              <w:rPr>
                <w:rFonts w:ascii="Times New Roman" w:hAnsi="Times New Roman"/>
                <w:sz w:val="24"/>
                <w:szCs w:val="24"/>
                <w:lang w:val="lv-LV"/>
              </w:rPr>
              <w:lastRenderedPageBreak/>
              <w:t>7. Cita informācija</w:t>
            </w:r>
          </w:p>
        </w:tc>
        <w:tc>
          <w:tcPr>
            <w:tcW w:w="6436" w:type="dxa"/>
            <w:gridSpan w:val="5"/>
          </w:tcPr>
          <w:p w:rsidR="000E6958" w:rsidRPr="00E2627C" w:rsidRDefault="000E6958" w:rsidP="000E6958">
            <w:pPr>
              <w:jc w:val="both"/>
              <w:rPr>
                <w:rFonts w:ascii="Times New Roman" w:hAnsi="Times New Roman"/>
                <w:sz w:val="24"/>
                <w:szCs w:val="24"/>
                <w:lang w:val="lv-LV"/>
              </w:rPr>
            </w:pPr>
            <w:r>
              <w:rPr>
                <w:rFonts w:ascii="Times New Roman" w:hAnsi="Times New Roman"/>
                <w:sz w:val="24"/>
                <w:szCs w:val="24"/>
                <w:lang w:val="lv-LV"/>
              </w:rPr>
              <w:t xml:space="preserve">Budžeta izdevumi likumprojekta regulējumā ietverto funkciju realizēšanai šobrīd nav precīzi aprēķināmi, jo </w:t>
            </w:r>
            <w:r w:rsidRPr="004515D0">
              <w:rPr>
                <w:rFonts w:ascii="Times New Roman" w:hAnsi="Times New Roman"/>
                <w:sz w:val="24"/>
                <w:szCs w:val="24"/>
                <w:lang w:val="lv-LV"/>
              </w:rPr>
              <w:t xml:space="preserve">jautājumus par </w:t>
            </w:r>
            <w:r>
              <w:rPr>
                <w:rFonts w:ascii="Times New Roman" w:hAnsi="Times New Roman"/>
                <w:sz w:val="24"/>
                <w:szCs w:val="24"/>
                <w:lang w:val="lv-LV"/>
              </w:rPr>
              <w:t>VUGD Koledžas auditorijas</w:t>
            </w:r>
            <w:r w:rsidRPr="004515D0">
              <w:rPr>
                <w:rFonts w:ascii="Times New Roman" w:hAnsi="Times New Roman"/>
                <w:sz w:val="24"/>
                <w:szCs w:val="24"/>
                <w:lang w:val="lv-LV"/>
              </w:rPr>
              <w:t xml:space="preserve"> materiāltehniskā nodrošinājuma pilnveidošanu</w:t>
            </w:r>
            <w:r>
              <w:rPr>
                <w:rFonts w:ascii="Times New Roman" w:hAnsi="Times New Roman"/>
                <w:sz w:val="24"/>
                <w:szCs w:val="24"/>
                <w:lang w:val="lv-LV"/>
              </w:rPr>
              <w:t xml:space="preserve"> un reģistra izveidi</w:t>
            </w:r>
            <w:r w:rsidRPr="004515D0">
              <w:rPr>
                <w:rFonts w:ascii="Times New Roman" w:hAnsi="Times New Roman"/>
                <w:sz w:val="24"/>
                <w:szCs w:val="24"/>
                <w:lang w:val="lv-LV"/>
              </w:rPr>
              <w:t xml:space="preserve"> </w:t>
            </w:r>
            <w:r>
              <w:rPr>
                <w:rFonts w:ascii="Times New Roman" w:hAnsi="Times New Roman"/>
                <w:sz w:val="24"/>
                <w:szCs w:val="24"/>
                <w:lang w:val="lv-LV"/>
              </w:rPr>
              <w:t xml:space="preserve">risināmi sadarbībā ar </w:t>
            </w:r>
            <w:r w:rsidRPr="004515D0">
              <w:rPr>
                <w:rFonts w:ascii="Times New Roman" w:hAnsi="Times New Roman"/>
                <w:sz w:val="24"/>
                <w:szCs w:val="24"/>
                <w:lang w:val="lv-LV"/>
              </w:rPr>
              <w:t>Iekšlietu ministrijas Inform</w:t>
            </w:r>
            <w:r>
              <w:rPr>
                <w:rFonts w:ascii="Times New Roman" w:hAnsi="Times New Roman"/>
                <w:sz w:val="24"/>
                <w:szCs w:val="24"/>
                <w:lang w:val="lv-LV"/>
              </w:rPr>
              <w:t>ācijas centru</w:t>
            </w:r>
            <w:r w:rsidRPr="004515D0">
              <w:rPr>
                <w:rFonts w:ascii="Times New Roman" w:hAnsi="Times New Roman"/>
                <w:sz w:val="24"/>
                <w:szCs w:val="24"/>
                <w:lang w:val="lv-LV"/>
              </w:rPr>
              <w:t>.</w:t>
            </w:r>
          </w:p>
        </w:tc>
      </w:tr>
    </w:tbl>
    <w:p w:rsidR="00781BDD" w:rsidRPr="00E2627C" w:rsidRDefault="00781BDD" w:rsidP="004F4B5E">
      <w:pPr>
        <w:spacing w:after="0" w:line="240" w:lineRule="auto"/>
        <w:rPr>
          <w:rFonts w:ascii="Times New Roman" w:hAnsi="Times New Roman"/>
          <w:sz w:val="24"/>
          <w:szCs w:val="24"/>
          <w:lang w:val="lv-LV"/>
        </w:rPr>
      </w:pPr>
    </w:p>
    <w:tbl>
      <w:tblPr>
        <w:tblStyle w:val="Reatabula"/>
        <w:tblW w:w="9322" w:type="dxa"/>
        <w:tblLook w:val="04A0" w:firstRow="1" w:lastRow="0" w:firstColumn="1" w:lastColumn="0" w:noHBand="0" w:noVBand="1"/>
      </w:tblPr>
      <w:tblGrid>
        <w:gridCol w:w="675"/>
        <w:gridCol w:w="3096"/>
        <w:gridCol w:w="5551"/>
      </w:tblGrid>
      <w:tr w:rsidR="00C9724F" w:rsidRPr="00E2627C" w:rsidTr="00642CAA">
        <w:tc>
          <w:tcPr>
            <w:tcW w:w="9322" w:type="dxa"/>
            <w:gridSpan w:val="3"/>
          </w:tcPr>
          <w:p w:rsidR="00C9724F" w:rsidRPr="00E2627C" w:rsidRDefault="00C9724F" w:rsidP="00C9724F">
            <w:pPr>
              <w:jc w:val="center"/>
              <w:rPr>
                <w:rFonts w:ascii="Times New Roman" w:hAnsi="Times New Roman"/>
                <w:sz w:val="24"/>
                <w:szCs w:val="24"/>
                <w:lang w:val="lv-LV"/>
              </w:rPr>
            </w:pPr>
            <w:r w:rsidRPr="00E2627C">
              <w:rPr>
                <w:rFonts w:ascii="Times New Roman" w:hAnsi="Times New Roman"/>
                <w:b/>
                <w:sz w:val="24"/>
                <w:szCs w:val="24"/>
                <w:lang w:val="lv-LV"/>
              </w:rPr>
              <w:t>IV. Tiesību akta projekta ietekme uz spēkā esošo tiesu normu sistēmu</w:t>
            </w:r>
          </w:p>
        </w:tc>
      </w:tr>
      <w:tr w:rsidR="00C9724F" w:rsidRPr="00E2627C" w:rsidTr="00642CAA">
        <w:tc>
          <w:tcPr>
            <w:tcW w:w="675" w:type="dxa"/>
          </w:tcPr>
          <w:p w:rsidR="00C9724F" w:rsidRPr="00E2627C" w:rsidRDefault="00C9724F" w:rsidP="00C9724F">
            <w:pPr>
              <w:jc w:val="center"/>
              <w:rPr>
                <w:rFonts w:ascii="Times New Roman" w:hAnsi="Times New Roman"/>
                <w:sz w:val="24"/>
                <w:szCs w:val="24"/>
                <w:lang w:val="lv-LV"/>
              </w:rPr>
            </w:pPr>
            <w:r w:rsidRPr="00E2627C">
              <w:rPr>
                <w:rFonts w:ascii="Times New Roman" w:hAnsi="Times New Roman"/>
                <w:sz w:val="24"/>
                <w:szCs w:val="24"/>
                <w:lang w:val="lv-LV"/>
              </w:rPr>
              <w:t>1.</w:t>
            </w:r>
          </w:p>
        </w:tc>
        <w:tc>
          <w:tcPr>
            <w:tcW w:w="3096" w:type="dxa"/>
          </w:tcPr>
          <w:p w:rsidR="00C9724F" w:rsidRPr="00E2627C" w:rsidRDefault="00C9724F" w:rsidP="00C9724F">
            <w:pPr>
              <w:jc w:val="both"/>
              <w:rPr>
                <w:rFonts w:ascii="Times New Roman" w:hAnsi="Times New Roman"/>
                <w:sz w:val="24"/>
                <w:szCs w:val="24"/>
                <w:lang w:val="lv-LV"/>
              </w:rPr>
            </w:pPr>
            <w:r w:rsidRPr="00E2627C">
              <w:rPr>
                <w:rFonts w:ascii="Times New Roman" w:hAnsi="Times New Roman"/>
                <w:sz w:val="24"/>
                <w:szCs w:val="24"/>
                <w:lang w:val="lv-LV"/>
              </w:rPr>
              <w:t>Nepieciešamie saistītie tiesību aktu projekti</w:t>
            </w:r>
          </w:p>
        </w:tc>
        <w:tc>
          <w:tcPr>
            <w:tcW w:w="5551" w:type="dxa"/>
          </w:tcPr>
          <w:p w:rsidR="00693573" w:rsidRDefault="004B1AB2" w:rsidP="000A6056">
            <w:pPr>
              <w:pStyle w:val="Sarakstarindkopa"/>
              <w:numPr>
                <w:ilvl w:val="0"/>
                <w:numId w:val="10"/>
              </w:numPr>
              <w:ind w:left="340" w:hanging="340"/>
              <w:jc w:val="both"/>
              <w:rPr>
                <w:rFonts w:ascii="Times New Roman" w:hAnsi="Times New Roman"/>
                <w:sz w:val="24"/>
                <w:szCs w:val="24"/>
                <w:lang w:val="lv-LV"/>
              </w:rPr>
            </w:pPr>
            <w:r w:rsidRPr="000A6056">
              <w:rPr>
                <w:rFonts w:ascii="Times New Roman" w:hAnsi="Times New Roman"/>
                <w:sz w:val="24"/>
                <w:szCs w:val="24"/>
                <w:lang w:val="lv-LV"/>
              </w:rPr>
              <w:t>Līdz 2019.gada 1.janvārim</w:t>
            </w:r>
            <w:r w:rsidR="00693573" w:rsidRPr="000A6056">
              <w:rPr>
                <w:rFonts w:ascii="Times New Roman" w:hAnsi="Times New Roman"/>
                <w:sz w:val="24"/>
                <w:szCs w:val="24"/>
                <w:lang w:val="lv-LV"/>
              </w:rPr>
              <w:t xml:space="preserve"> ir </w:t>
            </w:r>
            <w:r w:rsidR="00F0260A" w:rsidRPr="00CF7823">
              <w:rPr>
                <w:rFonts w:ascii="Times New Roman" w:hAnsi="Times New Roman"/>
                <w:sz w:val="24"/>
                <w:szCs w:val="24"/>
                <w:lang w:val="lv-LV"/>
              </w:rPr>
              <w:t xml:space="preserve">jāizstrādā </w:t>
            </w:r>
            <w:r w:rsidR="00781BDD" w:rsidRPr="00CF7823">
              <w:rPr>
                <w:rFonts w:ascii="Times New Roman" w:hAnsi="Times New Roman"/>
                <w:sz w:val="24"/>
                <w:szCs w:val="24"/>
                <w:lang w:val="lv-LV"/>
              </w:rPr>
              <w:t xml:space="preserve">Ministru kabineta noteikumi </w:t>
            </w:r>
            <w:r w:rsidR="00BE11C8" w:rsidRPr="00CF7823">
              <w:rPr>
                <w:rFonts w:ascii="Times New Roman" w:hAnsi="Times New Roman"/>
                <w:sz w:val="24"/>
                <w:szCs w:val="24"/>
                <w:lang w:val="lv-LV"/>
              </w:rPr>
              <w:t xml:space="preserve">par </w:t>
            </w:r>
            <w:r w:rsidR="00535BAC" w:rsidRPr="00CF7823">
              <w:rPr>
                <w:rFonts w:ascii="Times New Roman" w:hAnsi="Times New Roman"/>
                <w:sz w:val="24"/>
                <w:szCs w:val="24"/>
                <w:lang w:val="lv-LV"/>
              </w:rPr>
              <w:t>apmācību</w:t>
            </w:r>
            <w:r w:rsidR="00693573" w:rsidRPr="000A6056">
              <w:rPr>
                <w:rFonts w:ascii="Times New Roman" w:hAnsi="Times New Roman"/>
                <w:sz w:val="24"/>
                <w:szCs w:val="24"/>
                <w:lang w:val="lv-LV"/>
              </w:rPr>
              <w:t xml:space="preserve"> ugunsdrošības jomā un valsts nodev</w:t>
            </w:r>
            <w:r w:rsidR="00CF7823">
              <w:rPr>
                <w:rFonts w:ascii="Times New Roman" w:hAnsi="Times New Roman"/>
                <w:sz w:val="24"/>
                <w:szCs w:val="24"/>
                <w:lang w:val="lv-LV"/>
              </w:rPr>
              <w:t xml:space="preserve">as maksāšanas kārtību un apmēru, paredzot, ka tie stāsies spēkā 2019.gada 1.septembrī. </w:t>
            </w:r>
            <w:r w:rsidR="00CF7823" w:rsidRPr="002E6F43">
              <w:rPr>
                <w:rFonts w:ascii="Times New Roman" w:hAnsi="Times New Roman"/>
                <w:sz w:val="24"/>
                <w:szCs w:val="24"/>
                <w:lang w:val="lv-LV"/>
              </w:rPr>
              <w:t xml:space="preserve">Šāds noteikumu spēkā stāšanās laiks pamatojams ar </w:t>
            </w:r>
            <w:r w:rsidR="006278FC" w:rsidRPr="002E6F43">
              <w:rPr>
                <w:rFonts w:ascii="Times New Roman" w:hAnsi="Times New Roman"/>
                <w:sz w:val="24"/>
                <w:szCs w:val="24"/>
                <w:lang w:val="lv-LV"/>
              </w:rPr>
              <w:t>nepiecie</w:t>
            </w:r>
            <w:r w:rsidR="002E6F43" w:rsidRPr="002E6F43">
              <w:rPr>
                <w:rFonts w:ascii="Times New Roman" w:hAnsi="Times New Roman"/>
                <w:sz w:val="24"/>
                <w:szCs w:val="24"/>
                <w:lang w:val="lv-LV"/>
              </w:rPr>
              <w:t>šamību</w:t>
            </w:r>
            <w:r w:rsidR="002E6F43">
              <w:rPr>
                <w:rFonts w:ascii="Times New Roman" w:hAnsi="Times New Roman"/>
                <w:sz w:val="24"/>
                <w:szCs w:val="24"/>
                <w:lang w:val="lv-LV"/>
              </w:rPr>
              <w:t xml:space="preserve"> izstrādāt noslēguma pārbaudījumu jautājumus un to manuālu ievadīšanu noslēguma pārbaudījuma kārtošanas programmā.</w:t>
            </w:r>
          </w:p>
          <w:p w:rsidR="00A34E15" w:rsidRPr="000A6056" w:rsidRDefault="004B1AB2" w:rsidP="000A6056">
            <w:pPr>
              <w:pStyle w:val="Sarakstarindkopa"/>
              <w:numPr>
                <w:ilvl w:val="0"/>
                <w:numId w:val="10"/>
              </w:numPr>
              <w:ind w:left="340" w:hanging="340"/>
              <w:jc w:val="both"/>
              <w:rPr>
                <w:rFonts w:ascii="Times New Roman" w:hAnsi="Times New Roman"/>
                <w:sz w:val="24"/>
                <w:szCs w:val="24"/>
                <w:lang w:val="lv-LV"/>
              </w:rPr>
            </w:pPr>
            <w:r w:rsidRPr="000A6056">
              <w:rPr>
                <w:rFonts w:ascii="Times New Roman" w:hAnsi="Times New Roman"/>
                <w:sz w:val="24"/>
                <w:szCs w:val="24"/>
                <w:lang w:val="lv-LV"/>
              </w:rPr>
              <w:t>Līdz 2020.gada 1.janv</w:t>
            </w:r>
            <w:r w:rsidR="004E04FE" w:rsidRPr="000A6056">
              <w:rPr>
                <w:rFonts w:ascii="Times New Roman" w:hAnsi="Times New Roman"/>
                <w:sz w:val="24"/>
                <w:szCs w:val="24"/>
                <w:lang w:val="lv-LV"/>
              </w:rPr>
              <w:t>ārim</w:t>
            </w:r>
            <w:r w:rsidR="00693573" w:rsidRPr="000A6056">
              <w:rPr>
                <w:rFonts w:ascii="Times New Roman" w:hAnsi="Times New Roman"/>
                <w:sz w:val="24"/>
                <w:szCs w:val="24"/>
                <w:lang w:val="lv-LV"/>
              </w:rPr>
              <w:t xml:space="preserve"> </w:t>
            </w:r>
            <w:r w:rsidR="00A34E15" w:rsidRPr="000A6056">
              <w:rPr>
                <w:rFonts w:ascii="Times New Roman" w:hAnsi="Times New Roman"/>
                <w:sz w:val="24"/>
                <w:szCs w:val="24"/>
                <w:lang w:val="lv-LV"/>
              </w:rPr>
              <w:t>ir jāizstrādā Ministru kabineta noteikumi par</w:t>
            </w:r>
            <w:r w:rsidR="00553AC1" w:rsidRPr="000A6056">
              <w:rPr>
                <w:rFonts w:ascii="Times New Roman" w:hAnsi="Times New Roman"/>
                <w:sz w:val="24"/>
                <w:szCs w:val="24"/>
                <w:lang w:val="lv-LV"/>
              </w:rPr>
              <w:t xml:space="preserve"> pakalpojumu sniegšanu ugunsdrošībā un to kvalitātes kontroli.</w:t>
            </w:r>
          </w:p>
        </w:tc>
      </w:tr>
      <w:tr w:rsidR="00C9724F" w:rsidRPr="00E2627C" w:rsidTr="00642CAA">
        <w:tc>
          <w:tcPr>
            <w:tcW w:w="675" w:type="dxa"/>
          </w:tcPr>
          <w:p w:rsidR="00C9724F" w:rsidRPr="00E2627C" w:rsidRDefault="00C9724F" w:rsidP="00C9724F">
            <w:pPr>
              <w:jc w:val="center"/>
              <w:rPr>
                <w:rFonts w:ascii="Times New Roman" w:hAnsi="Times New Roman"/>
                <w:sz w:val="24"/>
                <w:szCs w:val="24"/>
                <w:lang w:val="lv-LV"/>
              </w:rPr>
            </w:pPr>
            <w:r w:rsidRPr="00E2627C">
              <w:rPr>
                <w:rFonts w:ascii="Times New Roman" w:hAnsi="Times New Roman"/>
                <w:sz w:val="24"/>
                <w:szCs w:val="24"/>
                <w:lang w:val="lv-LV"/>
              </w:rPr>
              <w:t>2.</w:t>
            </w:r>
          </w:p>
        </w:tc>
        <w:tc>
          <w:tcPr>
            <w:tcW w:w="3096" w:type="dxa"/>
          </w:tcPr>
          <w:p w:rsidR="00C9724F" w:rsidRPr="00E2627C" w:rsidRDefault="00C9724F" w:rsidP="00C9724F">
            <w:pPr>
              <w:jc w:val="both"/>
              <w:rPr>
                <w:rFonts w:ascii="Times New Roman" w:hAnsi="Times New Roman"/>
                <w:sz w:val="24"/>
                <w:szCs w:val="24"/>
                <w:lang w:val="lv-LV"/>
              </w:rPr>
            </w:pPr>
            <w:r w:rsidRPr="00E2627C">
              <w:rPr>
                <w:rFonts w:ascii="Times New Roman" w:hAnsi="Times New Roman"/>
                <w:sz w:val="24"/>
                <w:szCs w:val="24"/>
                <w:lang w:val="lv-LV"/>
              </w:rPr>
              <w:t>Atbildīgā institūcija</w:t>
            </w:r>
          </w:p>
        </w:tc>
        <w:tc>
          <w:tcPr>
            <w:tcW w:w="5551" w:type="dxa"/>
          </w:tcPr>
          <w:p w:rsidR="00C9724F" w:rsidRPr="00E2627C" w:rsidRDefault="005D7B48" w:rsidP="00D03B8B">
            <w:pPr>
              <w:jc w:val="both"/>
              <w:rPr>
                <w:rFonts w:ascii="Times New Roman" w:hAnsi="Times New Roman"/>
                <w:sz w:val="24"/>
                <w:szCs w:val="24"/>
                <w:lang w:val="lv-LV"/>
              </w:rPr>
            </w:pPr>
            <w:r w:rsidRPr="00E2627C">
              <w:rPr>
                <w:rFonts w:ascii="Times New Roman" w:hAnsi="Times New Roman"/>
                <w:sz w:val="24"/>
                <w:szCs w:val="24"/>
                <w:lang w:val="lv-LV"/>
              </w:rPr>
              <w:t xml:space="preserve">Iekšlietu ministrija, </w:t>
            </w:r>
            <w:r w:rsidR="00D03B8B" w:rsidRPr="00E2627C">
              <w:rPr>
                <w:rFonts w:ascii="Times New Roman" w:hAnsi="Times New Roman"/>
                <w:sz w:val="24"/>
                <w:szCs w:val="24"/>
                <w:lang w:val="lv-LV"/>
              </w:rPr>
              <w:t>VUGD.</w:t>
            </w:r>
          </w:p>
        </w:tc>
      </w:tr>
      <w:tr w:rsidR="00C9724F" w:rsidRPr="00E2627C" w:rsidTr="00642CAA">
        <w:tc>
          <w:tcPr>
            <w:tcW w:w="675" w:type="dxa"/>
          </w:tcPr>
          <w:p w:rsidR="00C9724F" w:rsidRPr="00E2627C" w:rsidRDefault="00C9724F" w:rsidP="00C9724F">
            <w:pPr>
              <w:jc w:val="center"/>
              <w:rPr>
                <w:rFonts w:ascii="Times New Roman" w:hAnsi="Times New Roman"/>
                <w:sz w:val="24"/>
                <w:szCs w:val="24"/>
                <w:lang w:val="lv-LV"/>
              </w:rPr>
            </w:pPr>
            <w:r w:rsidRPr="00E2627C">
              <w:rPr>
                <w:rFonts w:ascii="Times New Roman" w:hAnsi="Times New Roman"/>
                <w:sz w:val="24"/>
                <w:szCs w:val="24"/>
                <w:lang w:val="lv-LV"/>
              </w:rPr>
              <w:t>3.</w:t>
            </w:r>
          </w:p>
        </w:tc>
        <w:tc>
          <w:tcPr>
            <w:tcW w:w="3096" w:type="dxa"/>
          </w:tcPr>
          <w:p w:rsidR="00C9724F" w:rsidRPr="00E2627C" w:rsidRDefault="00C9724F" w:rsidP="00C9724F">
            <w:pPr>
              <w:jc w:val="both"/>
              <w:rPr>
                <w:rFonts w:ascii="Times New Roman" w:hAnsi="Times New Roman"/>
                <w:sz w:val="24"/>
                <w:szCs w:val="24"/>
                <w:lang w:val="lv-LV"/>
              </w:rPr>
            </w:pPr>
            <w:r w:rsidRPr="00E2627C">
              <w:rPr>
                <w:rFonts w:ascii="Times New Roman" w:hAnsi="Times New Roman"/>
                <w:sz w:val="24"/>
                <w:szCs w:val="24"/>
                <w:lang w:val="lv-LV"/>
              </w:rPr>
              <w:t>Cita informācija</w:t>
            </w:r>
          </w:p>
        </w:tc>
        <w:tc>
          <w:tcPr>
            <w:tcW w:w="5551" w:type="dxa"/>
          </w:tcPr>
          <w:p w:rsidR="00C9724F" w:rsidRPr="00E2627C" w:rsidRDefault="00C9724F" w:rsidP="00C9724F">
            <w:pPr>
              <w:jc w:val="both"/>
              <w:rPr>
                <w:rFonts w:ascii="Times New Roman" w:hAnsi="Times New Roman"/>
                <w:sz w:val="24"/>
                <w:szCs w:val="24"/>
                <w:lang w:val="lv-LV"/>
              </w:rPr>
            </w:pPr>
            <w:r w:rsidRPr="00E2627C">
              <w:rPr>
                <w:rFonts w:ascii="Times New Roman" w:hAnsi="Times New Roman"/>
                <w:iCs/>
                <w:sz w:val="24"/>
                <w:szCs w:val="24"/>
                <w:lang w:val="lv-LV"/>
              </w:rPr>
              <w:t>Nav</w:t>
            </w:r>
            <w:r w:rsidR="00D56264" w:rsidRPr="00E2627C">
              <w:rPr>
                <w:rFonts w:ascii="Times New Roman" w:hAnsi="Times New Roman"/>
                <w:iCs/>
                <w:sz w:val="24"/>
                <w:szCs w:val="24"/>
                <w:lang w:val="lv-LV"/>
              </w:rPr>
              <w:t>.</w:t>
            </w:r>
          </w:p>
        </w:tc>
      </w:tr>
    </w:tbl>
    <w:p w:rsidR="00C9724F" w:rsidRPr="00E2627C" w:rsidRDefault="00C9724F" w:rsidP="004F4B5E">
      <w:pPr>
        <w:spacing w:after="0" w:line="240" w:lineRule="auto"/>
        <w:rPr>
          <w:rFonts w:ascii="Times New Roman" w:hAnsi="Times New Roman"/>
          <w:sz w:val="24"/>
          <w:szCs w:val="24"/>
          <w:lang w:val="lv-LV"/>
        </w:rPr>
      </w:pPr>
    </w:p>
    <w:tbl>
      <w:tblPr>
        <w:tblStyle w:val="Reatabula"/>
        <w:tblW w:w="0" w:type="auto"/>
        <w:jc w:val="center"/>
        <w:tblLook w:val="04A0" w:firstRow="1" w:lastRow="0" w:firstColumn="1" w:lastColumn="0" w:noHBand="0" w:noVBand="1"/>
      </w:tblPr>
      <w:tblGrid>
        <w:gridCol w:w="9288"/>
      </w:tblGrid>
      <w:tr w:rsidR="004F4B5E" w:rsidRPr="00E2627C" w:rsidTr="00786AF7">
        <w:trPr>
          <w:jc w:val="center"/>
        </w:trPr>
        <w:tc>
          <w:tcPr>
            <w:tcW w:w="9288" w:type="dxa"/>
          </w:tcPr>
          <w:p w:rsidR="004F4B5E" w:rsidRPr="00E2627C" w:rsidRDefault="004F4B5E" w:rsidP="00786AF7">
            <w:pPr>
              <w:jc w:val="center"/>
              <w:rPr>
                <w:rFonts w:ascii="Times New Roman" w:hAnsi="Times New Roman"/>
                <w:b/>
                <w:sz w:val="24"/>
                <w:szCs w:val="24"/>
                <w:lang w:val="lv-LV"/>
              </w:rPr>
            </w:pPr>
            <w:r w:rsidRPr="00E2627C">
              <w:rPr>
                <w:rFonts w:ascii="Times New Roman" w:hAnsi="Times New Roman"/>
                <w:b/>
                <w:sz w:val="24"/>
                <w:szCs w:val="24"/>
                <w:lang w:val="lv-LV"/>
              </w:rPr>
              <w:t>V.</w:t>
            </w:r>
            <w:r w:rsidR="005A3BDE" w:rsidRPr="00E2627C">
              <w:rPr>
                <w:rFonts w:ascii="Times New Roman" w:hAnsi="Times New Roman"/>
                <w:b/>
                <w:sz w:val="24"/>
                <w:szCs w:val="24"/>
                <w:lang w:val="lv-LV"/>
              </w:rPr>
              <w:t xml:space="preserve"> Tiesību akta projekta atbilstība Latvijas Republikas starptautiskajām saistībām</w:t>
            </w:r>
          </w:p>
        </w:tc>
      </w:tr>
      <w:tr w:rsidR="004F4B5E" w:rsidRPr="00E2627C" w:rsidTr="00786AF7">
        <w:trPr>
          <w:jc w:val="center"/>
        </w:trPr>
        <w:tc>
          <w:tcPr>
            <w:tcW w:w="9288" w:type="dxa"/>
          </w:tcPr>
          <w:p w:rsidR="004F4B5E" w:rsidRPr="00E2627C" w:rsidRDefault="00FF768A" w:rsidP="00786AF7">
            <w:pPr>
              <w:jc w:val="center"/>
              <w:rPr>
                <w:rFonts w:ascii="Times New Roman" w:hAnsi="Times New Roman"/>
                <w:b/>
                <w:sz w:val="24"/>
                <w:szCs w:val="24"/>
                <w:lang w:val="lv-LV"/>
              </w:rPr>
            </w:pPr>
            <w:r w:rsidRPr="00E2627C">
              <w:rPr>
                <w:rFonts w:ascii="Times New Roman" w:hAnsi="Times New Roman"/>
                <w:i/>
                <w:iCs/>
                <w:sz w:val="24"/>
                <w:szCs w:val="24"/>
                <w:lang w:val="lv-LV"/>
              </w:rPr>
              <w:t>Likumprojekts šo jomu neskar</w:t>
            </w:r>
            <w:r w:rsidR="00D56264" w:rsidRPr="00E2627C">
              <w:rPr>
                <w:rFonts w:ascii="Times New Roman" w:hAnsi="Times New Roman"/>
                <w:i/>
                <w:iCs/>
                <w:sz w:val="24"/>
                <w:szCs w:val="24"/>
                <w:lang w:val="lv-LV"/>
              </w:rPr>
              <w:t>.</w:t>
            </w:r>
          </w:p>
        </w:tc>
      </w:tr>
    </w:tbl>
    <w:p w:rsidR="004F4B5E" w:rsidRDefault="004F4B5E" w:rsidP="004F4B5E">
      <w:pPr>
        <w:spacing w:after="0" w:line="240" w:lineRule="auto"/>
        <w:rPr>
          <w:rFonts w:ascii="Times New Roman" w:hAnsi="Times New Roman"/>
          <w:sz w:val="24"/>
          <w:szCs w:val="28"/>
          <w:lang w:val="lv-LV"/>
        </w:rPr>
      </w:pPr>
    </w:p>
    <w:tbl>
      <w:tblPr>
        <w:tblStyle w:val="Reatabula"/>
        <w:tblW w:w="9322" w:type="dxa"/>
        <w:tblLook w:val="04A0" w:firstRow="1" w:lastRow="0" w:firstColumn="1" w:lastColumn="0" w:noHBand="0" w:noVBand="1"/>
      </w:tblPr>
      <w:tblGrid>
        <w:gridCol w:w="817"/>
        <w:gridCol w:w="3686"/>
        <w:gridCol w:w="4819"/>
      </w:tblGrid>
      <w:tr w:rsidR="00BB7604" w:rsidRPr="00E2627C" w:rsidTr="00BB7604">
        <w:tc>
          <w:tcPr>
            <w:tcW w:w="9322" w:type="dxa"/>
            <w:gridSpan w:val="3"/>
          </w:tcPr>
          <w:p w:rsidR="00BB7604" w:rsidRPr="00E2627C" w:rsidRDefault="00BB7604" w:rsidP="00A06290">
            <w:pPr>
              <w:jc w:val="center"/>
              <w:rPr>
                <w:rFonts w:ascii="Times New Roman" w:hAnsi="Times New Roman"/>
                <w:sz w:val="24"/>
                <w:szCs w:val="24"/>
                <w:lang w:val="lv-LV"/>
              </w:rPr>
            </w:pPr>
            <w:r w:rsidRPr="00E2627C">
              <w:rPr>
                <w:rFonts w:ascii="Times New Roman" w:hAnsi="Times New Roman"/>
                <w:b/>
                <w:sz w:val="24"/>
                <w:szCs w:val="24"/>
                <w:lang w:val="lv-LV"/>
              </w:rPr>
              <w:t>VI. Sabiedrības līdzdalība un komunikācijas aktivitātes</w:t>
            </w:r>
          </w:p>
        </w:tc>
      </w:tr>
      <w:tr w:rsidR="00DF1E59" w:rsidRPr="00E2627C" w:rsidTr="00BB7604">
        <w:tc>
          <w:tcPr>
            <w:tcW w:w="817" w:type="dxa"/>
          </w:tcPr>
          <w:p w:rsidR="00DF1E59" w:rsidRPr="00E2627C" w:rsidRDefault="00DF1E59" w:rsidP="00DF1E59">
            <w:pPr>
              <w:jc w:val="center"/>
              <w:rPr>
                <w:rFonts w:ascii="Times New Roman" w:hAnsi="Times New Roman"/>
                <w:sz w:val="24"/>
                <w:szCs w:val="24"/>
                <w:lang w:val="lv-LV"/>
              </w:rPr>
            </w:pPr>
            <w:r w:rsidRPr="00E2627C">
              <w:rPr>
                <w:rFonts w:ascii="Times New Roman" w:hAnsi="Times New Roman"/>
                <w:sz w:val="24"/>
                <w:szCs w:val="24"/>
                <w:lang w:val="lv-LV"/>
              </w:rPr>
              <w:t>1.</w:t>
            </w:r>
          </w:p>
        </w:tc>
        <w:tc>
          <w:tcPr>
            <w:tcW w:w="3686" w:type="dxa"/>
          </w:tcPr>
          <w:p w:rsidR="00DF1E59" w:rsidRPr="00E2627C" w:rsidRDefault="00DF1E59" w:rsidP="00761C28">
            <w:pPr>
              <w:tabs>
                <w:tab w:val="left" w:pos="170"/>
              </w:tabs>
              <w:ind w:left="57" w:right="57"/>
              <w:jc w:val="both"/>
              <w:rPr>
                <w:rFonts w:ascii="Times New Roman" w:hAnsi="Times New Roman"/>
                <w:sz w:val="24"/>
                <w:szCs w:val="24"/>
                <w:lang w:val="lv-LV" w:eastAsia="lv-LV"/>
              </w:rPr>
            </w:pPr>
            <w:r w:rsidRPr="00E2627C">
              <w:rPr>
                <w:rFonts w:ascii="Times New Roman" w:hAnsi="Times New Roman"/>
                <w:sz w:val="24"/>
                <w:szCs w:val="24"/>
                <w:lang w:val="lv-LV" w:eastAsia="lv-LV"/>
              </w:rPr>
              <w:t>Plānotās sabiedrības līdzdalības un komunikācijas aktivitātes saistībā ar projektu</w:t>
            </w:r>
          </w:p>
        </w:tc>
        <w:tc>
          <w:tcPr>
            <w:tcW w:w="4819" w:type="dxa"/>
          </w:tcPr>
          <w:p w:rsidR="00DF1E59" w:rsidRPr="00E2627C" w:rsidRDefault="00D908DD" w:rsidP="00D51947">
            <w:pPr>
              <w:shd w:val="clear" w:color="auto" w:fill="FFFFFF"/>
              <w:jc w:val="both"/>
              <w:rPr>
                <w:rFonts w:ascii="Times New Roman" w:hAnsi="Times New Roman"/>
                <w:sz w:val="24"/>
                <w:szCs w:val="24"/>
                <w:lang w:val="lv-LV"/>
              </w:rPr>
            </w:pPr>
            <w:r>
              <w:rPr>
                <w:rFonts w:ascii="Times New Roman" w:hAnsi="Times New Roman"/>
                <w:sz w:val="24"/>
                <w:szCs w:val="24"/>
                <w:lang w:val="lv-LV"/>
              </w:rPr>
              <w:t>Sabiedrības līdzdalība tiks</w:t>
            </w:r>
            <w:r w:rsidR="00472D6F" w:rsidRPr="00472D6F">
              <w:rPr>
                <w:rFonts w:ascii="Times New Roman" w:hAnsi="Times New Roman"/>
                <w:sz w:val="24"/>
                <w:szCs w:val="24"/>
                <w:lang w:val="lv-LV"/>
              </w:rPr>
              <w:t xml:space="preserve"> nodrošināta saskaņā ar Ministru kabineta 2009.gada 25.augusta noteikumiem Nr.970 </w:t>
            </w:r>
            <w:r w:rsidR="00472D6F">
              <w:rPr>
                <w:rFonts w:ascii="Times New Roman" w:hAnsi="Times New Roman"/>
                <w:sz w:val="24"/>
                <w:szCs w:val="24"/>
                <w:lang w:val="lv-LV"/>
              </w:rPr>
              <w:t>„</w:t>
            </w:r>
            <w:r w:rsidR="00472D6F" w:rsidRPr="00472D6F">
              <w:rPr>
                <w:rFonts w:ascii="Times New Roman" w:hAnsi="Times New Roman"/>
                <w:sz w:val="24"/>
                <w:szCs w:val="24"/>
                <w:lang w:val="lv-LV"/>
              </w:rPr>
              <w:t>Sabiedrības līdzdalības kārtība attīstības plānošanas procesā”, sagatavojot un publicējot paziņojumu par līdzdalības procesu.</w:t>
            </w:r>
            <w:r w:rsidR="00D51947">
              <w:rPr>
                <w:rFonts w:ascii="Times New Roman" w:hAnsi="Times New Roman"/>
                <w:sz w:val="24"/>
                <w:szCs w:val="24"/>
                <w:lang w:val="lv-LV"/>
              </w:rPr>
              <w:t xml:space="preserve"> Tāpat p</w:t>
            </w:r>
            <w:r w:rsidR="00472D6F" w:rsidRPr="00472D6F">
              <w:rPr>
                <w:rFonts w:ascii="Times New Roman" w:hAnsi="Times New Roman"/>
                <w:sz w:val="24"/>
                <w:szCs w:val="24"/>
                <w:lang w:val="lv-LV"/>
              </w:rPr>
              <w:t xml:space="preserve">rojekts pēc izsludināšanas Valsts sekretāru sanāksmē sabiedrībai </w:t>
            </w:r>
            <w:r w:rsidR="007A55E5">
              <w:rPr>
                <w:rFonts w:ascii="Times New Roman" w:hAnsi="Times New Roman"/>
                <w:sz w:val="24"/>
                <w:szCs w:val="24"/>
                <w:lang w:val="lv-LV"/>
              </w:rPr>
              <w:t xml:space="preserve">būs </w:t>
            </w:r>
            <w:r w:rsidR="00472D6F" w:rsidRPr="00472D6F">
              <w:rPr>
                <w:rFonts w:ascii="Times New Roman" w:hAnsi="Times New Roman"/>
                <w:sz w:val="24"/>
                <w:szCs w:val="24"/>
                <w:lang w:val="lv-LV"/>
              </w:rPr>
              <w:t xml:space="preserve">pieejams Ministru kabineta </w:t>
            </w:r>
            <w:r w:rsidR="007A55E5">
              <w:rPr>
                <w:rFonts w:ascii="Times New Roman" w:hAnsi="Times New Roman"/>
                <w:sz w:val="24"/>
                <w:szCs w:val="24"/>
                <w:lang w:val="lv-LV"/>
              </w:rPr>
              <w:t>tīmekļvietn</w:t>
            </w:r>
            <w:r w:rsidR="00587DE0">
              <w:rPr>
                <w:rFonts w:ascii="Times New Roman" w:hAnsi="Times New Roman"/>
                <w:sz w:val="24"/>
                <w:szCs w:val="24"/>
                <w:lang w:val="lv-LV"/>
              </w:rPr>
              <w:t>ē</w:t>
            </w:r>
            <w:r w:rsidR="00472D6F" w:rsidRPr="00472D6F">
              <w:rPr>
                <w:rFonts w:ascii="Times New Roman" w:hAnsi="Times New Roman"/>
                <w:sz w:val="24"/>
                <w:szCs w:val="24"/>
                <w:lang w:val="lv-LV"/>
              </w:rPr>
              <w:t xml:space="preserve"> </w:t>
            </w:r>
            <w:hyperlink r:id="rId8" w:history="1">
              <w:r w:rsidR="00472D6F" w:rsidRPr="00472D6F">
                <w:rPr>
                  <w:rStyle w:val="Hipersaite"/>
                  <w:rFonts w:ascii="Times New Roman" w:hAnsi="Times New Roman"/>
                  <w:sz w:val="24"/>
                  <w:szCs w:val="24"/>
                  <w:lang w:val="lv-LV"/>
                </w:rPr>
                <w:t>www.mk.gov.lv</w:t>
              </w:r>
            </w:hyperlink>
            <w:r w:rsidR="00472D6F" w:rsidRPr="00472D6F">
              <w:rPr>
                <w:rFonts w:ascii="Times New Roman" w:hAnsi="Times New Roman"/>
                <w:sz w:val="24"/>
                <w:szCs w:val="24"/>
                <w:lang w:val="lv-LV"/>
              </w:rPr>
              <w:t>.</w:t>
            </w:r>
          </w:p>
        </w:tc>
      </w:tr>
      <w:tr w:rsidR="00DF1E59" w:rsidRPr="00E2627C" w:rsidTr="00BB7604">
        <w:tc>
          <w:tcPr>
            <w:tcW w:w="817" w:type="dxa"/>
          </w:tcPr>
          <w:p w:rsidR="00DF1E59" w:rsidRPr="00E2627C" w:rsidRDefault="00DF1E59" w:rsidP="00DF1E59">
            <w:pPr>
              <w:jc w:val="center"/>
              <w:rPr>
                <w:rFonts w:ascii="Times New Roman" w:hAnsi="Times New Roman"/>
                <w:sz w:val="24"/>
                <w:szCs w:val="24"/>
                <w:lang w:val="lv-LV"/>
              </w:rPr>
            </w:pPr>
            <w:r w:rsidRPr="00E2627C">
              <w:rPr>
                <w:rFonts w:ascii="Times New Roman" w:hAnsi="Times New Roman"/>
                <w:sz w:val="24"/>
                <w:szCs w:val="24"/>
                <w:lang w:val="lv-LV"/>
              </w:rPr>
              <w:t>2.</w:t>
            </w:r>
          </w:p>
        </w:tc>
        <w:tc>
          <w:tcPr>
            <w:tcW w:w="3686" w:type="dxa"/>
          </w:tcPr>
          <w:p w:rsidR="00DF1E59" w:rsidRPr="00E2627C" w:rsidRDefault="00DF1E59" w:rsidP="00761C28">
            <w:pPr>
              <w:ind w:left="57" w:right="57"/>
              <w:jc w:val="both"/>
              <w:rPr>
                <w:rFonts w:ascii="Times New Roman" w:hAnsi="Times New Roman"/>
                <w:sz w:val="24"/>
                <w:szCs w:val="24"/>
                <w:lang w:val="lv-LV" w:eastAsia="lv-LV"/>
              </w:rPr>
            </w:pPr>
            <w:r w:rsidRPr="00E2627C">
              <w:rPr>
                <w:rFonts w:ascii="Times New Roman" w:hAnsi="Times New Roman"/>
                <w:sz w:val="24"/>
                <w:szCs w:val="24"/>
                <w:lang w:val="lv-LV" w:eastAsia="lv-LV"/>
              </w:rPr>
              <w:t>Sabiedrības līdzdalība projekta izstrādē</w:t>
            </w:r>
          </w:p>
        </w:tc>
        <w:tc>
          <w:tcPr>
            <w:tcW w:w="4819" w:type="dxa"/>
          </w:tcPr>
          <w:p w:rsidR="007A55E5" w:rsidRPr="007A55E5" w:rsidRDefault="007A55E5" w:rsidP="00D51947">
            <w:pPr>
              <w:shd w:val="clear" w:color="auto" w:fill="FFFFFF"/>
              <w:jc w:val="both"/>
              <w:rPr>
                <w:rFonts w:ascii="Times New Roman" w:hAnsi="Times New Roman"/>
                <w:sz w:val="24"/>
                <w:szCs w:val="24"/>
                <w:lang w:val="lv-LV"/>
              </w:rPr>
            </w:pPr>
            <w:r w:rsidRPr="007A55E5">
              <w:rPr>
                <w:rFonts w:ascii="Times New Roman" w:hAnsi="Times New Roman"/>
                <w:sz w:val="24"/>
                <w:szCs w:val="24"/>
                <w:lang w:val="lv-LV"/>
              </w:rPr>
              <w:t>Projekts kopā ar sākotnējās ietekmes novērtējuma ziņojum</w:t>
            </w:r>
            <w:r w:rsidR="00D908DD">
              <w:rPr>
                <w:rFonts w:ascii="Times New Roman" w:hAnsi="Times New Roman"/>
                <w:sz w:val="24"/>
                <w:szCs w:val="24"/>
                <w:lang w:val="lv-LV"/>
              </w:rPr>
              <w:t>u (anotāciju) un tās pielikumu</w:t>
            </w:r>
            <w:r w:rsidRPr="007A55E5">
              <w:rPr>
                <w:rFonts w:ascii="Times New Roman" w:hAnsi="Times New Roman"/>
                <w:sz w:val="24"/>
                <w:szCs w:val="24"/>
                <w:lang w:val="lv-LV"/>
              </w:rPr>
              <w:t xml:space="preserve"> </w:t>
            </w:r>
            <w:r w:rsidR="00D51947">
              <w:rPr>
                <w:rFonts w:ascii="Times New Roman" w:hAnsi="Times New Roman"/>
                <w:sz w:val="24"/>
                <w:szCs w:val="24"/>
                <w:lang w:val="lv-LV"/>
              </w:rPr>
              <w:t>tiks</w:t>
            </w:r>
            <w:r w:rsidRPr="007A55E5">
              <w:rPr>
                <w:rFonts w:ascii="Times New Roman" w:hAnsi="Times New Roman"/>
                <w:sz w:val="24"/>
                <w:szCs w:val="24"/>
                <w:lang w:val="lv-LV"/>
              </w:rPr>
              <w:t xml:space="preserve"> ievietots Iekšlietu ministrijas tīmekļvietnē </w:t>
            </w:r>
            <w:hyperlink r:id="rId9" w:history="1">
              <w:r w:rsidRPr="007A55E5">
                <w:rPr>
                  <w:rStyle w:val="Hipersaite"/>
                  <w:rFonts w:ascii="Times New Roman" w:hAnsi="Times New Roman"/>
                  <w:sz w:val="24"/>
                  <w:szCs w:val="24"/>
                  <w:lang w:val="lv-LV"/>
                </w:rPr>
                <w:t>www.iem.gov.lv</w:t>
              </w:r>
            </w:hyperlink>
            <w:r w:rsidRPr="007A55E5">
              <w:rPr>
                <w:rFonts w:ascii="Times New Roman" w:hAnsi="Times New Roman"/>
                <w:sz w:val="24"/>
                <w:szCs w:val="24"/>
                <w:lang w:val="lv-LV"/>
              </w:rPr>
              <w:t xml:space="preserve"> sadaļā </w:t>
            </w:r>
            <w:r>
              <w:rPr>
                <w:rFonts w:ascii="Times New Roman" w:hAnsi="Times New Roman"/>
                <w:sz w:val="24"/>
                <w:szCs w:val="24"/>
                <w:lang w:val="lv-LV"/>
              </w:rPr>
              <w:t>„</w:t>
            </w:r>
            <w:r w:rsidRPr="007A55E5">
              <w:rPr>
                <w:rFonts w:ascii="Times New Roman" w:hAnsi="Times New Roman"/>
                <w:sz w:val="24"/>
                <w:szCs w:val="24"/>
                <w:lang w:val="lv-LV"/>
              </w:rPr>
              <w:t>Sabiedrības līdzdalība”, aicinot sabiedrību rakstveidā izt</w:t>
            </w:r>
            <w:r w:rsidR="00D51947">
              <w:rPr>
                <w:rFonts w:ascii="Times New Roman" w:hAnsi="Times New Roman"/>
                <w:sz w:val="24"/>
                <w:szCs w:val="24"/>
                <w:lang w:val="lv-LV"/>
              </w:rPr>
              <w:t>eikt savu viedokli par projektu.</w:t>
            </w:r>
          </w:p>
        </w:tc>
      </w:tr>
      <w:tr w:rsidR="00DF1E59" w:rsidRPr="00E2627C" w:rsidTr="00BB7604">
        <w:tc>
          <w:tcPr>
            <w:tcW w:w="817" w:type="dxa"/>
          </w:tcPr>
          <w:p w:rsidR="00DF1E59" w:rsidRPr="00E2627C" w:rsidRDefault="00DF1E59" w:rsidP="00DF1E59">
            <w:pPr>
              <w:jc w:val="center"/>
              <w:rPr>
                <w:rFonts w:ascii="Times New Roman" w:hAnsi="Times New Roman"/>
                <w:sz w:val="24"/>
                <w:szCs w:val="24"/>
                <w:lang w:val="lv-LV"/>
              </w:rPr>
            </w:pPr>
            <w:r w:rsidRPr="00E2627C">
              <w:rPr>
                <w:rFonts w:ascii="Times New Roman" w:hAnsi="Times New Roman"/>
                <w:sz w:val="24"/>
                <w:szCs w:val="24"/>
                <w:lang w:val="lv-LV"/>
              </w:rPr>
              <w:t>3.</w:t>
            </w:r>
          </w:p>
        </w:tc>
        <w:tc>
          <w:tcPr>
            <w:tcW w:w="3686" w:type="dxa"/>
          </w:tcPr>
          <w:p w:rsidR="00DF1E59" w:rsidRPr="00E2627C" w:rsidRDefault="00DF1E59" w:rsidP="00761C28">
            <w:pPr>
              <w:ind w:left="57" w:right="57"/>
              <w:jc w:val="both"/>
              <w:rPr>
                <w:rFonts w:ascii="Times New Roman" w:hAnsi="Times New Roman"/>
                <w:sz w:val="24"/>
                <w:szCs w:val="24"/>
                <w:lang w:val="lv-LV" w:eastAsia="lv-LV"/>
              </w:rPr>
            </w:pPr>
            <w:r w:rsidRPr="00E2627C">
              <w:rPr>
                <w:rFonts w:ascii="Times New Roman" w:hAnsi="Times New Roman"/>
                <w:sz w:val="24"/>
                <w:szCs w:val="24"/>
                <w:lang w:val="lv-LV" w:eastAsia="lv-LV"/>
              </w:rPr>
              <w:t>Sabiedrības līdzdalības rezultāti</w:t>
            </w:r>
          </w:p>
        </w:tc>
        <w:tc>
          <w:tcPr>
            <w:tcW w:w="4819" w:type="dxa"/>
          </w:tcPr>
          <w:p w:rsidR="00DF1E59" w:rsidRPr="00E2627C" w:rsidRDefault="00DF1E59" w:rsidP="00D51947">
            <w:pPr>
              <w:jc w:val="both"/>
              <w:rPr>
                <w:rFonts w:ascii="Times New Roman" w:hAnsi="Times New Roman"/>
                <w:sz w:val="24"/>
                <w:szCs w:val="24"/>
                <w:lang w:val="lv-LV"/>
              </w:rPr>
            </w:pPr>
            <w:r w:rsidRPr="00E2627C">
              <w:rPr>
                <w:rFonts w:ascii="Times New Roman" w:hAnsi="Times New Roman"/>
                <w:iCs/>
                <w:sz w:val="24"/>
                <w:szCs w:val="24"/>
                <w:lang w:val="lv-LV" w:eastAsia="lv-LV"/>
              </w:rPr>
              <w:t xml:space="preserve">Tiks atspoguļoti pēc </w:t>
            </w:r>
            <w:r w:rsidR="00D51947">
              <w:rPr>
                <w:rFonts w:ascii="Times New Roman" w:hAnsi="Times New Roman"/>
                <w:iCs/>
                <w:sz w:val="24"/>
                <w:szCs w:val="24"/>
                <w:lang w:val="lv-LV" w:eastAsia="lv-LV"/>
              </w:rPr>
              <w:t>publiskās</w:t>
            </w:r>
            <w:r w:rsidRPr="00E2627C">
              <w:rPr>
                <w:rFonts w:ascii="Times New Roman" w:hAnsi="Times New Roman"/>
                <w:iCs/>
                <w:sz w:val="24"/>
                <w:szCs w:val="24"/>
                <w:lang w:val="lv-LV" w:eastAsia="lv-LV"/>
              </w:rPr>
              <w:t xml:space="preserve"> </w:t>
            </w:r>
            <w:r w:rsidR="00D51947">
              <w:rPr>
                <w:rFonts w:ascii="Times New Roman" w:hAnsi="Times New Roman"/>
                <w:iCs/>
                <w:sz w:val="24"/>
                <w:szCs w:val="24"/>
                <w:lang w:val="lv-LV" w:eastAsia="lv-LV"/>
              </w:rPr>
              <w:t>apspriešanas.</w:t>
            </w:r>
          </w:p>
        </w:tc>
      </w:tr>
      <w:tr w:rsidR="00BB7604" w:rsidRPr="00E2627C" w:rsidTr="00BB7604">
        <w:tc>
          <w:tcPr>
            <w:tcW w:w="817" w:type="dxa"/>
          </w:tcPr>
          <w:p w:rsidR="00BB7604" w:rsidRPr="00E2627C" w:rsidRDefault="00BB7604" w:rsidP="00BB7604">
            <w:pPr>
              <w:jc w:val="center"/>
              <w:rPr>
                <w:rFonts w:ascii="Times New Roman" w:hAnsi="Times New Roman"/>
                <w:sz w:val="24"/>
                <w:szCs w:val="24"/>
                <w:lang w:val="lv-LV"/>
              </w:rPr>
            </w:pPr>
            <w:r w:rsidRPr="00E2627C">
              <w:rPr>
                <w:rFonts w:ascii="Times New Roman" w:hAnsi="Times New Roman"/>
                <w:sz w:val="24"/>
                <w:szCs w:val="24"/>
                <w:lang w:val="lv-LV"/>
              </w:rPr>
              <w:t>4.</w:t>
            </w:r>
          </w:p>
        </w:tc>
        <w:tc>
          <w:tcPr>
            <w:tcW w:w="3686" w:type="dxa"/>
          </w:tcPr>
          <w:p w:rsidR="00BB7604" w:rsidRPr="00E2627C" w:rsidRDefault="00BB7604" w:rsidP="00761C28">
            <w:pPr>
              <w:ind w:left="57" w:right="57"/>
              <w:jc w:val="both"/>
              <w:rPr>
                <w:rFonts w:ascii="Times New Roman" w:hAnsi="Times New Roman"/>
                <w:sz w:val="24"/>
                <w:szCs w:val="24"/>
                <w:lang w:val="lv-LV" w:eastAsia="lv-LV"/>
              </w:rPr>
            </w:pPr>
            <w:r w:rsidRPr="00E2627C">
              <w:rPr>
                <w:rFonts w:ascii="Times New Roman" w:hAnsi="Times New Roman"/>
                <w:sz w:val="24"/>
                <w:szCs w:val="24"/>
                <w:lang w:val="lv-LV" w:eastAsia="lv-LV"/>
              </w:rPr>
              <w:t>Cita informācija</w:t>
            </w:r>
          </w:p>
        </w:tc>
        <w:tc>
          <w:tcPr>
            <w:tcW w:w="4819" w:type="dxa"/>
          </w:tcPr>
          <w:p w:rsidR="00BB7604" w:rsidRPr="00E2627C" w:rsidRDefault="00DF1E59" w:rsidP="00761C28">
            <w:pPr>
              <w:jc w:val="both"/>
              <w:rPr>
                <w:rFonts w:ascii="Times New Roman" w:hAnsi="Times New Roman"/>
                <w:sz w:val="24"/>
                <w:szCs w:val="24"/>
                <w:lang w:val="lv-LV"/>
              </w:rPr>
            </w:pPr>
            <w:r w:rsidRPr="00E2627C">
              <w:rPr>
                <w:rFonts w:ascii="Times New Roman" w:hAnsi="Times New Roman"/>
                <w:sz w:val="24"/>
                <w:szCs w:val="24"/>
                <w:lang w:val="lv-LV"/>
              </w:rPr>
              <w:t>Nav.</w:t>
            </w:r>
          </w:p>
        </w:tc>
      </w:tr>
    </w:tbl>
    <w:p w:rsidR="00BB7604" w:rsidRDefault="00BB7604" w:rsidP="004F4B5E">
      <w:pPr>
        <w:spacing w:after="0" w:line="240" w:lineRule="auto"/>
        <w:rPr>
          <w:rFonts w:ascii="Times New Roman" w:hAnsi="Times New Roman"/>
          <w:sz w:val="24"/>
          <w:szCs w:val="24"/>
          <w:lang w:val="lv-LV"/>
        </w:rPr>
      </w:pPr>
    </w:p>
    <w:p w:rsidR="000E6958" w:rsidRDefault="000E6958" w:rsidP="004F4B5E">
      <w:pPr>
        <w:spacing w:after="0" w:line="240" w:lineRule="auto"/>
        <w:rPr>
          <w:rFonts w:ascii="Times New Roman" w:hAnsi="Times New Roman"/>
          <w:sz w:val="24"/>
          <w:szCs w:val="24"/>
          <w:lang w:val="lv-LV"/>
        </w:rPr>
      </w:pPr>
    </w:p>
    <w:p w:rsidR="000E6958" w:rsidRPr="00E2627C" w:rsidRDefault="000E6958" w:rsidP="004F4B5E">
      <w:pPr>
        <w:spacing w:after="0" w:line="240" w:lineRule="auto"/>
        <w:rPr>
          <w:rFonts w:ascii="Times New Roman" w:hAnsi="Times New Roman"/>
          <w:sz w:val="24"/>
          <w:szCs w:val="24"/>
          <w:lang w:val="lv-LV"/>
        </w:rPr>
      </w:pPr>
    </w:p>
    <w:tbl>
      <w:tblPr>
        <w:tblStyle w:val="Reatabula"/>
        <w:tblW w:w="0" w:type="auto"/>
        <w:jc w:val="center"/>
        <w:tblLook w:val="04A0" w:firstRow="1" w:lastRow="0" w:firstColumn="1" w:lastColumn="0" w:noHBand="0" w:noVBand="1"/>
      </w:tblPr>
      <w:tblGrid>
        <w:gridCol w:w="804"/>
        <w:gridCol w:w="2939"/>
        <w:gridCol w:w="5545"/>
      </w:tblGrid>
      <w:tr w:rsidR="00DA5EB0" w:rsidRPr="00E2627C" w:rsidTr="006B21BD">
        <w:trPr>
          <w:jc w:val="center"/>
        </w:trPr>
        <w:tc>
          <w:tcPr>
            <w:tcW w:w="9288" w:type="dxa"/>
            <w:gridSpan w:val="3"/>
          </w:tcPr>
          <w:p w:rsidR="00DA5EB0" w:rsidRPr="00E2627C" w:rsidRDefault="00DA5EB0" w:rsidP="00DA5EB0">
            <w:pPr>
              <w:jc w:val="center"/>
              <w:rPr>
                <w:rFonts w:ascii="Times New Roman" w:hAnsi="Times New Roman"/>
                <w:sz w:val="24"/>
                <w:szCs w:val="24"/>
                <w:lang w:val="lv-LV"/>
              </w:rPr>
            </w:pPr>
            <w:r w:rsidRPr="00E2627C">
              <w:rPr>
                <w:rFonts w:ascii="Times New Roman" w:hAnsi="Times New Roman"/>
                <w:b/>
                <w:sz w:val="24"/>
                <w:szCs w:val="24"/>
                <w:lang w:val="lv-LV"/>
              </w:rPr>
              <w:lastRenderedPageBreak/>
              <w:t>VII. Tiesību akta projekta izpildes nodrošināšana un tās ietekme uz institūcijām</w:t>
            </w:r>
          </w:p>
        </w:tc>
      </w:tr>
      <w:tr w:rsidR="00DA5EB0" w:rsidRPr="00E2627C" w:rsidTr="006B21BD">
        <w:trPr>
          <w:jc w:val="center"/>
        </w:trPr>
        <w:tc>
          <w:tcPr>
            <w:tcW w:w="804" w:type="dxa"/>
          </w:tcPr>
          <w:p w:rsidR="00DA5EB0" w:rsidRPr="00E2627C" w:rsidRDefault="00DA5EB0" w:rsidP="00DA5EB0">
            <w:pPr>
              <w:jc w:val="center"/>
              <w:rPr>
                <w:rFonts w:ascii="Times New Roman" w:hAnsi="Times New Roman"/>
                <w:sz w:val="24"/>
                <w:szCs w:val="24"/>
                <w:lang w:val="lv-LV"/>
              </w:rPr>
            </w:pPr>
            <w:r w:rsidRPr="00E2627C">
              <w:rPr>
                <w:rFonts w:ascii="Times New Roman" w:hAnsi="Times New Roman"/>
                <w:sz w:val="24"/>
                <w:szCs w:val="24"/>
                <w:lang w:val="lv-LV"/>
              </w:rPr>
              <w:t>1.</w:t>
            </w:r>
          </w:p>
        </w:tc>
        <w:tc>
          <w:tcPr>
            <w:tcW w:w="2939" w:type="dxa"/>
          </w:tcPr>
          <w:p w:rsidR="00DA5EB0" w:rsidRPr="00E2627C" w:rsidRDefault="00DA5EB0" w:rsidP="00DA5EB0">
            <w:pPr>
              <w:jc w:val="both"/>
              <w:rPr>
                <w:rFonts w:ascii="Times New Roman" w:hAnsi="Times New Roman"/>
                <w:sz w:val="24"/>
                <w:szCs w:val="24"/>
                <w:lang w:val="lv-LV"/>
              </w:rPr>
            </w:pPr>
            <w:r w:rsidRPr="00E2627C">
              <w:rPr>
                <w:rFonts w:ascii="Times New Roman" w:hAnsi="Times New Roman"/>
                <w:sz w:val="24"/>
                <w:szCs w:val="24"/>
                <w:lang w:val="lv-LV"/>
              </w:rPr>
              <w:t>Projekta izpildē iesaistītās institūcijas</w:t>
            </w:r>
          </w:p>
        </w:tc>
        <w:tc>
          <w:tcPr>
            <w:tcW w:w="5545" w:type="dxa"/>
          </w:tcPr>
          <w:p w:rsidR="00DA5EB0" w:rsidRPr="00E2627C" w:rsidRDefault="00D03B8B" w:rsidP="00DA5EB0">
            <w:pPr>
              <w:tabs>
                <w:tab w:val="left" w:pos="488"/>
              </w:tabs>
              <w:jc w:val="both"/>
              <w:rPr>
                <w:rFonts w:ascii="Times New Roman" w:hAnsi="Times New Roman"/>
                <w:sz w:val="24"/>
                <w:szCs w:val="24"/>
                <w:lang w:val="lv-LV"/>
              </w:rPr>
            </w:pPr>
            <w:r w:rsidRPr="00E2627C">
              <w:rPr>
                <w:rFonts w:ascii="Times New Roman" w:hAnsi="Times New Roman"/>
                <w:sz w:val="24"/>
                <w:szCs w:val="24"/>
                <w:lang w:val="lv-LV"/>
              </w:rPr>
              <w:t>VUGD</w:t>
            </w:r>
            <w:r w:rsidR="00D3197C" w:rsidRPr="00E2627C">
              <w:rPr>
                <w:rFonts w:ascii="Times New Roman" w:hAnsi="Times New Roman"/>
                <w:sz w:val="24"/>
                <w:szCs w:val="24"/>
                <w:lang w:val="lv-LV"/>
              </w:rPr>
              <w:t>.</w:t>
            </w:r>
          </w:p>
        </w:tc>
      </w:tr>
      <w:tr w:rsidR="00DA5EB0" w:rsidRPr="00E2627C" w:rsidTr="006B21BD">
        <w:trPr>
          <w:jc w:val="center"/>
        </w:trPr>
        <w:tc>
          <w:tcPr>
            <w:tcW w:w="804" w:type="dxa"/>
          </w:tcPr>
          <w:p w:rsidR="00DA5EB0" w:rsidRPr="00E2627C" w:rsidRDefault="00DA5EB0" w:rsidP="00DA5EB0">
            <w:pPr>
              <w:jc w:val="center"/>
              <w:rPr>
                <w:rFonts w:ascii="Times New Roman" w:hAnsi="Times New Roman"/>
                <w:sz w:val="24"/>
                <w:szCs w:val="24"/>
                <w:lang w:val="lv-LV"/>
              </w:rPr>
            </w:pPr>
            <w:r w:rsidRPr="00E2627C">
              <w:rPr>
                <w:rFonts w:ascii="Times New Roman" w:hAnsi="Times New Roman"/>
                <w:sz w:val="24"/>
                <w:szCs w:val="24"/>
                <w:lang w:val="lv-LV"/>
              </w:rPr>
              <w:t>2.</w:t>
            </w:r>
          </w:p>
        </w:tc>
        <w:tc>
          <w:tcPr>
            <w:tcW w:w="2939" w:type="dxa"/>
          </w:tcPr>
          <w:p w:rsidR="00DA5EB0" w:rsidRDefault="00DA5EB0" w:rsidP="00DA5EB0">
            <w:pPr>
              <w:pStyle w:val="naisf"/>
              <w:spacing w:before="0" w:beforeAutospacing="0" w:after="0" w:afterAutospacing="0"/>
              <w:ind w:right="57"/>
              <w:jc w:val="both"/>
            </w:pPr>
            <w:r w:rsidRPr="00E2627C">
              <w:t>Projekta izpildes ietekme uz pār</w:t>
            </w:r>
            <w:r w:rsidRPr="00E2627C">
              <w:softHyphen/>
              <w:t>valdes funkcijām un institucionālo struktūru.</w:t>
            </w:r>
          </w:p>
          <w:p w:rsidR="00DA5EB0" w:rsidRPr="00E2627C" w:rsidRDefault="00DA5EB0" w:rsidP="00DA5EB0">
            <w:pPr>
              <w:jc w:val="both"/>
              <w:rPr>
                <w:rFonts w:ascii="Times New Roman" w:hAnsi="Times New Roman"/>
                <w:sz w:val="24"/>
                <w:szCs w:val="24"/>
                <w:lang w:val="lv-LV"/>
              </w:rPr>
            </w:pPr>
            <w:r w:rsidRPr="00E2627C">
              <w:rPr>
                <w:rFonts w:ascii="Times New Roman" w:hAnsi="Times New Roman"/>
                <w:sz w:val="24"/>
                <w:szCs w:val="24"/>
                <w:lang w:val="lv-LV"/>
              </w:rPr>
              <w:t>Jaunu institūciju izveide, esošu institūciju likvidācija vai reorganizācija, to ietekme uz institūcijas cilvēkresursiem</w:t>
            </w:r>
          </w:p>
        </w:tc>
        <w:tc>
          <w:tcPr>
            <w:tcW w:w="5545" w:type="dxa"/>
          </w:tcPr>
          <w:p w:rsidR="00340E50" w:rsidRPr="00120187" w:rsidRDefault="00FD08E9" w:rsidP="00340E50">
            <w:pPr>
              <w:tabs>
                <w:tab w:val="left" w:pos="237"/>
              </w:tabs>
              <w:jc w:val="both"/>
              <w:rPr>
                <w:rFonts w:ascii="Times New Roman" w:hAnsi="Times New Roman"/>
                <w:sz w:val="24"/>
                <w:szCs w:val="24"/>
                <w:lang w:val="lv-LV"/>
              </w:rPr>
            </w:pPr>
            <w:r w:rsidRPr="00120187">
              <w:rPr>
                <w:rFonts w:ascii="Times New Roman" w:hAnsi="Times New Roman"/>
                <w:sz w:val="24"/>
                <w:szCs w:val="24"/>
                <w:lang w:val="lv-LV" w:eastAsia="lv-LV"/>
              </w:rPr>
              <w:t xml:space="preserve">Likumprojektā </w:t>
            </w:r>
            <w:r w:rsidR="00885B70" w:rsidRPr="00120187">
              <w:rPr>
                <w:rFonts w:ascii="Times New Roman" w:hAnsi="Times New Roman"/>
                <w:sz w:val="24"/>
                <w:szCs w:val="24"/>
                <w:lang w:val="lv-LV" w:eastAsia="lv-LV"/>
              </w:rPr>
              <w:t xml:space="preserve">ietvertā deleģējuma rezultātā </w:t>
            </w:r>
            <w:r w:rsidRPr="00120187">
              <w:rPr>
                <w:rFonts w:ascii="Times New Roman" w:hAnsi="Times New Roman"/>
                <w:sz w:val="24"/>
                <w:szCs w:val="24"/>
                <w:lang w:val="lv-LV" w:eastAsia="lv-LV"/>
              </w:rPr>
              <w:t xml:space="preserve">VUGD funkcijas tiek paplašinātas, jo VUGD Koledžai būs jānodrošina </w:t>
            </w:r>
            <w:r w:rsidRPr="00120187">
              <w:rPr>
                <w:rFonts w:ascii="Times New Roman" w:hAnsi="Times New Roman"/>
                <w:sz w:val="24"/>
                <w:szCs w:val="24"/>
                <w:lang w:val="lv-LV"/>
              </w:rPr>
              <w:t>20 vai 160 stundu programmas noslēguma pārbaudījuma kārtošana un jāizsniedz attiecīgie izglītību apliecinošie dokumenti.</w:t>
            </w:r>
            <w:r w:rsidR="00AB012C" w:rsidRPr="00120187">
              <w:rPr>
                <w:rFonts w:ascii="Times New Roman" w:hAnsi="Times New Roman"/>
                <w:sz w:val="24"/>
                <w:szCs w:val="24"/>
                <w:lang w:val="lv-LV"/>
              </w:rPr>
              <w:t xml:space="preserve"> </w:t>
            </w:r>
            <w:r w:rsidR="00B0259C" w:rsidRPr="00120187">
              <w:rPr>
                <w:rFonts w:ascii="Times New Roman" w:hAnsi="Times New Roman"/>
                <w:sz w:val="24"/>
                <w:szCs w:val="24"/>
                <w:lang w:val="lv-LV"/>
              </w:rPr>
              <w:t xml:space="preserve">Likumprojektā ietvertais </w:t>
            </w:r>
            <w:r w:rsidR="00AB012C" w:rsidRPr="00120187">
              <w:rPr>
                <w:rFonts w:ascii="Times New Roman" w:hAnsi="Times New Roman"/>
                <w:sz w:val="24"/>
                <w:szCs w:val="24"/>
                <w:lang w:val="lv-LV"/>
              </w:rPr>
              <w:t>regulējums paredz</w:t>
            </w:r>
            <w:r w:rsidR="00340E50" w:rsidRPr="00120187">
              <w:rPr>
                <w:rFonts w:ascii="Times New Roman" w:hAnsi="Times New Roman"/>
                <w:sz w:val="24"/>
                <w:szCs w:val="24"/>
                <w:lang w:val="lv-LV"/>
              </w:rPr>
              <w:t xml:space="preserve"> </w:t>
            </w:r>
            <w:r w:rsidR="00AB012C" w:rsidRPr="00120187">
              <w:rPr>
                <w:rFonts w:ascii="Times New Roman" w:hAnsi="Times New Roman"/>
                <w:sz w:val="24"/>
                <w:szCs w:val="24"/>
                <w:lang w:val="lv-LV"/>
              </w:rPr>
              <w:t xml:space="preserve">deleģējumu </w:t>
            </w:r>
            <w:r w:rsidR="00340E50" w:rsidRPr="00120187">
              <w:rPr>
                <w:rFonts w:ascii="Times New Roman" w:hAnsi="Times New Roman"/>
                <w:sz w:val="24"/>
                <w:szCs w:val="24"/>
                <w:lang w:val="lv-LV"/>
              </w:rPr>
              <w:t>Ministru kabinetam, paredzot, ka Ministru kabinets nosaka nosacījumus un kārtību, kādā iegūstama apmācība ugunsdrošības jomā un kārtojams noslēguma pārbaudījums VUGD, kā arī kārtību un apmēru, kādā maksājama valsts nodeva par noslēguma pārbaudījuma kārtošanu un apliecības izsniegšanu.</w:t>
            </w:r>
          </w:p>
          <w:p w:rsidR="00503B2D" w:rsidRPr="00120187" w:rsidRDefault="00FD08E9" w:rsidP="00503B2D">
            <w:pPr>
              <w:tabs>
                <w:tab w:val="left" w:pos="237"/>
              </w:tabs>
              <w:jc w:val="both"/>
              <w:rPr>
                <w:rFonts w:ascii="Times New Roman" w:hAnsi="Times New Roman"/>
                <w:sz w:val="24"/>
                <w:szCs w:val="24"/>
                <w:lang w:val="lv-LV"/>
              </w:rPr>
            </w:pPr>
            <w:r w:rsidRPr="00120187">
              <w:rPr>
                <w:rFonts w:ascii="Times New Roman" w:hAnsi="Times New Roman"/>
                <w:sz w:val="24"/>
                <w:szCs w:val="24"/>
                <w:lang w:val="lv-LV"/>
              </w:rPr>
              <w:t>Lai izpildītu likumprojektā ietvertās jaunās VUGD funkcijas, nepi</w:t>
            </w:r>
            <w:r w:rsidR="00340E50" w:rsidRPr="00120187">
              <w:rPr>
                <w:rFonts w:ascii="Times New Roman" w:hAnsi="Times New Roman"/>
                <w:sz w:val="24"/>
                <w:szCs w:val="24"/>
                <w:lang w:val="lv-LV"/>
              </w:rPr>
              <w:t xml:space="preserve">eciešami papildus cilvēkresursi, </w:t>
            </w:r>
            <w:r w:rsidRPr="00120187">
              <w:rPr>
                <w:rFonts w:ascii="Times New Roman" w:hAnsi="Times New Roman"/>
                <w:sz w:val="24"/>
                <w:szCs w:val="24"/>
                <w:lang w:val="lv-LV"/>
              </w:rPr>
              <w:t>kas nodrošinās ar noslēguma pārbaudījuma kārtošanu un apliecību izsniegšanu saistīt</w:t>
            </w:r>
            <w:r w:rsidR="000F409D" w:rsidRPr="00120187">
              <w:rPr>
                <w:rFonts w:ascii="Times New Roman" w:hAnsi="Times New Roman"/>
                <w:sz w:val="24"/>
                <w:szCs w:val="24"/>
                <w:lang w:val="lv-LV"/>
              </w:rPr>
              <w:t>os</w:t>
            </w:r>
            <w:r w:rsidR="00C24B42" w:rsidRPr="00120187">
              <w:rPr>
                <w:rFonts w:ascii="Times New Roman" w:hAnsi="Times New Roman"/>
                <w:sz w:val="24"/>
                <w:szCs w:val="24"/>
                <w:lang w:val="lv-LV"/>
              </w:rPr>
              <w:t xml:space="preserve"> </w:t>
            </w:r>
            <w:r w:rsidRPr="00120187">
              <w:rPr>
                <w:rFonts w:ascii="Times New Roman" w:hAnsi="Times New Roman"/>
                <w:sz w:val="24"/>
                <w:szCs w:val="24"/>
                <w:lang w:val="lv-LV"/>
              </w:rPr>
              <w:t>organizatoriskos pasākumus</w:t>
            </w:r>
            <w:r w:rsidR="00340E50" w:rsidRPr="00120187">
              <w:rPr>
                <w:rFonts w:ascii="Times New Roman" w:hAnsi="Times New Roman"/>
                <w:sz w:val="24"/>
                <w:szCs w:val="24"/>
                <w:lang w:val="lv-LV"/>
              </w:rPr>
              <w:t xml:space="preserve">, kā arī </w:t>
            </w:r>
            <w:r w:rsidR="006233DC" w:rsidRPr="00120187">
              <w:rPr>
                <w:rFonts w:ascii="Times New Roman" w:hAnsi="Times New Roman"/>
                <w:sz w:val="24"/>
                <w:szCs w:val="24"/>
                <w:lang w:val="lv-LV"/>
              </w:rPr>
              <w:t>noslēguma pārbaudījuma pieņemš</w:t>
            </w:r>
            <w:r w:rsidR="00340E50" w:rsidRPr="00120187">
              <w:rPr>
                <w:rFonts w:ascii="Times New Roman" w:hAnsi="Times New Roman"/>
                <w:sz w:val="24"/>
                <w:szCs w:val="24"/>
                <w:lang w:val="lv-LV"/>
              </w:rPr>
              <w:t>anu, uzraudzību un konsultāciju.</w:t>
            </w:r>
            <w:r w:rsidR="00503B2D" w:rsidRPr="00120187">
              <w:rPr>
                <w:rFonts w:ascii="Times New Roman" w:hAnsi="Times New Roman"/>
                <w:sz w:val="24"/>
                <w:szCs w:val="24"/>
                <w:lang w:val="lv-LV"/>
              </w:rPr>
              <w:t xml:space="preserve"> Ar esošajiem cilvēkresursiem jaunās funkcijas nav iespējams efektīvi realizēt, jo, piemēram, 2015.gadā VUGD Koledžas izglītības programmās apmācītas 578 personas un bija 62 studējošie (kadeti), no kā secināms, ka šobrīd esošā VUGD Koledžas kapacitāte nav pietiekama, lai nodrošinātu papildus 500 personu noslēguma pārbaudījumu kārtošanu un apliecību izsniegšanu.</w:t>
            </w:r>
          </w:p>
          <w:p w:rsidR="00362A54" w:rsidRPr="00120187" w:rsidRDefault="00C24B42" w:rsidP="00B0259C">
            <w:pPr>
              <w:tabs>
                <w:tab w:val="left" w:pos="237"/>
              </w:tabs>
              <w:jc w:val="both"/>
              <w:rPr>
                <w:rFonts w:ascii="Times New Roman" w:hAnsi="Times New Roman"/>
                <w:sz w:val="24"/>
                <w:szCs w:val="24"/>
                <w:lang w:val="lv-LV"/>
              </w:rPr>
            </w:pPr>
            <w:r w:rsidRPr="00120187">
              <w:rPr>
                <w:rFonts w:ascii="Times New Roman" w:hAnsi="Times New Roman"/>
                <w:sz w:val="24"/>
                <w:szCs w:val="24"/>
                <w:lang w:val="lv-LV"/>
              </w:rPr>
              <w:t>Likumprojekta izpildes rezultātā nav paredzēt</w:t>
            </w:r>
            <w:r w:rsidR="00503B2D" w:rsidRPr="00120187">
              <w:rPr>
                <w:rFonts w:ascii="Times New Roman" w:hAnsi="Times New Roman"/>
                <w:sz w:val="24"/>
                <w:szCs w:val="24"/>
                <w:lang w:val="lv-LV"/>
              </w:rPr>
              <w:t xml:space="preserve">a esošu institūciju likvidācija </w:t>
            </w:r>
            <w:r w:rsidRPr="00120187">
              <w:rPr>
                <w:rFonts w:ascii="Times New Roman" w:hAnsi="Times New Roman"/>
                <w:sz w:val="24"/>
                <w:szCs w:val="24"/>
                <w:lang w:val="lv-LV"/>
              </w:rPr>
              <w:t>vai reorganizācija.</w:t>
            </w:r>
            <w:r w:rsidR="007D38FA" w:rsidRPr="00120187">
              <w:rPr>
                <w:rFonts w:ascii="Times New Roman" w:hAnsi="Times New Roman"/>
                <w:sz w:val="24"/>
                <w:szCs w:val="24"/>
                <w:lang w:val="lv-LV"/>
              </w:rPr>
              <w:t xml:space="preserve"> </w:t>
            </w:r>
            <w:r w:rsidR="00503B2D" w:rsidRPr="00120187">
              <w:rPr>
                <w:rFonts w:ascii="Times New Roman" w:hAnsi="Times New Roman"/>
                <w:sz w:val="24"/>
                <w:szCs w:val="24"/>
                <w:lang w:val="lv-LV"/>
              </w:rPr>
              <w:t>Tomēr l</w:t>
            </w:r>
            <w:r w:rsidRPr="00120187">
              <w:rPr>
                <w:rFonts w:ascii="Times New Roman" w:hAnsi="Times New Roman"/>
                <w:sz w:val="24"/>
                <w:szCs w:val="24"/>
                <w:lang w:val="lv-LV" w:eastAsia="lv-LV"/>
              </w:rPr>
              <w:t xml:space="preserve">īdztekus likumprojekta izstrādei, VUGD Koledžā </w:t>
            </w:r>
            <w:r w:rsidR="006233DC" w:rsidRPr="00120187">
              <w:rPr>
                <w:rFonts w:ascii="Times New Roman" w:hAnsi="Times New Roman"/>
                <w:sz w:val="24"/>
                <w:szCs w:val="24"/>
                <w:lang w:val="lv-LV" w:eastAsia="lv-LV"/>
              </w:rPr>
              <w:t xml:space="preserve">tiek paredzēts </w:t>
            </w:r>
            <w:r w:rsidR="00D91788" w:rsidRPr="00120187">
              <w:rPr>
                <w:rFonts w:ascii="Times New Roman" w:hAnsi="Times New Roman"/>
                <w:sz w:val="24"/>
                <w:szCs w:val="24"/>
                <w:lang w:val="lv-LV" w:eastAsia="lv-LV"/>
              </w:rPr>
              <w:t xml:space="preserve">īstenot </w:t>
            </w:r>
            <w:r w:rsidR="000F409D" w:rsidRPr="00120187">
              <w:rPr>
                <w:rFonts w:ascii="Times New Roman" w:hAnsi="Times New Roman"/>
                <w:sz w:val="24"/>
                <w:szCs w:val="24"/>
                <w:lang w:val="lv-LV" w:eastAsia="lv-LV"/>
              </w:rPr>
              <w:t>tālmācības mācību modeli, izveidojot Tālmācības centru, kur viens no tā uzdevumiem būtu nodrošināt likumprojektā ietverto jauno VUGD funkciju izpildi.</w:t>
            </w:r>
            <w:r w:rsidR="00340E50" w:rsidRPr="00120187">
              <w:rPr>
                <w:rFonts w:ascii="Times New Roman" w:hAnsi="Times New Roman"/>
                <w:sz w:val="24"/>
                <w:szCs w:val="24"/>
                <w:lang w:val="lv-LV"/>
              </w:rPr>
              <w:t xml:space="preserve"> </w:t>
            </w:r>
          </w:p>
          <w:p w:rsidR="00120187" w:rsidRPr="00120187" w:rsidRDefault="00340E50" w:rsidP="00120187">
            <w:pPr>
              <w:tabs>
                <w:tab w:val="left" w:pos="237"/>
              </w:tabs>
              <w:jc w:val="both"/>
              <w:rPr>
                <w:rFonts w:ascii="Times New Roman" w:hAnsi="Times New Roman"/>
                <w:sz w:val="24"/>
                <w:szCs w:val="24"/>
                <w:lang w:val="lv-LV"/>
              </w:rPr>
            </w:pPr>
            <w:r w:rsidRPr="00120187">
              <w:rPr>
                <w:rFonts w:ascii="Times New Roman" w:hAnsi="Times New Roman"/>
                <w:sz w:val="24"/>
                <w:szCs w:val="24"/>
                <w:lang w:val="lv-LV"/>
              </w:rPr>
              <w:t>Savuk</w:t>
            </w:r>
            <w:r w:rsidR="00D908DD">
              <w:rPr>
                <w:rFonts w:ascii="Times New Roman" w:hAnsi="Times New Roman"/>
                <w:sz w:val="24"/>
                <w:szCs w:val="24"/>
                <w:lang w:val="lv-LV"/>
              </w:rPr>
              <w:t xml:space="preserve">ārt, </w:t>
            </w:r>
            <w:r w:rsidR="00120187" w:rsidRPr="00120187">
              <w:rPr>
                <w:rFonts w:ascii="Times New Roman" w:hAnsi="Times New Roman"/>
                <w:sz w:val="24"/>
                <w:szCs w:val="24"/>
                <w:lang w:val="lv-LV"/>
              </w:rPr>
              <w:t xml:space="preserve">šādas </w:t>
            </w:r>
            <w:r w:rsidRPr="00120187">
              <w:rPr>
                <w:rFonts w:ascii="Times New Roman" w:hAnsi="Times New Roman"/>
                <w:sz w:val="24"/>
                <w:szCs w:val="24"/>
                <w:lang w:val="lv-LV"/>
              </w:rPr>
              <w:t>apmācības iegūšanas kārtība</w:t>
            </w:r>
            <w:r w:rsidR="00120187" w:rsidRPr="00120187">
              <w:rPr>
                <w:rFonts w:ascii="Times New Roman" w:hAnsi="Times New Roman"/>
                <w:sz w:val="24"/>
                <w:szCs w:val="24"/>
                <w:lang w:val="lv-LV"/>
              </w:rPr>
              <w:t xml:space="preserve"> </w:t>
            </w:r>
            <w:r w:rsidR="00362A54" w:rsidRPr="00120187">
              <w:rPr>
                <w:rFonts w:ascii="Times New Roman" w:hAnsi="Times New Roman"/>
                <w:sz w:val="24"/>
                <w:szCs w:val="24"/>
                <w:lang w:val="lv-LV"/>
              </w:rPr>
              <w:t xml:space="preserve">ugunsdrošības jomā </w:t>
            </w:r>
            <w:r w:rsidRPr="00120187">
              <w:rPr>
                <w:rFonts w:ascii="Times New Roman" w:hAnsi="Times New Roman"/>
                <w:sz w:val="24"/>
                <w:szCs w:val="24"/>
                <w:lang w:val="lv-LV"/>
              </w:rPr>
              <w:t>nepieciešama, lai</w:t>
            </w:r>
            <w:r w:rsidR="00362A54" w:rsidRPr="00120187">
              <w:rPr>
                <w:rFonts w:ascii="Times New Roman" w:hAnsi="Times New Roman"/>
                <w:sz w:val="24"/>
                <w:szCs w:val="24"/>
                <w:lang w:val="lv-LV"/>
              </w:rPr>
              <w:t xml:space="preserve"> veicinātu </w:t>
            </w:r>
            <w:r w:rsidR="00120187" w:rsidRPr="00120187">
              <w:rPr>
                <w:rFonts w:ascii="Times New Roman" w:hAnsi="Times New Roman"/>
                <w:sz w:val="24"/>
                <w:szCs w:val="24"/>
                <w:lang w:val="lv-LV"/>
              </w:rPr>
              <w:t xml:space="preserve">minētās </w:t>
            </w:r>
            <w:r w:rsidR="00362A54" w:rsidRPr="00120187">
              <w:rPr>
                <w:rFonts w:ascii="Times New Roman" w:hAnsi="Times New Roman"/>
                <w:sz w:val="24"/>
                <w:szCs w:val="24"/>
                <w:lang w:val="lv-LV"/>
              </w:rPr>
              <w:t xml:space="preserve">apmācības kvalitāti ugunsdrošības jomā un izglītības iestādes rūpīgāk sagatavotu </w:t>
            </w:r>
            <w:r w:rsidR="00D91788" w:rsidRPr="00120187">
              <w:rPr>
                <w:rFonts w:ascii="Times New Roman" w:hAnsi="Times New Roman"/>
                <w:sz w:val="24"/>
                <w:szCs w:val="24"/>
                <w:lang w:val="lv-LV"/>
              </w:rPr>
              <w:t xml:space="preserve">attiecīgās personas, </w:t>
            </w:r>
            <w:r w:rsidR="003A3F4B" w:rsidRPr="00120187">
              <w:rPr>
                <w:rFonts w:ascii="Times New Roman" w:hAnsi="Times New Roman"/>
                <w:sz w:val="24"/>
                <w:szCs w:val="24"/>
                <w:lang w:val="lv-LV"/>
              </w:rPr>
              <w:t>kuru amata vai darba pienākumos ietilpst nodrošināt ugunsdrošības prasību ievērošanu objektā,</w:t>
            </w:r>
            <w:r w:rsidR="00120187" w:rsidRPr="00120187">
              <w:rPr>
                <w:rFonts w:ascii="Times New Roman" w:hAnsi="Times New Roman"/>
                <w:sz w:val="24"/>
                <w:szCs w:val="24"/>
                <w:lang w:val="lv-LV"/>
              </w:rPr>
              <w:t xml:space="preserve"> noslēguma pārbaudījuma kārtošanai un </w:t>
            </w:r>
            <w:r w:rsidR="00D91788" w:rsidRPr="00120187">
              <w:rPr>
                <w:rFonts w:ascii="Times New Roman" w:hAnsi="Times New Roman"/>
                <w:sz w:val="24"/>
                <w:szCs w:val="24"/>
                <w:lang w:val="lv-LV"/>
              </w:rPr>
              <w:t xml:space="preserve">darbam </w:t>
            </w:r>
            <w:r w:rsidR="00120187" w:rsidRPr="00120187">
              <w:rPr>
                <w:rFonts w:ascii="Times New Roman" w:hAnsi="Times New Roman"/>
                <w:sz w:val="24"/>
                <w:szCs w:val="24"/>
                <w:lang w:val="lv-LV"/>
              </w:rPr>
              <w:t>objektos, jo l</w:t>
            </w:r>
            <w:r w:rsidR="003A3F4B" w:rsidRPr="00120187">
              <w:rPr>
                <w:rFonts w:ascii="Times New Roman" w:hAnsi="Times New Roman"/>
                <w:sz w:val="24"/>
                <w:szCs w:val="24"/>
                <w:lang w:val="lv-LV"/>
              </w:rPr>
              <w:t>īdzšinējā prakse</w:t>
            </w:r>
            <w:r w:rsidR="00D91788" w:rsidRPr="00120187">
              <w:rPr>
                <w:rFonts w:ascii="Times New Roman" w:hAnsi="Times New Roman"/>
                <w:sz w:val="24"/>
                <w:szCs w:val="24"/>
                <w:lang w:val="lv-LV"/>
              </w:rPr>
              <w:t xml:space="preserve"> liecina</w:t>
            </w:r>
            <w:r w:rsidR="003A3F4B" w:rsidRPr="00120187">
              <w:rPr>
                <w:rFonts w:ascii="Times New Roman" w:hAnsi="Times New Roman"/>
                <w:sz w:val="24"/>
                <w:szCs w:val="24"/>
                <w:lang w:val="lv-LV"/>
              </w:rPr>
              <w:t>, ka minēt</w:t>
            </w:r>
            <w:r w:rsidR="00120187" w:rsidRPr="00120187">
              <w:rPr>
                <w:rFonts w:ascii="Times New Roman" w:hAnsi="Times New Roman"/>
                <w:sz w:val="24"/>
                <w:szCs w:val="24"/>
                <w:lang w:val="lv-LV"/>
              </w:rPr>
              <w:t>o personu profesionālās zināšanas ugunsdrošības jomā nav pietiekamas, kā rezultātā, iespējams, objektos netiek realizēti ugunsdrošību regulējošajos normatīvajos aktos noteiktie ugunsdrošības pasākumi.</w:t>
            </w:r>
          </w:p>
        </w:tc>
      </w:tr>
      <w:tr w:rsidR="00DA5EB0" w:rsidRPr="00E2627C" w:rsidTr="006B21BD">
        <w:trPr>
          <w:jc w:val="center"/>
        </w:trPr>
        <w:tc>
          <w:tcPr>
            <w:tcW w:w="804" w:type="dxa"/>
          </w:tcPr>
          <w:p w:rsidR="00DA5EB0" w:rsidRPr="00E2627C" w:rsidRDefault="00DA5EB0" w:rsidP="00DA5EB0">
            <w:pPr>
              <w:jc w:val="center"/>
              <w:rPr>
                <w:rFonts w:ascii="Times New Roman" w:hAnsi="Times New Roman"/>
                <w:sz w:val="24"/>
                <w:szCs w:val="24"/>
                <w:lang w:val="lv-LV"/>
              </w:rPr>
            </w:pPr>
            <w:r w:rsidRPr="00E2627C">
              <w:rPr>
                <w:rFonts w:ascii="Times New Roman" w:hAnsi="Times New Roman"/>
                <w:sz w:val="24"/>
                <w:szCs w:val="24"/>
                <w:lang w:val="lv-LV"/>
              </w:rPr>
              <w:t>3.</w:t>
            </w:r>
          </w:p>
        </w:tc>
        <w:tc>
          <w:tcPr>
            <w:tcW w:w="2939" w:type="dxa"/>
          </w:tcPr>
          <w:p w:rsidR="00DA5EB0" w:rsidRPr="00E2627C" w:rsidRDefault="00DA5EB0" w:rsidP="00DA5EB0">
            <w:pPr>
              <w:rPr>
                <w:rFonts w:ascii="Times New Roman" w:hAnsi="Times New Roman"/>
                <w:sz w:val="24"/>
                <w:szCs w:val="24"/>
                <w:lang w:val="lv-LV"/>
              </w:rPr>
            </w:pPr>
            <w:r w:rsidRPr="00E2627C">
              <w:rPr>
                <w:rFonts w:ascii="Times New Roman" w:hAnsi="Times New Roman"/>
                <w:sz w:val="24"/>
                <w:szCs w:val="24"/>
                <w:lang w:val="lv-LV"/>
              </w:rPr>
              <w:t>Cita informācija</w:t>
            </w:r>
          </w:p>
        </w:tc>
        <w:tc>
          <w:tcPr>
            <w:tcW w:w="5545" w:type="dxa"/>
          </w:tcPr>
          <w:p w:rsidR="00DA5EB0" w:rsidRPr="00E2627C" w:rsidRDefault="00DA5EB0" w:rsidP="00DA5EB0">
            <w:pPr>
              <w:rPr>
                <w:rFonts w:ascii="Times New Roman" w:hAnsi="Times New Roman"/>
                <w:sz w:val="24"/>
                <w:szCs w:val="24"/>
                <w:lang w:val="lv-LV"/>
              </w:rPr>
            </w:pPr>
            <w:r w:rsidRPr="00E2627C">
              <w:rPr>
                <w:rFonts w:ascii="Times New Roman" w:hAnsi="Times New Roman"/>
                <w:sz w:val="24"/>
                <w:szCs w:val="24"/>
                <w:lang w:val="lv-LV"/>
              </w:rPr>
              <w:t>Nav</w:t>
            </w:r>
            <w:r w:rsidR="00D56264" w:rsidRPr="00E2627C">
              <w:rPr>
                <w:rFonts w:ascii="Times New Roman" w:hAnsi="Times New Roman"/>
                <w:sz w:val="24"/>
                <w:szCs w:val="24"/>
                <w:lang w:val="lv-LV"/>
              </w:rPr>
              <w:t>.</w:t>
            </w:r>
          </w:p>
        </w:tc>
      </w:tr>
    </w:tbl>
    <w:p w:rsidR="00DA5EB0" w:rsidRDefault="00DA5EB0" w:rsidP="00B1247C">
      <w:pPr>
        <w:tabs>
          <w:tab w:val="right" w:pos="9072"/>
        </w:tabs>
        <w:spacing w:after="0" w:line="240" w:lineRule="auto"/>
        <w:jc w:val="both"/>
        <w:rPr>
          <w:rFonts w:ascii="Times New Roman" w:hAnsi="Times New Roman"/>
          <w:sz w:val="24"/>
          <w:szCs w:val="24"/>
          <w:lang w:val="lv-LV"/>
        </w:rPr>
      </w:pPr>
    </w:p>
    <w:p w:rsidR="000E6958" w:rsidRDefault="000E6958" w:rsidP="00B1247C">
      <w:pPr>
        <w:tabs>
          <w:tab w:val="right" w:pos="9072"/>
        </w:tabs>
        <w:spacing w:after="0" w:line="240" w:lineRule="auto"/>
        <w:jc w:val="both"/>
        <w:rPr>
          <w:rFonts w:ascii="Times New Roman" w:hAnsi="Times New Roman"/>
          <w:sz w:val="24"/>
          <w:szCs w:val="24"/>
          <w:lang w:val="lv-LV"/>
        </w:rPr>
      </w:pPr>
    </w:p>
    <w:p w:rsidR="000E6958" w:rsidRPr="00E2627C" w:rsidRDefault="000E6958" w:rsidP="00B1247C">
      <w:pPr>
        <w:tabs>
          <w:tab w:val="right" w:pos="9072"/>
        </w:tabs>
        <w:spacing w:after="0" w:line="240" w:lineRule="auto"/>
        <w:jc w:val="both"/>
        <w:rPr>
          <w:rFonts w:ascii="Times New Roman" w:hAnsi="Times New Roman"/>
          <w:sz w:val="24"/>
          <w:szCs w:val="24"/>
          <w:lang w:val="lv-LV"/>
        </w:rPr>
      </w:pPr>
    </w:p>
    <w:p w:rsidR="00DA5EB0" w:rsidRPr="00E2627C" w:rsidRDefault="00DA5EB0" w:rsidP="00DA5EB0">
      <w:pPr>
        <w:tabs>
          <w:tab w:val="right" w:pos="9072"/>
        </w:tabs>
        <w:spacing w:after="0"/>
        <w:jc w:val="both"/>
        <w:rPr>
          <w:rFonts w:ascii="Times New Roman" w:hAnsi="Times New Roman"/>
          <w:sz w:val="28"/>
          <w:szCs w:val="28"/>
          <w:lang w:val="lv-LV"/>
        </w:rPr>
      </w:pPr>
      <w:r w:rsidRPr="00E2627C">
        <w:rPr>
          <w:rFonts w:ascii="Times New Roman" w:hAnsi="Times New Roman"/>
          <w:sz w:val="28"/>
          <w:szCs w:val="28"/>
          <w:lang w:val="lv-LV"/>
        </w:rPr>
        <w:lastRenderedPageBreak/>
        <w:t>Iesniedzējs:</w:t>
      </w:r>
    </w:p>
    <w:p w:rsidR="00DA5EB0" w:rsidRPr="00E2627C" w:rsidRDefault="00DA5EB0" w:rsidP="00DA5EB0">
      <w:pPr>
        <w:spacing w:after="0"/>
        <w:jc w:val="both"/>
        <w:rPr>
          <w:rFonts w:ascii="Times New Roman" w:hAnsi="Times New Roman"/>
          <w:sz w:val="28"/>
          <w:szCs w:val="28"/>
          <w:lang w:val="lv-LV"/>
        </w:rPr>
      </w:pPr>
      <w:r w:rsidRPr="00E2627C">
        <w:rPr>
          <w:rFonts w:ascii="Times New Roman" w:hAnsi="Times New Roman"/>
          <w:sz w:val="28"/>
          <w:szCs w:val="28"/>
          <w:lang w:val="lv-LV"/>
        </w:rPr>
        <w:t>Iekšlietu ministrs</w:t>
      </w:r>
      <w:r w:rsidRPr="00E2627C">
        <w:rPr>
          <w:rFonts w:ascii="Times New Roman" w:hAnsi="Times New Roman"/>
          <w:sz w:val="28"/>
          <w:szCs w:val="28"/>
          <w:lang w:val="lv-LV"/>
        </w:rPr>
        <w:tab/>
      </w:r>
      <w:r w:rsidRPr="00E2627C">
        <w:rPr>
          <w:rFonts w:ascii="Times New Roman" w:hAnsi="Times New Roman"/>
          <w:sz w:val="28"/>
          <w:szCs w:val="28"/>
          <w:lang w:val="lv-LV"/>
        </w:rPr>
        <w:tab/>
      </w:r>
      <w:r w:rsidRPr="00E2627C">
        <w:rPr>
          <w:rFonts w:ascii="Times New Roman" w:hAnsi="Times New Roman"/>
          <w:sz w:val="28"/>
          <w:szCs w:val="28"/>
          <w:lang w:val="lv-LV"/>
        </w:rPr>
        <w:tab/>
      </w:r>
      <w:r w:rsidRPr="00E2627C">
        <w:rPr>
          <w:rFonts w:ascii="Times New Roman" w:hAnsi="Times New Roman"/>
          <w:sz w:val="28"/>
          <w:szCs w:val="28"/>
          <w:lang w:val="lv-LV"/>
        </w:rPr>
        <w:tab/>
      </w:r>
      <w:r w:rsidRPr="00E2627C">
        <w:rPr>
          <w:rFonts w:ascii="Times New Roman" w:hAnsi="Times New Roman"/>
          <w:sz w:val="28"/>
          <w:szCs w:val="28"/>
          <w:lang w:val="lv-LV"/>
        </w:rPr>
        <w:tab/>
      </w:r>
      <w:r w:rsidRPr="00E2627C">
        <w:rPr>
          <w:rFonts w:ascii="Times New Roman" w:hAnsi="Times New Roman"/>
          <w:sz w:val="28"/>
          <w:szCs w:val="28"/>
          <w:lang w:val="lv-LV"/>
        </w:rPr>
        <w:tab/>
      </w:r>
      <w:r w:rsidRPr="00E2627C">
        <w:rPr>
          <w:rFonts w:ascii="Times New Roman" w:hAnsi="Times New Roman"/>
          <w:sz w:val="28"/>
          <w:szCs w:val="28"/>
          <w:lang w:val="lv-LV"/>
        </w:rPr>
        <w:tab/>
        <w:t>R.Kozlovskis</w:t>
      </w:r>
    </w:p>
    <w:p w:rsidR="00DA5EB0" w:rsidRPr="00E2627C" w:rsidRDefault="00DA5EB0" w:rsidP="00DA5EB0">
      <w:pPr>
        <w:tabs>
          <w:tab w:val="left" w:pos="6521"/>
        </w:tabs>
        <w:spacing w:after="0" w:line="240" w:lineRule="auto"/>
        <w:jc w:val="both"/>
        <w:rPr>
          <w:rFonts w:ascii="Times New Roman" w:hAnsi="Times New Roman"/>
          <w:sz w:val="28"/>
          <w:szCs w:val="28"/>
          <w:lang w:val="lv-LV"/>
        </w:rPr>
      </w:pPr>
    </w:p>
    <w:p w:rsidR="00DA5EB0" w:rsidRPr="00E2627C" w:rsidRDefault="00DA5EB0" w:rsidP="00DA5EB0">
      <w:pPr>
        <w:tabs>
          <w:tab w:val="left" w:pos="6521"/>
        </w:tabs>
        <w:jc w:val="both"/>
        <w:rPr>
          <w:rFonts w:ascii="Times New Roman" w:hAnsi="Times New Roman"/>
          <w:sz w:val="28"/>
          <w:szCs w:val="28"/>
          <w:lang w:val="lv-LV"/>
        </w:rPr>
      </w:pPr>
      <w:r w:rsidRPr="00E2627C">
        <w:rPr>
          <w:rFonts w:ascii="Times New Roman" w:hAnsi="Times New Roman"/>
          <w:sz w:val="28"/>
          <w:szCs w:val="28"/>
          <w:lang w:val="lv-LV"/>
        </w:rPr>
        <w:t>Vīza: valsts sekretāre</w:t>
      </w:r>
      <w:r w:rsidRPr="00E2627C">
        <w:rPr>
          <w:rFonts w:ascii="Times New Roman" w:hAnsi="Times New Roman"/>
          <w:sz w:val="28"/>
          <w:szCs w:val="28"/>
          <w:lang w:val="lv-LV"/>
        </w:rPr>
        <w:tab/>
        <w:t>I.Pētersone-Godmane</w:t>
      </w:r>
    </w:p>
    <w:p w:rsidR="002246D5" w:rsidRDefault="002246D5" w:rsidP="00DA5EB0">
      <w:pPr>
        <w:pStyle w:val="naisf"/>
        <w:tabs>
          <w:tab w:val="left" w:pos="2091"/>
        </w:tabs>
        <w:spacing w:before="0" w:beforeAutospacing="0" w:after="0" w:afterAutospacing="0"/>
        <w:rPr>
          <w:sz w:val="20"/>
          <w:szCs w:val="20"/>
        </w:rPr>
      </w:pPr>
    </w:p>
    <w:p w:rsidR="000E6958" w:rsidRDefault="000E6958" w:rsidP="00DA5EB0">
      <w:pPr>
        <w:pStyle w:val="naisf"/>
        <w:tabs>
          <w:tab w:val="left" w:pos="2091"/>
        </w:tabs>
        <w:spacing w:before="0" w:beforeAutospacing="0" w:after="0" w:afterAutospacing="0"/>
        <w:rPr>
          <w:sz w:val="20"/>
          <w:szCs w:val="20"/>
        </w:rPr>
      </w:pPr>
    </w:p>
    <w:p w:rsidR="000E6958" w:rsidRDefault="000E6958" w:rsidP="00DA5EB0">
      <w:pPr>
        <w:pStyle w:val="naisf"/>
        <w:tabs>
          <w:tab w:val="left" w:pos="2091"/>
        </w:tabs>
        <w:spacing w:before="0" w:beforeAutospacing="0" w:after="0" w:afterAutospacing="0"/>
        <w:rPr>
          <w:sz w:val="20"/>
          <w:szCs w:val="20"/>
        </w:rPr>
      </w:pPr>
    </w:p>
    <w:p w:rsidR="000E6958" w:rsidRDefault="000E6958" w:rsidP="00DA5EB0">
      <w:pPr>
        <w:pStyle w:val="naisf"/>
        <w:tabs>
          <w:tab w:val="left" w:pos="2091"/>
        </w:tabs>
        <w:spacing w:before="0" w:beforeAutospacing="0" w:after="0" w:afterAutospacing="0"/>
        <w:rPr>
          <w:sz w:val="20"/>
          <w:szCs w:val="20"/>
        </w:rPr>
      </w:pPr>
    </w:p>
    <w:p w:rsidR="000E6958" w:rsidRDefault="000E6958" w:rsidP="00DA5EB0">
      <w:pPr>
        <w:pStyle w:val="naisf"/>
        <w:tabs>
          <w:tab w:val="left" w:pos="2091"/>
        </w:tabs>
        <w:spacing w:before="0" w:beforeAutospacing="0" w:after="0" w:afterAutospacing="0"/>
        <w:rPr>
          <w:sz w:val="20"/>
          <w:szCs w:val="20"/>
        </w:rPr>
      </w:pPr>
    </w:p>
    <w:p w:rsidR="000E6958" w:rsidRDefault="000E6958" w:rsidP="00DA5EB0">
      <w:pPr>
        <w:pStyle w:val="naisf"/>
        <w:tabs>
          <w:tab w:val="left" w:pos="2091"/>
        </w:tabs>
        <w:spacing w:before="0" w:beforeAutospacing="0" w:after="0" w:afterAutospacing="0"/>
        <w:rPr>
          <w:sz w:val="20"/>
          <w:szCs w:val="20"/>
        </w:rPr>
      </w:pPr>
    </w:p>
    <w:p w:rsidR="000E6958" w:rsidRDefault="000E6958" w:rsidP="00DA5EB0">
      <w:pPr>
        <w:pStyle w:val="naisf"/>
        <w:tabs>
          <w:tab w:val="left" w:pos="2091"/>
        </w:tabs>
        <w:spacing w:before="0" w:beforeAutospacing="0" w:after="0" w:afterAutospacing="0"/>
        <w:rPr>
          <w:sz w:val="20"/>
          <w:szCs w:val="20"/>
        </w:rPr>
      </w:pPr>
    </w:p>
    <w:p w:rsidR="000E6958" w:rsidRDefault="000E6958" w:rsidP="00DA5EB0">
      <w:pPr>
        <w:pStyle w:val="naisf"/>
        <w:tabs>
          <w:tab w:val="left" w:pos="2091"/>
        </w:tabs>
        <w:spacing w:before="0" w:beforeAutospacing="0" w:after="0" w:afterAutospacing="0"/>
        <w:rPr>
          <w:sz w:val="20"/>
          <w:szCs w:val="20"/>
        </w:rPr>
      </w:pPr>
    </w:p>
    <w:p w:rsidR="000E6958" w:rsidRDefault="000E6958" w:rsidP="00DA5EB0">
      <w:pPr>
        <w:pStyle w:val="naisf"/>
        <w:tabs>
          <w:tab w:val="left" w:pos="2091"/>
        </w:tabs>
        <w:spacing w:before="0" w:beforeAutospacing="0" w:after="0" w:afterAutospacing="0"/>
        <w:rPr>
          <w:sz w:val="20"/>
          <w:szCs w:val="20"/>
        </w:rPr>
      </w:pPr>
    </w:p>
    <w:p w:rsidR="000E6958" w:rsidRDefault="000E6958" w:rsidP="00DA5EB0">
      <w:pPr>
        <w:pStyle w:val="naisf"/>
        <w:tabs>
          <w:tab w:val="left" w:pos="2091"/>
        </w:tabs>
        <w:spacing w:before="0" w:beforeAutospacing="0" w:after="0" w:afterAutospacing="0"/>
        <w:rPr>
          <w:sz w:val="20"/>
          <w:szCs w:val="20"/>
        </w:rPr>
      </w:pPr>
    </w:p>
    <w:p w:rsidR="000E6958" w:rsidRDefault="000E6958" w:rsidP="00DA5EB0">
      <w:pPr>
        <w:pStyle w:val="naisf"/>
        <w:tabs>
          <w:tab w:val="left" w:pos="2091"/>
        </w:tabs>
        <w:spacing w:before="0" w:beforeAutospacing="0" w:after="0" w:afterAutospacing="0"/>
        <w:rPr>
          <w:sz w:val="20"/>
          <w:szCs w:val="20"/>
        </w:rPr>
      </w:pPr>
    </w:p>
    <w:p w:rsidR="000E6958" w:rsidRDefault="000E6958" w:rsidP="00DA5EB0">
      <w:pPr>
        <w:pStyle w:val="naisf"/>
        <w:tabs>
          <w:tab w:val="left" w:pos="2091"/>
        </w:tabs>
        <w:spacing w:before="0" w:beforeAutospacing="0" w:after="0" w:afterAutospacing="0"/>
        <w:rPr>
          <w:sz w:val="20"/>
          <w:szCs w:val="20"/>
        </w:rPr>
      </w:pPr>
    </w:p>
    <w:p w:rsidR="000E6958" w:rsidRDefault="000E6958" w:rsidP="00DA5EB0">
      <w:pPr>
        <w:pStyle w:val="naisf"/>
        <w:tabs>
          <w:tab w:val="left" w:pos="2091"/>
        </w:tabs>
        <w:spacing w:before="0" w:beforeAutospacing="0" w:after="0" w:afterAutospacing="0"/>
        <w:rPr>
          <w:sz w:val="20"/>
          <w:szCs w:val="20"/>
        </w:rPr>
      </w:pPr>
    </w:p>
    <w:p w:rsidR="000E6958" w:rsidRDefault="000E6958" w:rsidP="00DA5EB0">
      <w:pPr>
        <w:pStyle w:val="naisf"/>
        <w:tabs>
          <w:tab w:val="left" w:pos="2091"/>
        </w:tabs>
        <w:spacing w:before="0" w:beforeAutospacing="0" w:after="0" w:afterAutospacing="0"/>
        <w:rPr>
          <w:sz w:val="20"/>
          <w:szCs w:val="20"/>
        </w:rPr>
      </w:pPr>
    </w:p>
    <w:p w:rsidR="000E6958" w:rsidRDefault="000E6958" w:rsidP="00DA5EB0">
      <w:pPr>
        <w:pStyle w:val="naisf"/>
        <w:tabs>
          <w:tab w:val="left" w:pos="2091"/>
        </w:tabs>
        <w:spacing w:before="0" w:beforeAutospacing="0" w:after="0" w:afterAutospacing="0"/>
        <w:rPr>
          <w:sz w:val="20"/>
          <w:szCs w:val="20"/>
        </w:rPr>
      </w:pPr>
    </w:p>
    <w:p w:rsidR="000E6958" w:rsidRDefault="000E6958" w:rsidP="00DA5EB0">
      <w:pPr>
        <w:pStyle w:val="naisf"/>
        <w:tabs>
          <w:tab w:val="left" w:pos="2091"/>
        </w:tabs>
        <w:spacing w:before="0" w:beforeAutospacing="0" w:after="0" w:afterAutospacing="0"/>
        <w:rPr>
          <w:sz w:val="20"/>
          <w:szCs w:val="20"/>
        </w:rPr>
      </w:pPr>
    </w:p>
    <w:p w:rsidR="000E6958" w:rsidRDefault="000E6958" w:rsidP="00DA5EB0">
      <w:pPr>
        <w:pStyle w:val="naisf"/>
        <w:tabs>
          <w:tab w:val="left" w:pos="2091"/>
        </w:tabs>
        <w:spacing w:before="0" w:beforeAutospacing="0" w:after="0" w:afterAutospacing="0"/>
        <w:rPr>
          <w:sz w:val="20"/>
          <w:szCs w:val="20"/>
        </w:rPr>
      </w:pPr>
    </w:p>
    <w:p w:rsidR="000E6958" w:rsidRDefault="000E6958" w:rsidP="00DA5EB0">
      <w:pPr>
        <w:pStyle w:val="naisf"/>
        <w:tabs>
          <w:tab w:val="left" w:pos="2091"/>
        </w:tabs>
        <w:spacing w:before="0" w:beforeAutospacing="0" w:after="0" w:afterAutospacing="0"/>
        <w:rPr>
          <w:sz w:val="20"/>
          <w:szCs w:val="20"/>
        </w:rPr>
      </w:pPr>
    </w:p>
    <w:p w:rsidR="000E6958" w:rsidRDefault="000E6958" w:rsidP="00DA5EB0">
      <w:pPr>
        <w:pStyle w:val="naisf"/>
        <w:tabs>
          <w:tab w:val="left" w:pos="2091"/>
        </w:tabs>
        <w:spacing w:before="0" w:beforeAutospacing="0" w:after="0" w:afterAutospacing="0"/>
        <w:rPr>
          <w:sz w:val="20"/>
          <w:szCs w:val="20"/>
        </w:rPr>
      </w:pPr>
    </w:p>
    <w:p w:rsidR="000E6958" w:rsidRDefault="000E6958" w:rsidP="00DA5EB0">
      <w:pPr>
        <w:pStyle w:val="naisf"/>
        <w:tabs>
          <w:tab w:val="left" w:pos="2091"/>
        </w:tabs>
        <w:spacing w:before="0" w:beforeAutospacing="0" w:after="0" w:afterAutospacing="0"/>
        <w:rPr>
          <w:sz w:val="20"/>
          <w:szCs w:val="20"/>
        </w:rPr>
      </w:pPr>
    </w:p>
    <w:p w:rsidR="000E6958" w:rsidRDefault="000E6958" w:rsidP="00DA5EB0">
      <w:pPr>
        <w:pStyle w:val="naisf"/>
        <w:tabs>
          <w:tab w:val="left" w:pos="2091"/>
        </w:tabs>
        <w:spacing w:before="0" w:beforeAutospacing="0" w:after="0" w:afterAutospacing="0"/>
        <w:rPr>
          <w:sz w:val="20"/>
          <w:szCs w:val="20"/>
        </w:rPr>
      </w:pPr>
    </w:p>
    <w:p w:rsidR="000E6958" w:rsidRDefault="000E6958" w:rsidP="00DA5EB0">
      <w:pPr>
        <w:pStyle w:val="naisf"/>
        <w:tabs>
          <w:tab w:val="left" w:pos="2091"/>
        </w:tabs>
        <w:spacing w:before="0" w:beforeAutospacing="0" w:after="0" w:afterAutospacing="0"/>
        <w:rPr>
          <w:sz w:val="20"/>
          <w:szCs w:val="20"/>
        </w:rPr>
      </w:pPr>
    </w:p>
    <w:p w:rsidR="000E6958" w:rsidRDefault="000E6958" w:rsidP="00DA5EB0">
      <w:pPr>
        <w:pStyle w:val="naisf"/>
        <w:tabs>
          <w:tab w:val="left" w:pos="2091"/>
        </w:tabs>
        <w:spacing w:before="0" w:beforeAutospacing="0" w:after="0" w:afterAutospacing="0"/>
        <w:rPr>
          <w:sz w:val="20"/>
          <w:szCs w:val="20"/>
        </w:rPr>
      </w:pPr>
    </w:p>
    <w:p w:rsidR="000E6958" w:rsidRDefault="000E6958" w:rsidP="00DA5EB0">
      <w:pPr>
        <w:pStyle w:val="naisf"/>
        <w:tabs>
          <w:tab w:val="left" w:pos="2091"/>
        </w:tabs>
        <w:spacing w:before="0" w:beforeAutospacing="0" w:after="0" w:afterAutospacing="0"/>
        <w:rPr>
          <w:sz w:val="20"/>
          <w:szCs w:val="20"/>
        </w:rPr>
      </w:pPr>
    </w:p>
    <w:p w:rsidR="000E6958" w:rsidRDefault="000E6958" w:rsidP="00DA5EB0">
      <w:pPr>
        <w:pStyle w:val="naisf"/>
        <w:tabs>
          <w:tab w:val="left" w:pos="2091"/>
        </w:tabs>
        <w:spacing w:before="0" w:beforeAutospacing="0" w:after="0" w:afterAutospacing="0"/>
        <w:rPr>
          <w:sz w:val="20"/>
          <w:szCs w:val="20"/>
        </w:rPr>
      </w:pPr>
    </w:p>
    <w:p w:rsidR="000E6958" w:rsidRDefault="000E6958" w:rsidP="00DA5EB0">
      <w:pPr>
        <w:pStyle w:val="naisf"/>
        <w:tabs>
          <w:tab w:val="left" w:pos="2091"/>
        </w:tabs>
        <w:spacing w:before="0" w:beforeAutospacing="0" w:after="0" w:afterAutospacing="0"/>
        <w:rPr>
          <w:sz w:val="20"/>
          <w:szCs w:val="20"/>
        </w:rPr>
      </w:pPr>
    </w:p>
    <w:p w:rsidR="000E6958" w:rsidRDefault="000E6958" w:rsidP="00DA5EB0">
      <w:pPr>
        <w:pStyle w:val="naisf"/>
        <w:tabs>
          <w:tab w:val="left" w:pos="2091"/>
        </w:tabs>
        <w:spacing w:before="0" w:beforeAutospacing="0" w:after="0" w:afterAutospacing="0"/>
        <w:rPr>
          <w:sz w:val="20"/>
          <w:szCs w:val="20"/>
        </w:rPr>
      </w:pPr>
    </w:p>
    <w:p w:rsidR="000E6958" w:rsidRDefault="000E6958" w:rsidP="00DA5EB0">
      <w:pPr>
        <w:pStyle w:val="naisf"/>
        <w:tabs>
          <w:tab w:val="left" w:pos="2091"/>
        </w:tabs>
        <w:spacing w:before="0" w:beforeAutospacing="0" w:after="0" w:afterAutospacing="0"/>
        <w:rPr>
          <w:sz w:val="20"/>
          <w:szCs w:val="20"/>
        </w:rPr>
      </w:pPr>
    </w:p>
    <w:p w:rsidR="000E6958" w:rsidRDefault="000E6958" w:rsidP="00DA5EB0">
      <w:pPr>
        <w:pStyle w:val="naisf"/>
        <w:tabs>
          <w:tab w:val="left" w:pos="2091"/>
        </w:tabs>
        <w:spacing w:before="0" w:beforeAutospacing="0" w:after="0" w:afterAutospacing="0"/>
        <w:rPr>
          <w:sz w:val="20"/>
          <w:szCs w:val="20"/>
        </w:rPr>
      </w:pPr>
    </w:p>
    <w:p w:rsidR="000E6958" w:rsidRDefault="000E6958" w:rsidP="00DA5EB0">
      <w:pPr>
        <w:pStyle w:val="naisf"/>
        <w:tabs>
          <w:tab w:val="left" w:pos="2091"/>
        </w:tabs>
        <w:spacing w:before="0" w:beforeAutospacing="0" w:after="0" w:afterAutospacing="0"/>
        <w:rPr>
          <w:sz w:val="20"/>
          <w:szCs w:val="20"/>
        </w:rPr>
      </w:pPr>
    </w:p>
    <w:p w:rsidR="000E6958" w:rsidRDefault="000E6958" w:rsidP="00DA5EB0">
      <w:pPr>
        <w:pStyle w:val="naisf"/>
        <w:tabs>
          <w:tab w:val="left" w:pos="2091"/>
        </w:tabs>
        <w:spacing w:before="0" w:beforeAutospacing="0" w:after="0" w:afterAutospacing="0"/>
        <w:rPr>
          <w:sz w:val="20"/>
          <w:szCs w:val="20"/>
        </w:rPr>
      </w:pPr>
    </w:p>
    <w:p w:rsidR="000E6958" w:rsidRDefault="000E6958" w:rsidP="00DA5EB0">
      <w:pPr>
        <w:pStyle w:val="naisf"/>
        <w:tabs>
          <w:tab w:val="left" w:pos="2091"/>
        </w:tabs>
        <w:spacing w:before="0" w:beforeAutospacing="0" w:after="0" w:afterAutospacing="0"/>
        <w:rPr>
          <w:sz w:val="20"/>
          <w:szCs w:val="20"/>
        </w:rPr>
      </w:pPr>
    </w:p>
    <w:p w:rsidR="000E6958" w:rsidRDefault="000E6958" w:rsidP="00DA5EB0">
      <w:pPr>
        <w:pStyle w:val="naisf"/>
        <w:tabs>
          <w:tab w:val="left" w:pos="2091"/>
        </w:tabs>
        <w:spacing w:before="0" w:beforeAutospacing="0" w:after="0" w:afterAutospacing="0"/>
        <w:rPr>
          <w:sz w:val="20"/>
          <w:szCs w:val="20"/>
        </w:rPr>
      </w:pPr>
    </w:p>
    <w:p w:rsidR="000E6958" w:rsidRDefault="000E6958" w:rsidP="00DA5EB0">
      <w:pPr>
        <w:pStyle w:val="naisf"/>
        <w:tabs>
          <w:tab w:val="left" w:pos="2091"/>
        </w:tabs>
        <w:spacing w:before="0" w:beforeAutospacing="0" w:after="0" w:afterAutospacing="0"/>
        <w:rPr>
          <w:sz w:val="20"/>
          <w:szCs w:val="20"/>
        </w:rPr>
      </w:pPr>
    </w:p>
    <w:p w:rsidR="000E6958" w:rsidRDefault="000E6958" w:rsidP="00DA5EB0">
      <w:pPr>
        <w:pStyle w:val="naisf"/>
        <w:tabs>
          <w:tab w:val="left" w:pos="2091"/>
        </w:tabs>
        <w:spacing w:before="0" w:beforeAutospacing="0" w:after="0" w:afterAutospacing="0"/>
        <w:rPr>
          <w:sz w:val="20"/>
          <w:szCs w:val="20"/>
        </w:rPr>
      </w:pPr>
    </w:p>
    <w:p w:rsidR="000E6958" w:rsidRDefault="000E6958" w:rsidP="00DA5EB0">
      <w:pPr>
        <w:pStyle w:val="naisf"/>
        <w:tabs>
          <w:tab w:val="left" w:pos="2091"/>
        </w:tabs>
        <w:spacing w:before="0" w:beforeAutospacing="0" w:after="0" w:afterAutospacing="0"/>
        <w:rPr>
          <w:sz w:val="20"/>
          <w:szCs w:val="20"/>
        </w:rPr>
      </w:pPr>
    </w:p>
    <w:p w:rsidR="000E6958" w:rsidRDefault="000E6958" w:rsidP="00DA5EB0">
      <w:pPr>
        <w:pStyle w:val="naisf"/>
        <w:tabs>
          <w:tab w:val="left" w:pos="2091"/>
        </w:tabs>
        <w:spacing w:before="0" w:beforeAutospacing="0" w:after="0" w:afterAutospacing="0"/>
        <w:rPr>
          <w:sz w:val="20"/>
          <w:szCs w:val="20"/>
        </w:rPr>
      </w:pPr>
    </w:p>
    <w:p w:rsidR="000E6958" w:rsidRDefault="000E6958" w:rsidP="00DA5EB0">
      <w:pPr>
        <w:pStyle w:val="naisf"/>
        <w:tabs>
          <w:tab w:val="left" w:pos="2091"/>
        </w:tabs>
        <w:spacing w:before="0" w:beforeAutospacing="0" w:after="0" w:afterAutospacing="0"/>
        <w:rPr>
          <w:sz w:val="20"/>
          <w:szCs w:val="20"/>
        </w:rPr>
      </w:pPr>
    </w:p>
    <w:p w:rsidR="000E6958" w:rsidRDefault="000E6958" w:rsidP="00DA5EB0">
      <w:pPr>
        <w:pStyle w:val="naisf"/>
        <w:tabs>
          <w:tab w:val="left" w:pos="2091"/>
        </w:tabs>
        <w:spacing w:before="0" w:beforeAutospacing="0" w:after="0" w:afterAutospacing="0"/>
        <w:rPr>
          <w:sz w:val="20"/>
          <w:szCs w:val="20"/>
        </w:rPr>
      </w:pPr>
    </w:p>
    <w:p w:rsidR="000E6958" w:rsidRDefault="000E6958" w:rsidP="00DA5EB0">
      <w:pPr>
        <w:pStyle w:val="naisf"/>
        <w:tabs>
          <w:tab w:val="left" w:pos="2091"/>
        </w:tabs>
        <w:spacing w:before="0" w:beforeAutospacing="0" w:after="0" w:afterAutospacing="0"/>
        <w:rPr>
          <w:sz w:val="20"/>
          <w:szCs w:val="20"/>
        </w:rPr>
      </w:pPr>
    </w:p>
    <w:p w:rsidR="000E6958" w:rsidRDefault="000E6958" w:rsidP="00DA5EB0">
      <w:pPr>
        <w:pStyle w:val="naisf"/>
        <w:tabs>
          <w:tab w:val="left" w:pos="2091"/>
        </w:tabs>
        <w:spacing w:before="0" w:beforeAutospacing="0" w:after="0" w:afterAutospacing="0"/>
        <w:rPr>
          <w:sz w:val="20"/>
          <w:szCs w:val="20"/>
        </w:rPr>
      </w:pPr>
    </w:p>
    <w:p w:rsidR="000E6958" w:rsidRDefault="000E6958" w:rsidP="00DA5EB0">
      <w:pPr>
        <w:pStyle w:val="naisf"/>
        <w:tabs>
          <w:tab w:val="left" w:pos="2091"/>
        </w:tabs>
        <w:spacing w:before="0" w:beforeAutospacing="0" w:after="0" w:afterAutospacing="0"/>
        <w:rPr>
          <w:sz w:val="20"/>
          <w:szCs w:val="20"/>
        </w:rPr>
      </w:pPr>
    </w:p>
    <w:p w:rsidR="000E6958" w:rsidRDefault="000E6958" w:rsidP="00DA5EB0">
      <w:pPr>
        <w:pStyle w:val="naisf"/>
        <w:tabs>
          <w:tab w:val="left" w:pos="2091"/>
        </w:tabs>
        <w:spacing w:before="0" w:beforeAutospacing="0" w:after="0" w:afterAutospacing="0"/>
        <w:rPr>
          <w:sz w:val="20"/>
          <w:szCs w:val="20"/>
        </w:rPr>
      </w:pPr>
    </w:p>
    <w:p w:rsidR="000E6958" w:rsidRDefault="000E6958" w:rsidP="00DA5EB0">
      <w:pPr>
        <w:pStyle w:val="naisf"/>
        <w:tabs>
          <w:tab w:val="left" w:pos="2091"/>
        </w:tabs>
        <w:spacing w:before="0" w:beforeAutospacing="0" w:after="0" w:afterAutospacing="0"/>
        <w:rPr>
          <w:sz w:val="20"/>
          <w:szCs w:val="20"/>
        </w:rPr>
      </w:pPr>
    </w:p>
    <w:p w:rsidR="000E6958" w:rsidRDefault="000E6958" w:rsidP="00DA5EB0">
      <w:pPr>
        <w:pStyle w:val="naisf"/>
        <w:tabs>
          <w:tab w:val="left" w:pos="2091"/>
        </w:tabs>
        <w:spacing w:before="0" w:beforeAutospacing="0" w:after="0" w:afterAutospacing="0"/>
        <w:rPr>
          <w:sz w:val="20"/>
          <w:szCs w:val="20"/>
        </w:rPr>
      </w:pPr>
    </w:p>
    <w:p w:rsidR="000E6958" w:rsidRDefault="000E6958" w:rsidP="00DA5EB0">
      <w:pPr>
        <w:pStyle w:val="naisf"/>
        <w:tabs>
          <w:tab w:val="left" w:pos="2091"/>
        </w:tabs>
        <w:spacing w:before="0" w:beforeAutospacing="0" w:after="0" w:afterAutospacing="0"/>
        <w:rPr>
          <w:sz w:val="20"/>
          <w:szCs w:val="20"/>
        </w:rPr>
      </w:pPr>
    </w:p>
    <w:bookmarkStart w:id="0" w:name="_GoBack"/>
    <w:p w:rsidR="00DA5EB0" w:rsidRPr="00E2627C" w:rsidRDefault="00DA5EB0" w:rsidP="00DA5EB0">
      <w:pPr>
        <w:pStyle w:val="naisf"/>
        <w:tabs>
          <w:tab w:val="left" w:pos="2091"/>
        </w:tabs>
        <w:spacing w:before="0" w:beforeAutospacing="0" w:after="0" w:afterAutospacing="0"/>
        <w:rPr>
          <w:sz w:val="20"/>
          <w:szCs w:val="20"/>
        </w:rPr>
      </w:pPr>
      <w:r w:rsidRPr="00E2627C">
        <w:rPr>
          <w:sz w:val="20"/>
          <w:szCs w:val="20"/>
        </w:rPr>
        <w:fldChar w:fldCharType="begin"/>
      </w:r>
      <w:r w:rsidRPr="00E2627C">
        <w:rPr>
          <w:sz w:val="20"/>
          <w:szCs w:val="20"/>
        </w:rPr>
        <w:instrText xml:space="preserve"> TIME \@ "dd.MM.yyyy H:mm" </w:instrText>
      </w:r>
      <w:r w:rsidRPr="00E2627C">
        <w:rPr>
          <w:sz w:val="20"/>
          <w:szCs w:val="20"/>
        </w:rPr>
        <w:fldChar w:fldCharType="separate"/>
      </w:r>
      <w:r w:rsidR="000978C6">
        <w:rPr>
          <w:noProof/>
          <w:sz w:val="20"/>
          <w:szCs w:val="20"/>
        </w:rPr>
        <w:t>15.02.2017 13:33</w:t>
      </w:r>
      <w:r w:rsidRPr="00E2627C">
        <w:rPr>
          <w:sz w:val="20"/>
          <w:szCs w:val="20"/>
        </w:rPr>
        <w:fldChar w:fldCharType="end"/>
      </w:r>
    </w:p>
    <w:p w:rsidR="00DA5EB0" w:rsidRPr="00E2627C" w:rsidRDefault="002B24B8" w:rsidP="00DA5EB0">
      <w:pPr>
        <w:spacing w:after="0" w:line="240" w:lineRule="auto"/>
        <w:jc w:val="both"/>
        <w:rPr>
          <w:rFonts w:ascii="Times New Roman" w:hAnsi="Times New Roman"/>
          <w:sz w:val="20"/>
          <w:szCs w:val="20"/>
          <w:lang w:val="lv-LV"/>
        </w:rPr>
      </w:pPr>
      <w:r w:rsidRPr="00E2627C">
        <w:rPr>
          <w:lang w:val="lv-LV"/>
        </w:rPr>
        <w:fldChar w:fldCharType="begin"/>
      </w:r>
      <w:r w:rsidRPr="00E2627C">
        <w:rPr>
          <w:lang w:val="lv-LV"/>
        </w:rPr>
        <w:instrText xml:space="preserve"> NUMWORDS   \* MERGEFORMAT </w:instrText>
      </w:r>
      <w:r w:rsidRPr="00E2627C">
        <w:rPr>
          <w:lang w:val="lv-LV"/>
        </w:rPr>
        <w:fldChar w:fldCharType="separate"/>
      </w:r>
      <w:r w:rsidR="000978C6" w:rsidRPr="000978C6">
        <w:rPr>
          <w:rFonts w:ascii="Times New Roman" w:hAnsi="Times New Roman"/>
          <w:noProof/>
          <w:sz w:val="20"/>
          <w:szCs w:val="20"/>
          <w:lang w:val="lv-LV"/>
        </w:rPr>
        <w:t>2992</w:t>
      </w:r>
      <w:r w:rsidRPr="00E2627C">
        <w:rPr>
          <w:rFonts w:ascii="Times New Roman" w:hAnsi="Times New Roman"/>
          <w:sz w:val="20"/>
          <w:szCs w:val="20"/>
          <w:lang w:val="lv-LV"/>
        </w:rPr>
        <w:fldChar w:fldCharType="end"/>
      </w:r>
    </w:p>
    <w:bookmarkEnd w:id="0"/>
    <w:p w:rsidR="003E394C" w:rsidRPr="00E2627C" w:rsidRDefault="00DA5EB0" w:rsidP="00DA5EB0">
      <w:pPr>
        <w:spacing w:after="0" w:line="240" w:lineRule="auto"/>
        <w:rPr>
          <w:rFonts w:ascii="Times New Roman" w:hAnsi="Times New Roman"/>
          <w:sz w:val="20"/>
          <w:szCs w:val="20"/>
          <w:lang w:val="lv-LV"/>
        </w:rPr>
      </w:pPr>
      <w:r w:rsidRPr="00E2627C">
        <w:rPr>
          <w:rFonts w:ascii="Times New Roman" w:hAnsi="Times New Roman"/>
          <w:sz w:val="20"/>
          <w:szCs w:val="20"/>
          <w:lang w:val="lv-LV"/>
        </w:rPr>
        <w:t>G.Nikitina</w:t>
      </w:r>
      <w:r w:rsidR="00120187">
        <w:rPr>
          <w:rFonts w:ascii="Times New Roman" w:hAnsi="Times New Roman"/>
          <w:sz w:val="20"/>
          <w:szCs w:val="20"/>
          <w:lang w:val="lv-LV"/>
        </w:rPr>
        <w:t xml:space="preserve"> </w:t>
      </w:r>
    </w:p>
    <w:p w:rsidR="00DA5EB0" w:rsidRPr="00E2627C" w:rsidRDefault="003957B4" w:rsidP="00DA5EB0">
      <w:pPr>
        <w:spacing w:after="0" w:line="240" w:lineRule="auto"/>
        <w:rPr>
          <w:rFonts w:ascii="Times New Roman" w:hAnsi="Times New Roman"/>
          <w:sz w:val="20"/>
          <w:szCs w:val="20"/>
          <w:lang w:val="lv-LV"/>
        </w:rPr>
      </w:pPr>
      <w:r>
        <w:rPr>
          <w:rFonts w:ascii="Times New Roman" w:hAnsi="Times New Roman"/>
          <w:sz w:val="20"/>
          <w:szCs w:val="20"/>
          <w:lang w:val="lv-LV"/>
        </w:rPr>
        <w:t xml:space="preserve">67075931, </w:t>
      </w:r>
      <w:hyperlink r:id="rId10" w:history="1">
        <w:r w:rsidR="009E5491" w:rsidRPr="00E2627C">
          <w:rPr>
            <w:rStyle w:val="Hipersaite"/>
            <w:rFonts w:ascii="Times New Roman" w:hAnsi="Times New Roman"/>
            <w:sz w:val="20"/>
            <w:szCs w:val="20"/>
            <w:lang w:val="lv-LV"/>
          </w:rPr>
          <w:t>gunita.nikitina@vugd.gov.lv</w:t>
        </w:r>
      </w:hyperlink>
    </w:p>
    <w:p w:rsidR="009E5491" w:rsidRPr="00E2627C" w:rsidRDefault="009E5491" w:rsidP="00DA5EB0">
      <w:pPr>
        <w:spacing w:after="0" w:line="240" w:lineRule="auto"/>
        <w:rPr>
          <w:rFonts w:ascii="Times New Roman" w:hAnsi="Times New Roman"/>
          <w:sz w:val="20"/>
          <w:szCs w:val="20"/>
          <w:lang w:val="lv-LV"/>
        </w:rPr>
      </w:pPr>
    </w:p>
    <w:p w:rsidR="009E5491" w:rsidRPr="00E2627C" w:rsidRDefault="009E5491" w:rsidP="00DA5EB0">
      <w:pPr>
        <w:spacing w:after="0" w:line="240" w:lineRule="auto"/>
        <w:rPr>
          <w:rFonts w:ascii="Times New Roman" w:hAnsi="Times New Roman"/>
          <w:sz w:val="20"/>
          <w:szCs w:val="20"/>
          <w:lang w:val="lv-LV"/>
        </w:rPr>
      </w:pPr>
      <w:r w:rsidRPr="00E2627C">
        <w:rPr>
          <w:rFonts w:ascii="Times New Roman" w:hAnsi="Times New Roman"/>
          <w:sz w:val="20"/>
          <w:szCs w:val="20"/>
          <w:lang w:val="lv-LV"/>
        </w:rPr>
        <w:t>Ž.Ilsters</w:t>
      </w:r>
      <w:r w:rsidR="00120187">
        <w:rPr>
          <w:rFonts w:ascii="Times New Roman" w:hAnsi="Times New Roman"/>
          <w:sz w:val="20"/>
          <w:szCs w:val="20"/>
          <w:lang w:val="lv-LV"/>
        </w:rPr>
        <w:t xml:space="preserve"> </w:t>
      </w:r>
    </w:p>
    <w:p w:rsidR="009E5491" w:rsidRPr="00E2627C" w:rsidRDefault="003957B4" w:rsidP="00DA5EB0">
      <w:pPr>
        <w:spacing w:after="0" w:line="240" w:lineRule="auto"/>
        <w:rPr>
          <w:rFonts w:ascii="Times New Roman" w:hAnsi="Times New Roman"/>
          <w:sz w:val="20"/>
          <w:szCs w:val="20"/>
          <w:lang w:val="lv-LV"/>
        </w:rPr>
      </w:pPr>
      <w:r>
        <w:rPr>
          <w:rFonts w:ascii="Times New Roman" w:hAnsi="Times New Roman"/>
          <w:sz w:val="20"/>
          <w:szCs w:val="20"/>
          <w:lang w:val="lv-LV"/>
        </w:rPr>
        <w:t xml:space="preserve">67075931, </w:t>
      </w:r>
      <w:hyperlink r:id="rId11" w:history="1">
        <w:r w:rsidR="009E5491" w:rsidRPr="00E2627C">
          <w:rPr>
            <w:rStyle w:val="Hipersaite"/>
            <w:rFonts w:ascii="Times New Roman" w:hAnsi="Times New Roman"/>
            <w:sz w:val="20"/>
            <w:szCs w:val="20"/>
            <w:lang w:val="lv-LV"/>
          </w:rPr>
          <w:t>zanis.ilsters@vugd.gov.lv</w:t>
        </w:r>
      </w:hyperlink>
      <w:r w:rsidR="009E5491" w:rsidRPr="00E2627C">
        <w:rPr>
          <w:rFonts w:ascii="Times New Roman" w:hAnsi="Times New Roman"/>
          <w:sz w:val="20"/>
          <w:szCs w:val="20"/>
          <w:lang w:val="lv-LV"/>
        </w:rPr>
        <w:t xml:space="preserve"> </w:t>
      </w:r>
    </w:p>
    <w:sectPr w:rsidR="009E5491" w:rsidRPr="00E2627C" w:rsidSect="0070352C">
      <w:headerReference w:type="default" r:id="rId12"/>
      <w:footerReference w:type="default" r:id="rId13"/>
      <w:footerReference w:type="first" r:id="rId14"/>
      <w:pgSz w:w="11907" w:h="16839" w:code="9"/>
      <w:pgMar w:top="851" w:right="1134" w:bottom="1134" w:left="1701" w:header="720" w:footer="79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E7C" w:rsidRDefault="00475E7C" w:rsidP="00C4715D">
      <w:pPr>
        <w:spacing w:after="0" w:line="240" w:lineRule="auto"/>
      </w:pPr>
      <w:r>
        <w:separator/>
      </w:r>
    </w:p>
  </w:endnote>
  <w:endnote w:type="continuationSeparator" w:id="0">
    <w:p w:rsidR="00475E7C" w:rsidRDefault="00475E7C" w:rsidP="00C47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15D" w:rsidRPr="00E0482C" w:rsidRDefault="00454C6B" w:rsidP="00E0482C">
    <w:pPr>
      <w:spacing w:after="0" w:line="240" w:lineRule="auto"/>
      <w:jc w:val="both"/>
      <w:outlineLvl w:val="0"/>
      <w:rPr>
        <w:rFonts w:ascii="Times New Roman" w:hAnsi="Times New Roman"/>
        <w:bCs/>
        <w:sz w:val="20"/>
        <w:szCs w:val="20"/>
        <w:lang w:val="lv-LV"/>
      </w:rPr>
    </w:pPr>
    <w:r>
      <w:rPr>
        <w:rFonts w:ascii="Times New Roman" w:hAnsi="Times New Roman"/>
        <w:bCs/>
        <w:sz w:val="20"/>
        <w:szCs w:val="20"/>
        <w:lang w:val="lv-LV"/>
      </w:rPr>
      <w:t>IeMAnot_15022017</w:t>
    </w:r>
    <w:r w:rsidR="00E0482C" w:rsidRPr="00E0482C">
      <w:rPr>
        <w:rFonts w:ascii="Times New Roman" w:hAnsi="Times New Roman"/>
        <w:bCs/>
        <w:sz w:val="20"/>
        <w:szCs w:val="20"/>
        <w:lang w:val="lv-LV"/>
      </w:rPr>
      <w:t>_</w:t>
    </w:r>
    <w:r w:rsidR="00E0482C">
      <w:rPr>
        <w:rFonts w:ascii="Times New Roman" w:hAnsi="Times New Roman"/>
        <w:bCs/>
        <w:sz w:val="20"/>
        <w:szCs w:val="20"/>
        <w:lang w:val="lv-LV"/>
      </w:rPr>
      <w:t>groz_</w:t>
    </w:r>
    <w:r w:rsidR="009260E0">
      <w:rPr>
        <w:rFonts w:ascii="Times New Roman" w:hAnsi="Times New Roman"/>
        <w:bCs/>
        <w:sz w:val="20"/>
        <w:szCs w:val="20"/>
        <w:lang w:val="lv-LV"/>
      </w:rPr>
      <w:t>UUL</w:t>
    </w:r>
    <w:r w:rsidR="00776D27">
      <w:rPr>
        <w:rFonts w:ascii="Times New Roman" w:hAnsi="Times New Roman"/>
        <w:bCs/>
        <w:sz w:val="20"/>
        <w:szCs w:val="20"/>
        <w:lang w:val="lv-LV"/>
      </w:rPr>
      <w:t>.docx</w:t>
    </w:r>
    <w:r w:rsidR="00E0482C">
      <w:rPr>
        <w:rFonts w:ascii="Times New Roman" w:hAnsi="Times New Roman"/>
        <w:bCs/>
        <w:sz w:val="20"/>
        <w:szCs w:val="20"/>
        <w:lang w:val="lv-LV"/>
      </w:rPr>
      <w:t>;</w:t>
    </w:r>
    <w:r w:rsidR="00876033">
      <w:rPr>
        <w:rFonts w:ascii="Times New Roman" w:hAnsi="Times New Roman"/>
        <w:bCs/>
        <w:sz w:val="20"/>
        <w:szCs w:val="20"/>
        <w:lang w:val="lv-LV"/>
      </w:rPr>
      <w:t xml:space="preserve"> Likumprojekta „Grozījumi</w:t>
    </w:r>
    <w:r w:rsidR="00E0482C" w:rsidRPr="00E0482C">
      <w:rPr>
        <w:rFonts w:ascii="Times New Roman" w:hAnsi="Times New Roman"/>
        <w:bCs/>
        <w:sz w:val="20"/>
        <w:szCs w:val="20"/>
        <w:lang w:val="lv-LV"/>
      </w:rPr>
      <w:t xml:space="preserve"> Ugunsdrošības un ugunsdzēsības likumā” sākotnējās ietekmes novērtējuma </w:t>
    </w:r>
    <w:smartTag w:uri="schemas-tilde-lv/tildestengine" w:element="veidnes">
      <w:smartTagPr>
        <w:attr w:name="text" w:val="ziņojums"/>
        <w:attr w:name="baseform" w:val="ziņojums"/>
        <w:attr w:name="id" w:val="-1"/>
      </w:smartTagPr>
      <w:r w:rsidR="00E0482C" w:rsidRPr="00E0482C">
        <w:rPr>
          <w:rFonts w:ascii="Times New Roman" w:hAnsi="Times New Roman"/>
          <w:bCs/>
          <w:sz w:val="20"/>
          <w:szCs w:val="20"/>
          <w:lang w:val="lv-LV"/>
        </w:rPr>
        <w:t>ziņojums</w:t>
      </w:r>
      <w:r w:rsidR="00E0482C">
        <w:rPr>
          <w:rFonts w:ascii="Times New Roman" w:hAnsi="Times New Roman"/>
          <w:bCs/>
          <w:sz w:val="20"/>
          <w:szCs w:val="20"/>
          <w:lang w:val="lv-LV"/>
        </w:rPr>
        <w:t xml:space="preserve"> </w:t>
      </w:r>
    </w:smartTag>
    <w:r w:rsidR="00C4715D" w:rsidRPr="00E0482C">
      <w:rPr>
        <w:rFonts w:ascii="Times New Roman" w:hAnsi="Times New Roman"/>
        <w:bCs/>
        <w:sz w:val="20"/>
        <w:szCs w:val="20"/>
        <w:lang w:val="lv-LV"/>
      </w:rPr>
      <w:t>(anotācija)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82C" w:rsidRPr="00E0482C" w:rsidRDefault="00454C6B" w:rsidP="00E0482C">
    <w:pPr>
      <w:spacing w:after="0" w:line="240" w:lineRule="auto"/>
      <w:jc w:val="both"/>
      <w:outlineLvl w:val="0"/>
      <w:rPr>
        <w:rFonts w:ascii="Times New Roman" w:hAnsi="Times New Roman"/>
        <w:bCs/>
        <w:sz w:val="20"/>
        <w:szCs w:val="20"/>
        <w:lang w:val="lv-LV"/>
      </w:rPr>
    </w:pPr>
    <w:r>
      <w:rPr>
        <w:rFonts w:ascii="Times New Roman" w:hAnsi="Times New Roman"/>
        <w:bCs/>
        <w:sz w:val="20"/>
        <w:szCs w:val="20"/>
        <w:lang w:val="lv-LV"/>
      </w:rPr>
      <w:t>IeMAnot_15022017</w:t>
    </w:r>
    <w:r w:rsidR="00E0482C" w:rsidRPr="00E0482C">
      <w:rPr>
        <w:rFonts w:ascii="Times New Roman" w:hAnsi="Times New Roman"/>
        <w:bCs/>
        <w:sz w:val="20"/>
        <w:szCs w:val="20"/>
        <w:lang w:val="lv-LV"/>
      </w:rPr>
      <w:t>_</w:t>
    </w:r>
    <w:r w:rsidR="00E0482C">
      <w:rPr>
        <w:rFonts w:ascii="Times New Roman" w:hAnsi="Times New Roman"/>
        <w:bCs/>
        <w:sz w:val="20"/>
        <w:szCs w:val="20"/>
        <w:lang w:val="lv-LV"/>
      </w:rPr>
      <w:t>groz_</w:t>
    </w:r>
    <w:r w:rsidR="0070352C">
      <w:rPr>
        <w:rFonts w:ascii="Times New Roman" w:hAnsi="Times New Roman"/>
        <w:bCs/>
        <w:sz w:val="20"/>
        <w:szCs w:val="20"/>
        <w:lang w:val="lv-LV"/>
      </w:rPr>
      <w:t>UUL</w:t>
    </w:r>
    <w:r w:rsidR="00776D27">
      <w:rPr>
        <w:rFonts w:ascii="Times New Roman" w:hAnsi="Times New Roman"/>
        <w:bCs/>
        <w:sz w:val="20"/>
        <w:szCs w:val="20"/>
        <w:lang w:val="lv-LV"/>
      </w:rPr>
      <w:t>.docx</w:t>
    </w:r>
    <w:r w:rsidR="00E0482C">
      <w:rPr>
        <w:rFonts w:ascii="Times New Roman" w:hAnsi="Times New Roman"/>
        <w:bCs/>
        <w:sz w:val="20"/>
        <w:szCs w:val="20"/>
        <w:lang w:val="lv-LV"/>
      </w:rPr>
      <w:t>;</w:t>
    </w:r>
    <w:r w:rsidR="00876033">
      <w:rPr>
        <w:rFonts w:ascii="Times New Roman" w:hAnsi="Times New Roman"/>
        <w:bCs/>
        <w:sz w:val="20"/>
        <w:szCs w:val="20"/>
        <w:lang w:val="lv-LV"/>
      </w:rPr>
      <w:t xml:space="preserve"> Likumprojekta „Grozījumi</w:t>
    </w:r>
    <w:r w:rsidR="00E0482C" w:rsidRPr="00E0482C">
      <w:rPr>
        <w:rFonts w:ascii="Times New Roman" w:hAnsi="Times New Roman"/>
        <w:bCs/>
        <w:sz w:val="20"/>
        <w:szCs w:val="20"/>
        <w:lang w:val="lv-LV"/>
      </w:rPr>
      <w:t xml:space="preserve"> Ugunsdrošības un ugunsdzēsības likumā” sākotnējās ietekmes novērtējuma </w:t>
    </w:r>
    <w:smartTag w:uri="schemas-tilde-lv/tildestengine" w:element="veidnes">
      <w:smartTagPr>
        <w:attr w:name="text" w:val="ziņojums"/>
        <w:attr w:name="baseform" w:val="ziņojums"/>
        <w:attr w:name="id" w:val="-1"/>
      </w:smartTagPr>
      <w:r w:rsidR="00E0482C" w:rsidRPr="00E0482C">
        <w:rPr>
          <w:rFonts w:ascii="Times New Roman" w:hAnsi="Times New Roman"/>
          <w:bCs/>
          <w:sz w:val="20"/>
          <w:szCs w:val="20"/>
          <w:lang w:val="lv-LV"/>
        </w:rPr>
        <w:t>ziņojums</w:t>
      </w:r>
      <w:r w:rsidR="00E0482C">
        <w:rPr>
          <w:rFonts w:ascii="Times New Roman" w:hAnsi="Times New Roman"/>
          <w:bCs/>
          <w:sz w:val="20"/>
          <w:szCs w:val="20"/>
          <w:lang w:val="lv-LV"/>
        </w:rPr>
        <w:t xml:space="preserve"> </w:t>
      </w:r>
    </w:smartTag>
    <w:r w:rsidR="00E0482C" w:rsidRPr="00E0482C">
      <w:rPr>
        <w:rFonts w:ascii="Times New Roman" w:hAnsi="Times New Roman"/>
        <w:bCs/>
        <w:sz w:val="20"/>
        <w:szCs w:val="20"/>
        <w:lang w:val="lv-LV"/>
      </w:rPr>
      <w:t>(anotācija)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E7C" w:rsidRDefault="00475E7C" w:rsidP="00C4715D">
      <w:pPr>
        <w:spacing w:after="0" w:line="240" w:lineRule="auto"/>
      </w:pPr>
      <w:r>
        <w:separator/>
      </w:r>
    </w:p>
  </w:footnote>
  <w:footnote w:type="continuationSeparator" w:id="0">
    <w:p w:rsidR="00475E7C" w:rsidRDefault="00475E7C" w:rsidP="00C471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7257059"/>
      <w:docPartObj>
        <w:docPartGallery w:val="Page Numbers (Top of Page)"/>
        <w:docPartUnique/>
      </w:docPartObj>
    </w:sdtPr>
    <w:sdtEndPr>
      <w:rPr>
        <w:rFonts w:ascii="Times New Roman" w:hAnsi="Times New Roman"/>
        <w:noProof/>
        <w:sz w:val="20"/>
        <w:szCs w:val="20"/>
      </w:rPr>
    </w:sdtEndPr>
    <w:sdtContent>
      <w:p w:rsidR="00DB7CFC" w:rsidRPr="006B59AB" w:rsidRDefault="00DB7CFC">
        <w:pPr>
          <w:pStyle w:val="Galvene"/>
          <w:jc w:val="center"/>
          <w:rPr>
            <w:rFonts w:ascii="Times New Roman" w:hAnsi="Times New Roman"/>
            <w:sz w:val="20"/>
            <w:szCs w:val="20"/>
          </w:rPr>
        </w:pPr>
        <w:r w:rsidRPr="006B59AB">
          <w:rPr>
            <w:rFonts w:ascii="Times New Roman" w:hAnsi="Times New Roman"/>
            <w:sz w:val="20"/>
            <w:szCs w:val="20"/>
          </w:rPr>
          <w:fldChar w:fldCharType="begin"/>
        </w:r>
        <w:r w:rsidRPr="006B59AB">
          <w:rPr>
            <w:rFonts w:ascii="Times New Roman" w:hAnsi="Times New Roman"/>
            <w:sz w:val="20"/>
            <w:szCs w:val="20"/>
          </w:rPr>
          <w:instrText xml:space="preserve"> PAGE   \* MERGEFORMAT </w:instrText>
        </w:r>
        <w:r w:rsidRPr="006B59AB">
          <w:rPr>
            <w:rFonts w:ascii="Times New Roman" w:hAnsi="Times New Roman"/>
            <w:sz w:val="20"/>
            <w:szCs w:val="20"/>
          </w:rPr>
          <w:fldChar w:fldCharType="separate"/>
        </w:r>
        <w:r w:rsidR="000978C6">
          <w:rPr>
            <w:rFonts w:ascii="Times New Roman" w:hAnsi="Times New Roman"/>
            <w:noProof/>
            <w:sz w:val="20"/>
            <w:szCs w:val="20"/>
          </w:rPr>
          <w:t>11</w:t>
        </w:r>
        <w:r w:rsidRPr="006B59AB">
          <w:rPr>
            <w:rFonts w:ascii="Times New Roman" w:hAnsi="Times New Roman"/>
            <w:noProof/>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87CFA"/>
    <w:multiLevelType w:val="hybridMultilevel"/>
    <w:tmpl w:val="3AD20AA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B50741E"/>
    <w:multiLevelType w:val="hybridMultilevel"/>
    <w:tmpl w:val="0CEE6374"/>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593F6E"/>
    <w:multiLevelType w:val="hybridMultilevel"/>
    <w:tmpl w:val="D6DEC10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90A6A95"/>
    <w:multiLevelType w:val="multilevel"/>
    <w:tmpl w:val="5EAA3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3F6EB3"/>
    <w:multiLevelType w:val="hybridMultilevel"/>
    <w:tmpl w:val="4196A1AC"/>
    <w:lvl w:ilvl="0" w:tplc="53740F5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1B50CD6"/>
    <w:multiLevelType w:val="hybridMultilevel"/>
    <w:tmpl w:val="5F442D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B041360"/>
    <w:multiLevelType w:val="hybridMultilevel"/>
    <w:tmpl w:val="EA58C48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0790820"/>
    <w:multiLevelType w:val="hybridMultilevel"/>
    <w:tmpl w:val="726E86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F296CA0"/>
    <w:multiLevelType w:val="hybridMultilevel"/>
    <w:tmpl w:val="C9008C6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FAE541C"/>
    <w:multiLevelType w:val="hybridMultilevel"/>
    <w:tmpl w:val="95F66790"/>
    <w:lvl w:ilvl="0" w:tplc="04260001">
      <w:start w:val="1"/>
      <w:numFmt w:val="bullet"/>
      <w:lvlText w:val=""/>
      <w:lvlJc w:val="left"/>
      <w:pPr>
        <w:ind w:left="778" w:hanging="360"/>
      </w:pPr>
      <w:rPr>
        <w:rFonts w:ascii="Symbol" w:hAnsi="Symbol" w:hint="default"/>
      </w:rPr>
    </w:lvl>
    <w:lvl w:ilvl="1" w:tplc="04260003" w:tentative="1">
      <w:start w:val="1"/>
      <w:numFmt w:val="bullet"/>
      <w:lvlText w:val="o"/>
      <w:lvlJc w:val="left"/>
      <w:pPr>
        <w:ind w:left="1498" w:hanging="360"/>
      </w:pPr>
      <w:rPr>
        <w:rFonts w:ascii="Courier New" w:hAnsi="Courier New" w:cs="Courier New" w:hint="default"/>
      </w:rPr>
    </w:lvl>
    <w:lvl w:ilvl="2" w:tplc="04260005" w:tentative="1">
      <w:start w:val="1"/>
      <w:numFmt w:val="bullet"/>
      <w:lvlText w:val=""/>
      <w:lvlJc w:val="left"/>
      <w:pPr>
        <w:ind w:left="2218" w:hanging="360"/>
      </w:pPr>
      <w:rPr>
        <w:rFonts w:ascii="Wingdings" w:hAnsi="Wingdings" w:hint="default"/>
      </w:rPr>
    </w:lvl>
    <w:lvl w:ilvl="3" w:tplc="04260001" w:tentative="1">
      <w:start w:val="1"/>
      <w:numFmt w:val="bullet"/>
      <w:lvlText w:val=""/>
      <w:lvlJc w:val="left"/>
      <w:pPr>
        <w:ind w:left="2938" w:hanging="360"/>
      </w:pPr>
      <w:rPr>
        <w:rFonts w:ascii="Symbol" w:hAnsi="Symbol" w:hint="default"/>
      </w:rPr>
    </w:lvl>
    <w:lvl w:ilvl="4" w:tplc="04260003" w:tentative="1">
      <w:start w:val="1"/>
      <w:numFmt w:val="bullet"/>
      <w:lvlText w:val="o"/>
      <w:lvlJc w:val="left"/>
      <w:pPr>
        <w:ind w:left="3658" w:hanging="360"/>
      </w:pPr>
      <w:rPr>
        <w:rFonts w:ascii="Courier New" w:hAnsi="Courier New" w:cs="Courier New" w:hint="default"/>
      </w:rPr>
    </w:lvl>
    <w:lvl w:ilvl="5" w:tplc="04260005" w:tentative="1">
      <w:start w:val="1"/>
      <w:numFmt w:val="bullet"/>
      <w:lvlText w:val=""/>
      <w:lvlJc w:val="left"/>
      <w:pPr>
        <w:ind w:left="4378" w:hanging="360"/>
      </w:pPr>
      <w:rPr>
        <w:rFonts w:ascii="Wingdings" w:hAnsi="Wingdings" w:hint="default"/>
      </w:rPr>
    </w:lvl>
    <w:lvl w:ilvl="6" w:tplc="04260001" w:tentative="1">
      <w:start w:val="1"/>
      <w:numFmt w:val="bullet"/>
      <w:lvlText w:val=""/>
      <w:lvlJc w:val="left"/>
      <w:pPr>
        <w:ind w:left="5098" w:hanging="360"/>
      </w:pPr>
      <w:rPr>
        <w:rFonts w:ascii="Symbol" w:hAnsi="Symbol" w:hint="default"/>
      </w:rPr>
    </w:lvl>
    <w:lvl w:ilvl="7" w:tplc="04260003" w:tentative="1">
      <w:start w:val="1"/>
      <w:numFmt w:val="bullet"/>
      <w:lvlText w:val="o"/>
      <w:lvlJc w:val="left"/>
      <w:pPr>
        <w:ind w:left="5818" w:hanging="360"/>
      </w:pPr>
      <w:rPr>
        <w:rFonts w:ascii="Courier New" w:hAnsi="Courier New" w:cs="Courier New" w:hint="default"/>
      </w:rPr>
    </w:lvl>
    <w:lvl w:ilvl="8" w:tplc="04260005" w:tentative="1">
      <w:start w:val="1"/>
      <w:numFmt w:val="bullet"/>
      <w:lvlText w:val=""/>
      <w:lvlJc w:val="left"/>
      <w:pPr>
        <w:ind w:left="6538" w:hanging="360"/>
      </w:pPr>
      <w:rPr>
        <w:rFonts w:ascii="Wingdings" w:hAnsi="Wingdings" w:hint="default"/>
      </w:rPr>
    </w:lvl>
  </w:abstractNum>
  <w:abstractNum w:abstractNumId="10" w15:restartNumberingAfterBreak="0">
    <w:nsid w:val="6C677230"/>
    <w:multiLevelType w:val="hybridMultilevel"/>
    <w:tmpl w:val="C0B42A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6515D51"/>
    <w:multiLevelType w:val="hybridMultilevel"/>
    <w:tmpl w:val="77A2EF2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8"/>
  </w:num>
  <w:num w:numId="3">
    <w:abstractNumId w:val="1"/>
  </w:num>
  <w:num w:numId="4">
    <w:abstractNumId w:val="3"/>
  </w:num>
  <w:num w:numId="5">
    <w:abstractNumId w:val="0"/>
  </w:num>
  <w:num w:numId="6">
    <w:abstractNumId w:val="6"/>
  </w:num>
  <w:num w:numId="7">
    <w:abstractNumId w:val="11"/>
  </w:num>
  <w:num w:numId="8">
    <w:abstractNumId w:val="10"/>
  </w:num>
  <w:num w:numId="9">
    <w:abstractNumId w:val="4"/>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15D"/>
    <w:rsid w:val="00007BA1"/>
    <w:rsid w:val="00010263"/>
    <w:rsid w:val="000136C9"/>
    <w:rsid w:val="00016EC1"/>
    <w:rsid w:val="00020A51"/>
    <w:rsid w:val="000212D7"/>
    <w:rsid w:val="00026B85"/>
    <w:rsid w:val="00033295"/>
    <w:rsid w:val="00036B50"/>
    <w:rsid w:val="00046658"/>
    <w:rsid w:val="000532F9"/>
    <w:rsid w:val="00061752"/>
    <w:rsid w:val="000657AE"/>
    <w:rsid w:val="00067334"/>
    <w:rsid w:val="00067809"/>
    <w:rsid w:val="000710FA"/>
    <w:rsid w:val="00076193"/>
    <w:rsid w:val="00076B3D"/>
    <w:rsid w:val="000828ED"/>
    <w:rsid w:val="000858A5"/>
    <w:rsid w:val="00086B71"/>
    <w:rsid w:val="000964E5"/>
    <w:rsid w:val="00096DAF"/>
    <w:rsid w:val="000978C6"/>
    <w:rsid w:val="000A5796"/>
    <w:rsid w:val="000A6056"/>
    <w:rsid w:val="000B0270"/>
    <w:rsid w:val="000B0576"/>
    <w:rsid w:val="000B2015"/>
    <w:rsid w:val="000B704C"/>
    <w:rsid w:val="000C75EB"/>
    <w:rsid w:val="000D18D0"/>
    <w:rsid w:val="000E52AA"/>
    <w:rsid w:val="000E6958"/>
    <w:rsid w:val="000F409D"/>
    <w:rsid w:val="00101968"/>
    <w:rsid w:val="00110C28"/>
    <w:rsid w:val="00120187"/>
    <w:rsid w:val="001204F1"/>
    <w:rsid w:val="0012127E"/>
    <w:rsid w:val="00124134"/>
    <w:rsid w:val="0012436C"/>
    <w:rsid w:val="00125F98"/>
    <w:rsid w:val="00126709"/>
    <w:rsid w:val="00131929"/>
    <w:rsid w:val="00137E36"/>
    <w:rsid w:val="0014086F"/>
    <w:rsid w:val="001408E4"/>
    <w:rsid w:val="00142E87"/>
    <w:rsid w:val="00145660"/>
    <w:rsid w:val="00181CE0"/>
    <w:rsid w:val="00197A07"/>
    <w:rsid w:val="001B6B72"/>
    <w:rsid w:val="001C1959"/>
    <w:rsid w:val="001C4113"/>
    <w:rsid w:val="001E02D7"/>
    <w:rsid w:val="001E3DD7"/>
    <w:rsid w:val="001E3F36"/>
    <w:rsid w:val="001E7873"/>
    <w:rsid w:val="001F1EBB"/>
    <w:rsid w:val="001F745E"/>
    <w:rsid w:val="00201FD5"/>
    <w:rsid w:val="00204367"/>
    <w:rsid w:val="00212CD6"/>
    <w:rsid w:val="0021505D"/>
    <w:rsid w:val="0021597C"/>
    <w:rsid w:val="002246D5"/>
    <w:rsid w:val="00225822"/>
    <w:rsid w:val="0023077C"/>
    <w:rsid w:val="002358A3"/>
    <w:rsid w:val="00251137"/>
    <w:rsid w:val="002649B1"/>
    <w:rsid w:val="00266556"/>
    <w:rsid w:val="0026732C"/>
    <w:rsid w:val="00281872"/>
    <w:rsid w:val="00281C1F"/>
    <w:rsid w:val="00290396"/>
    <w:rsid w:val="0029599A"/>
    <w:rsid w:val="00296355"/>
    <w:rsid w:val="0029741B"/>
    <w:rsid w:val="002A12B8"/>
    <w:rsid w:val="002A57FF"/>
    <w:rsid w:val="002A59D3"/>
    <w:rsid w:val="002B1CA5"/>
    <w:rsid w:val="002B24B8"/>
    <w:rsid w:val="002B2632"/>
    <w:rsid w:val="002B2DA1"/>
    <w:rsid w:val="002B33E0"/>
    <w:rsid w:val="002B5F99"/>
    <w:rsid w:val="002B7E45"/>
    <w:rsid w:val="002C2B51"/>
    <w:rsid w:val="002C4EA1"/>
    <w:rsid w:val="002C6154"/>
    <w:rsid w:val="002D5C98"/>
    <w:rsid w:val="002D667B"/>
    <w:rsid w:val="002E6F43"/>
    <w:rsid w:val="00303FB9"/>
    <w:rsid w:val="00307D4D"/>
    <w:rsid w:val="00317CC4"/>
    <w:rsid w:val="0032645B"/>
    <w:rsid w:val="00335C7E"/>
    <w:rsid w:val="003407C1"/>
    <w:rsid w:val="00340E50"/>
    <w:rsid w:val="00351E77"/>
    <w:rsid w:val="00355090"/>
    <w:rsid w:val="003559DF"/>
    <w:rsid w:val="00356DC3"/>
    <w:rsid w:val="00361E64"/>
    <w:rsid w:val="0036239C"/>
    <w:rsid w:val="00362A54"/>
    <w:rsid w:val="00366F58"/>
    <w:rsid w:val="00370AB1"/>
    <w:rsid w:val="00374A11"/>
    <w:rsid w:val="003769C7"/>
    <w:rsid w:val="0038636D"/>
    <w:rsid w:val="00392072"/>
    <w:rsid w:val="0039498B"/>
    <w:rsid w:val="003957B4"/>
    <w:rsid w:val="00396170"/>
    <w:rsid w:val="003A3F4B"/>
    <w:rsid w:val="003B2176"/>
    <w:rsid w:val="003B2B58"/>
    <w:rsid w:val="003B351F"/>
    <w:rsid w:val="003B5D2B"/>
    <w:rsid w:val="003B7441"/>
    <w:rsid w:val="003B75F8"/>
    <w:rsid w:val="003C13FF"/>
    <w:rsid w:val="003C34B8"/>
    <w:rsid w:val="003C41C8"/>
    <w:rsid w:val="003C5901"/>
    <w:rsid w:val="003C74A6"/>
    <w:rsid w:val="003E1018"/>
    <w:rsid w:val="003E394C"/>
    <w:rsid w:val="003E3C82"/>
    <w:rsid w:val="003E7B3E"/>
    <w:rsid w:val="00401037"/>
    <w:rsid w:val="00410931"/>
    <w:rsid w:val="0042144D"/>
    <w:rsid w:val="00423255"/>
    <w:rsid w:val="00431249"/>
    <w:rsid w:val="00436A28"/>
    <w:rsid w:val="00441C84"/>
    <w:rsid w:val="00443BC6"/>
    <w:rsid w:val="004515D0"/>
    <w:rsid w:val="00454C6B"/>
    <w:rsid w:val="0046311A"/>
    <w:rsid w:val="00466668"/>
    <w:rsid w:val="0047043B"/>
    <w:rsid w:val="004723FB"/>
    <w:rsid w:val="00472D6F"/>
    <w:rsid w:val="00475E7C"/>
    <w:rsid w:val="00476714"/>
    <w:rsid w:val="00480366"/>
    <w:rsid w:val="00493B09"/>
    <w:rsid w:val="004A1547"/>
    <w:rsid w:val="004A78FD"/>
    <w:rsid w:val="004B1AB2"/>
    <w:rsid w:val="004C1E1D"/>
    <w:rsid w:val="004D5720"/>
    <w:rsid w:val="004D7DF4"/>
    <w:rsid w:val="004E0395"/>
    <w:rsid w:val="004E04FE"/>
    <w:rsid w:val="004E0D9C"/>
    <w:rsid w:val="004E42C3"/>
    <w:rsid w:val="004E6654"/>
    <w:rsid w:val="004E7B21"/>
    <w:rsid w:val="004F0351"/>
    <w:rsid w:val="004F42A7"/>
    <w:rsid w:val="004F45E3"/>
    <w:rsid w:val="004F4B5E"/>
    <w:rsid w:val="004F4E21"/>
    <w:rsid w:val="00503B2D"/>
    <w:rsid w:val="0051043D"/>
    <w:rsid w:val="005145D2"/>
    <w:rsid w:val="0051650A"/>
    <w:rsid w:val="00523AEC"/>
    <w:rsid w:val="005266B2"/>
    <w:rsid w:val="005300ED"/>
    <w:rsid w:val="00533AFC"/>
    <w:rsid w:val="00534029"/>
    <w:rsid w:val="00535BAC"/>
    <w:rsid w:val="00543BEC"/>
    <w:rsid w:val="00553709"/>
    <w:rsid w:val="00553AC1"/>
    <w:rsid w:val="00565F99"/>
    <w:rsid w:val="00567FA6"/>
    <w:rsid w:val="005845B3"/>
    <w:rsid w:val="00587DE0"/>
    <w:rsid w:val="0059526A"/>
    <w:rsid w:val="00596956"/>
    <w:rsid w:val="005971C2"/>
    <w:rsid w:val="00597498"/>
    <w:rsid w:val="005A2A42"/>
    <w:rsid w:val="005A3BDE"/>
    <w:rsid w:val="005D7B48"/>
    <w:rsid w:val="005E4131"/>
    <w:rsid w:val="005E470A"/>
    <w:rsid w:val="005F4531"/>
    <w:rsid w:val="005F62BD"/>
    <w:rsid w:val="00614355"/>
    <w:rsid w:val="006233DC"/>
    <w:rsid w:val="006278FC"/>
    <w:rsid w:val="0064086D"/>
    <w:rsid w:val="00642CAA"/>
    <w:rsid w:val="006500A5"/>
    <w:rsid w:val="0065035F"/>
    <w:rsid w:val="00653B8E"/>
    <w:rsid w:val="00654131"/>
    <w:rsid w:val="0065746C"/>
    <w:rsid w:val="006643E5"/>
    <w:rsid w:val="00677200"/>
    <w:rsid w:val="006862B5"/>
    <w:rsid w:val="00693573"/>
    <w:rsid w:val="00697F19"/>
    <w:rsid w:val="006A0DDB"/>
    <w:rsid w:val="006B1A26"/>
    <w:rsid w:val="006B21BD"/>
    <w:rsid w:val="006B59AB"/>
    <w:rsid w:val="006B6811"/>
    <w:rsid w:val="006C2507"/>
    <w:rsid w:val="006C3370"/>
    <w:rsid w:val="006D09BB"/>
    <w:rsid w:val="006D7170"/>
    <w:rsid w:val="006E24ED"/>
    <w:rsid w:val="006E7C19"/>
    <w:rsid w:val="006F10A8"/>
    <w:rsid w:val="00701F37"/>
    <w:rsid w:val="0070352C"/>
    <w:rsid w:val="00706908"/>
    <w:rsid w:val="0070767D"/>
    <w:rsid w:val="00716EEF"/>
    <w:rsid w:val="00731B72"/>
    <w:rsid w:val="0073731C"/>
    <w:rsid w:val="0074077E"/>
    <w:rsid w:val="00740D47"/>
    <w:rsid w:val="00741CFF"/>
    <w:rsid w:val="00742E2A"/>
    <w:rsid w:val="0074507B"/>
    <w:rsid w:val="007467F6"/>
    <w:rsid w:val="00752D5F"/>
    <w:rsid w:val="00757081"/>
    <w:rsid w:val="00757933"/>
    <w:rsid w:val="00757F00"/>
    <w:rsid w:val="00760E63"/>
    <w:rsid w:val="00761C28"/>
    <w:rsid w:val="007655B1"/>
    <w:rsid w:val="007658AA"/>
    <w:rsid w:val="00776D27"/>
    <w:rsid w:val="00781A16"/>
    <w:rsid w:val="00781BDD"/>
    <w:rsid w:val="007827B2"/>
    <w:rsid w:val="00783457"/>
    <w:rsid w:val="007960FD"/>
    <w:rsid w:val="007965F8"/>
    <w:rsid w:val="007A2345"/>
    <w:rsid w:val="007A55E5"/>
    <w:rsid w:val="007A74A5"/>
    <w:rsid w:val="007B7207"/>
    <w:rsid w:val="007D38FA"/>
    <w:rsid w:val="007E59BF"/>
    <w:rsid w:val="007F139B"/>
    <w:rsid w:val="00802B26"/>
    <w:rsid w:val="00820D1B"/>
    <w:rsid w:val="008447E8"/>
    <w:rsid w:val="00847FDA"/>
    <w:rsid w:val="008744D6"/>
    <w:rsid w:val="00876033"/>
    <w:rsid w:val="00884F28"/>
    <w:rsid w:val="00885B70"/>
    <w:rsid w:val="0089053A"/>
    <w:rsid w:val="008A01E1"/>
    <w:rsid w:val="008A062D"/>
    <w:rsid w:val="008A2ADA"/>
    <w:rsid w:val="008B3F50"/>
    <w:rsid w:val="008B7CCE"/>
    <w:rsid w:val="008C1AE1"/>
    <w:rsid w:val="008C1AFA"/>
    <w:rsid w:val="008C62B2"/>
    <w:rsid w:val="008D2E1B"/>
    <w:rsid w:val="008D6651"/>
    <w:rsid w:val="008D6E5B"/>
    <w:rsid w:val="008E2C74"/>
    <w:rsid w:val="008E357F"/>
    <w:rsid w:val="0090770E"/>
    <w:rsid w:val="00917640"/>
    <w:rsid w:val="00924F30"/>
    <w:rsid w:val="009260E0"/>
    <w:rsid w:val="0093125D"/>
    <w:rsid w:val="00931A57"/>
    <w:rsid w:val="009403D2"/>
    <w:rsid w:val="00942280"/>
    <w:rsid w:val="00954C81"/>
    <w:rsid w:val="00961539"/>
    <w:rsid w:val="00962790"/>
    <w:rsid w:val="00967B81"/>
    <w:rsid w:val="009719BB"/>
    <w:rsid w:val="00981290"/>
    <w:rsid w:val="0098142F"/>
    <w:rsid w:val="009830F9"/>
    <w:rsid w:val="00987D3A"/>
    <w:rsid w:val="009A42ED"/>
    <w:rsid w:val="009B34E8"/>
    <w:rsid w:val="009B6EA3"/>
    <w:rsid w:val="009C0A07"/>
    <w:rsid w:val="009C4835"/>
    <w:rsid w:val="009D0007"/>
    <w:rsid w:val="009D630A"/>
    <w:rsid w:val="009D6724"/>
    <w:rsid w:val="009E5491"/>
    <w:rsid w:val="009F453D"/>
    <w:rsid w:val="009F4D34"/>
    <w:rsid w:val="009F5471"/>
    <w:rsid w:val="009F601D"/>
    <w:rsid w:val="00A2159F"/>
    <w:rsid w:val="00A247A8"/>
    <w:rsid w:val="00A255B1"/>
    <w:rsid w:val="00A34E15"/>
    <w:rsid w:val="00A41102"/>
    <w:rsid w:val="00A52093"/>
    <w:rsid w:val="00A52182"/>
    <w:rsid w:val="00A67F5E"/>
    <w:rsid w:val="00A745AE"/>
    <w:rsid w:val="00AA3220"/>
    <w:rsid w:val="00AA7BD9"/>
    <w:rsid w:val="00AB012C"/>
    <w:rsid w:val="00AB1343"/>
    <w:rsid w:val="00AB6F12"/>
    <w:rsid w:val="00AE5B24"/>
    <w:rsid w:val="00AE6AF1"/>
    <w:rsid w:val="00AF01DE"/>
    <w:rsid w:val="00AF6690"/>
    <w:rsid w:val="00B01BD3"/>
    <w:rsid w:val="00B02027"/>
    <w:rsid w:val="00B0244B"/>
    <w:rsid w:val="00B0259C"/>
    <w:rsid w:val="00B03034"/>
    <w:rsid w:val="00B118EE"/>
    <w:rsid w:val="00B1247C"/>
    <w:rsid w:val="00B13F1A"/>
    <w:rsid w:val="00B263BB"/>
    <w:rsid w:val="00B265B7"/>
    <w:rsid w:val="00B300AC"/>
    <w:rsid w:val="00B3472C"/>
    <w:rsid w:val="00B44126"/>
    <w:rsid w:val="00B45281"/>
    <w:rsid w:val="00B517FB"/>
    <w:rsid w:val="00B71DD7"/>
    <w:rsid w:val="00B729B8"/>
    <w:rsid w:val="00B8789A"/>
    <w:rsid w:val="00B9368A"/>
    <w:rsid w:val="00B938F6"/>
    <w:rsid w:val="00B948BA"/>
    <w:rsid w:val="00B96769"/>
    <w:rsid w:val="00BB6E05"/>
    <w:rsid w:val="00BB7604"/>
    <w:rsid w:val="00BC013C"/>
    <w:rsid w:val="00BD2ABA"/>
    <w:rsid w:val="00BD7A18"/>
    <w:rsid w:val="00BE11C8"/>
    <w:rsid w:val="00BE31BA"/>
    <w:rsid w:val="00BE52E3"/>
    <w:rsid w:val="00BF1F7E"/>
    <w:rsid w:val="00BF2044"/>
    <w:rsid w:val="00C1393E"/>
    <w:rsid w:val="00C14C65"/>
    <w:rsid w:val="00C24B42"/>
    <w:rsid w:val="00C30D6A"/>
    <w:rsid w:val="00C36935"/>
    <w:rsid w:val="00C42573"/>
    <w:rsid w:val="00C466E1"/>
    <w:rsid w:val="00C46D1C"/>
    <w:rsid w:val="00C4715D"/>
    <w:rsid w:val="00C63557"/>
    <w:rsid w:val="00C67201"/>
    <w:rsid w:val="00C67AC4"/>
    <w:rsid w:val="00C8109A"/>
    <w:rsid w:val="00C95C67"/>
    <w:rsid w:val="00C9724F"/>
    <w:rsid w:val="00CA0A9D"/>
    <w:rsid w:val="00CA6220"/>
    <w:rsid w:val="00CB3166"/>
    <w:rsid w:val="00CB6E89"/>
    <w:rsid w:val="00CC0495"/>
    <w:rsid w:val="00CD0560"/>
    <w:rsid w:val="00CD6B08"/>
    <w:rsid w:val="00CD706E"/>
    <w:rsid w:val="00CF6887"/>
    <w:rsid w:val="00CF77B5"/>
    <w:rsid w:val="00CF7823"/>
    <w:rsid w:val="00D03B8B"/>
    <w:rsid w:val="00D17F2E"/>
    <w:rsid w:val="00D252CA"/>
    <w:rsid w:val="00D268D2"/>
    <w:rsid w:val="00D3197C"/>
    <w:rsid w:val="00D34461"/>
    <w:rsid w:val="00D366BE"/>
    <w:rsid w:val="00D51947"/>
    <w:rsid w:val="00D56264"/>
    <w:rsid w:val="00D61960"/>
    <w:rsid w:val="00D716F2"/>
    <w:rsid w:val="00D776FA"/>
    <w:rsid w:val="00D84A06"/>
    <w:rsid w:val="00D85D5A"/>
    <w:rsid w:val="00D865E0"/>
    <w:rsid w:val="00D908DD"/>
    <w:rsid w:val="00D91788"/>
    <w:rsid w:val="00D920A8"/>
    <w:rsid w:val="00DA2639"/>
    <w:rsid w:val="00DA5EB0"/>
    <w:rsid w:val="00DB669E"/>
    <w:rsid w:val="00DB7626"/>
    <w:rsid w:val="00DB7CFC"/>
    <w:rsid w:val="00DC3E2D"/>
    <w:rsid w:val="00DC40C7"/>
    <w:rsid w:val="00DD0156"/>
    <w:rsid w:val="00DD6C8F"/>
    <w:rsid w:val="00DD7070"/>
    <w:rsid w:val="00DF1E2E"/>
    <w:rsid w:val="00DF1E59"/>
    <w:rsid w:val="00DF4010"/>
    <w:rsid w:val="00DF6E3E"/>
    <w:rsid w:val="00E0482C"/>
    <w:rsid w:val="00E05D6B"/>
    <w:rsid w:val="00E1282E"/>
    <w:rsid w:val="00E128B3"/>
    <w:rsid w:val="00E15C75"/>
    <w:rsid w:val="00E21396"/>
    <w:rsid w:val="00E21652"/>
    <w:rsid w:val="00E22CBE"/>
    <w:rsid w:val="00E2627C"/>
    <w:rsid w:val="00E30E88"/>
    <w:rsid w:val="00E33FD7"/>
    <w:rsid w:val="00E404ED"/>
    <w:rsid w:val="00E44818"/>
    <w:rsid w:val="00E57B14"/>
    <w:rsid w:val="00E636A2"/>
    <w:rsid w:val="00E73264"/>
    <w:rsid w:val="00E81468"/>
    <w:rsid w:val="00E833FA"/>
    <w:rsid w:val="00E9028B"/>
    <w:rsid w:val="00E91841"/>
    <w:rsid w:val="00EA5B2B"/>
    <w:rsid w:val="00EA5E15"/>
    <w:rsid w:val="00EB1EC3"/>
    <w:rsid w:val="00EB5CE9"/>
    <w:rsid w:val="00EC4BBC"/>
    <w:rsid w:val="00ED799F"/>
    <w:rsid w:val="00EF7770"/>
    <w:rsid w:val="00F0260A"/>
    <w:rsid w:val="00F03D59"/>
    <w:rsid w:val="00F06C8E"/>
    <w:rsid w:val="00F06D70"/>
    <w:rsid w:val="00F25F62"/>
    <w:rsid w:val="00F264A5"/>
    <w:rsid w:val="00F34E4E"/>
    <w:rsid w:val="00F354C1"/>
    <w:rsid w:val="00F358A0"/>
    <w:rsid w:val="00F47A6E"/>
    <w:rsid w:val="00F51E09"/>
    <w:rsid w:val="00F53040"/>
    <w:rsid w:val="00F53F78"/>
    <w:rsid w:val="00F5725D"/>
    <w:rsid w:val="00F57AAA"/>
    <w:rsid w:val="00F721D4"/>
    <w:rsid w:val="00F8153B"/>
    <w:rsid w:val="00F81E35"/>
    <w:rsid w:val="00F87FE7"/>
    <w:rsid w:val="00FA1F88"/>
    <w:rsid w:val="00FB6CFA"/>
    <w:rsid w:val="00FD08E9"/>
    <w:rsid w:val="00FE5733"/>
    <w:rsid w:val="00FE697F"/>
    <w:rsid w:val="00FF2B94"/>
    <w:rsid w:val="00FF3535"/>
    <w:rsid w:val="00FF3DC8"/>
    <w:rsid w:val="00FF7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5:docId w15:val="{B3E87867-E42A-4522-9605-B67907E58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4715D"/>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C4715D"/>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C4715D"/>
    <w:rPr>
      <w:rFonts w:ascii="Calibri" w:eastAsia="Calibri" w:hAnsi="Calibri" w:cs="Times New Roman"/>
    </w:rPr>
  </w:style>
  <w:style w:type="table" w:styleId="Reatabula">
    <w:name w:val="Table Grid"/>
    <w:basedOn w:val="Parastatabula"/>
    <w:uiPriority w:val="59"/>
    <w:rsid w:val="00C47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semiHidden/>
    <w:rsid w:val="00C4715D"/>
    <w:rPr>
      <w:rFonts w:cs="Times New Roman"/>
      <w:color w:val="0000FF"/>
      <w:u w:val="single"/>
    </w:rPr>
  </w:style>
  <w:style w:type="paragraph" w:styleId="Galvene">
    <w:name w:val="header"/>
    <w:basedOn w:val="Parasts"/>
    <w:link w:val="GalveneRakstz"/>
    <w:uiPriority w:val="99"/>
    <w:unhideWhenUsed/>
    <w:rsid w:val="00C4715D"/>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C4715D"/>
    <w:rPr>
      <w:rFonts w:ascii="Calibri" w:eastAsia="Calibri" w:hAnsi="Calibri" w:cs="Times New Roman"/>
    </w:rPr>
  </w:style>
  <w:style w:type="paragraph" w:customStyle="1" w:styleId="naisf">
    <w:name w:val="naisf"/>
    <w:basedOn w:val="Parasts"/>
    <w:uiPriority w:val="99"/>
    <w:rsid w:val="00DA5EB0"/>
    <w:pPr>
      <w:spacing w:before="100" w:beforeAutospacing="1" w:after="100" w:afterAutospacing="1" w:line="240" w:lineRule="auto"/>
    </w:pPr>
    <w:rPr>
      <w:rFonts w:ascii="Times New Roman" w:hAnsi="Times New Roman"/>
      <w:sz w:val="24"/>
      <w:szCs w:val="24"/>
      <w:lang w:val="lv-LV" w:eastAsia="lv-LV"/>
    </w:rPr>
  </w:style>
  <w:style w:type="paragraph" w:customStyle="1" w:styleId="tv2131">
    <w:name w:val="tv2131"/>
    <w:basedOn w:val="Parasts"/>
    <w:rsid w:val="00D3197C"/>
    <w:pPr>
      <w:spacing w:after="0" w:line="360" w:lineRule="auto"/>
      <w:ind w:firstLine="300"/>
    </w:pPr>
    <w:rPr>
      <w:rFonts w:ascii="Times New Roman" w:eastAsia="Times New Roman" w:hAnsi="Times New Roman"/>
      <w:color w:val="414142"/>
      <w:sz w:val="20"/>
      <w:szCs w:val="20"/>
      <w:lang w:val="lv-LV" w:eastAsia="lv-LV"/>
    </w:rPr>
  </w:style>
  <w:style w:type="paragraph" w:customStyle="1" w:styleId="naisnod">
    <w:name w:val="naisnod"/>
    <w:basedOn w:val="Parasts"/>
    <w:uiPriority w:val="99"/>
    <w:rsid w:val="004F4B5E"/>
    <w:pPr>
      <w:spacing w:before="150" w:after="150" w:line="240" w:lineRule="auto"/>
      <w:jc w:val="center"/>
    </w:pPr>
    <w:rPr>
      <w:rFonts w:ascii="Times New Roman" w:eastAsia="Times New Roman" w:hAnsi="Times New Roman"/>
      <w:b/>
      <w:bCs/>
      <w:sz w:val="24"/>
      <w:szCs w:val="24"/>
      <w:lang w:val="lv-LV" w:eastAsia="lv-LV"/>
    </w:rPr>
  </w:style>
  <w:style w:type="paragraph" w:customStyle="1" w:styleId="naiskr">
    <w:name w:val="naiskr"/>
    <w:basedOn w:val="Parasts"/>
    <w:rsid w:val="004F4B5E"/>
    <w:pPr>
      <w:spacing w:before="75" w:after="75" w:line="240" w:lineRule="auto"/>
    </w:pPr>
    <w:rPr>
      <w:rFonts w:ascii="Times New Roman" w:eastAsia="Times New Roman" w:hAnsi="Times New Roman"/>
      <w:sz w:val="24"/>
      <w:szCs w:val="24"/>
      <w:lang w:val="lv-LV" w:eastAsia="lv-LV"/>
    </w:rPr>
  </w:style>
  <w:style w:type="paragraph" w:customStyle="1" w:styleId="tvhtml">
    <w:name w:val="tv_html"/>
    <w:basedOn w:val="Parasts"/>
    <w:rsid w:val="00C9724F"/>
    <w:pPr>
      <w:spacing w:before="100" w:beforeAutospacing="1" w:after="100" w:afterAutospacing="1" w:line="240" w:lineRule="auto"/>
    </w:pPr>
    <w:rPr>
      <w:rFonts w:ascii="Times New Roman" w:eastAsia="Times New Roman" w:hAnsi="Times New Roman"/>
      <w:sz w:val="24"/>
      <w:szCs w:val="24"/>
      <w:lang w:val="lv-LV" w:eastAsia="lv-LV"/>
    </w:rPr>
  </w:style>
  <w:style w:type="paragraph" w:customStyle="1" w:styleId="tv2132">
    <w:name w:val="tv2132"/>
    <w:basedOn w:val="Parasts"/>
    <w:rsid w:val="008D2E1B"/>
    <w:pPr>
      <w:spacing w:after="0" w:line="360" w:lineRule="auto"/>
      <w:ind w:firstLine="300"/>
    </w:pPr>
    <w:rPr>
      <w:rFonts w:ascii="Times New Roman" w:eastAsia="Times New Roman" w:hAnsi="Times New Roman"/>
      <w:color w:val="414142"/>
      <w:sz w:val="20"/>
      <w:szCs w:val="20"/>
      <w:lang w:val="lv-LV" w:eastAsia="lv-LV"/>
    </w:rPr>
  </w:style>
  <w:style w:type="paragraph" w:styleId="Sarakstarindkopa">
    <w:name w:val="List Paragraph"/>
    <w:basedOn w:val="Parasts"/>
    <w:uiPriority w:val="34"/>
    <w:qFormat/>
    <w:rsid w:val="00466668"/>
    <w:pPr>
      <w:ind w:left="720"/>
      <w:contextualSpacing/>
    </w:pPr>
  </w:style>
  <w:style w:type="character" w:styleId="Izteiksmgs">
    <w:name w:val="Strong"/>
    <w:basedOn w:val="Noklusjumarindkopasfonts"/>
    <w:uiPriority w:val="22"/>
    <w:qFormat/>
    <w:rsid w:val="00EA5B2B"/>
    <w:rPr>
      <w:b/>
      <w:bCs/>
    </w:rPr>
  </w:style>
  <w:style w:type="paragraph" w:styleId="Balonteksts">
    <w:name w:val="Balloon Text"/>
    <w:basedOn w:val="Parasts"/>
    <w:link w:val="BalontekstsRakstz"/>
    <w:uiPriority w:val="99"/>
    <w:semiHidden/>
    <w:unhideWhenUsed/>
    <w:rsid w:val="00E8146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8146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259101">
      <w:bodyDiv w:val="1"/>
      <w:marLeft w:val="0"/>
      <w:marRight w:val="0"/>
      <w:marTop w:val="0"/>
      <w:marBottom w:val="0"/>
      <w:divBdr>
        <w:top w:val="none" w:sz="0" w:space="0" w:color="auto"/>
        <w:left w:val="none" w:sz="0" w:space="0" w:color="auto"/>
        <w:bottom w:val="none" w:sz="0" w:space="0" w:color="auto"/>
        <w:right w:val="none" w:sz="0" w:space="0" w:color="auto"/>
      </w:divBdr>
      <w:divsChild>
        <w:div w:id="162091501">
          <w:marLeft w:val="0"/>
          <w:marRight w:val="0"/>
          <w:marTop w:val="0"/>
          <w:marBottom w:val="0"/>
          <w:divBdr>
            <w:top w:val="none" w:sz="0" w:space="0" w:color="auto"/>
            <w:left w:val="none" w:sz="0" w:space="0" w:color="auto"/>
            <w:bottom w:val="none" w:sz="0" w:space="0" w:color="auto"/>
            <w:right w:val="none" w:sz="0" w:space="0" w:color="auto"/>
          </w:divBdr>
          <w:divsChild>
            <w:div w:id="903561117">
              <w:marLeft w:val="0"/>
              <w:marRight w:val="0"/>
              <w:marTop w:val="0"/>
              <w:marBottom w:val="0"/>
              <w:divBdr>
                <w:top w:val="none" w:sz="0" w:space="0" w:color="auto"/>
                <w:left w:val="none" w:sz="0" w:space="0" w:color="auto"/>
                <w:bottom w:val="none" w:sz="0" w:space="0" w:color="auto"/>
                <w:right w:val="none" w:sz="0" w:space="0" w:color="auto"/>
              </w:divBdr>
              <w:divsChild>
                <w:div w:id="1562011790">
                  <w:marLeft w:val="0"/>
                  <w:marRight w:val="0"/>
                  <w:marTop w:val="0"/>
                  <w:marBottom w:val="0"/>
                  <w:divBdr>
                    <w:top w:val="none" w:sz="0" w:space="0" w:color="auto"/>
                    <w:left w:val="none" w:sz="0" w:space="0" w:color="auto"/>
                    <w:bottom w:val="none" w:sz="0" w:space="0" w:color="auto"/>
                    <w:right w:val="none" w:sz="0" w:space="0" w:color="auto"/>
                  </w:divBdr>
                  <w:divsChild>
                    <w:div w:id="1762606093">
                      <w:marLeft w:val="0"/>
                      <w:marRight w:val="0"/>
                      <w:marTop w:val="0"/>
                      <w:marBottom w:val="0"/>
                      <w:divBdr>
                        <w:top w:val="none" w:sz="0" w:space="0" w:color="auto"/>
                        <w:left w:val="none" w:sz="0" w:space="0" w:color="auto"/>
                        <w:bottom w:val="none" w:sz="0" w:space="0" w:color="auto"/>
                        <w:right w:val="none" w:sz="0" w:space="0" w:color="auto"/>
                      </w:divBdr>
                      <w:divsChild>
                        <w:div w:id="1486388959">
                          <w:marLeft w:val="0"/>
                          <w:marRight w:val="0"/>
                          <w:marTop w:val="0"/>
                          <w:marBottom w:val="0"/>
                          <w:divBdr>
                            <w:top w:val="none" w:sz="0" w:space="0" w:color="auto"/>
                            <w:left w:val="none" w:sz="0" w:space="0" w:color="auto"/>
                            <w:bottom w:val="none" w:sz="0" w:space="0" w:color="auto"/>
                            <w:right w:val="none" w:sz="0" w:space="0" w:color="auto"/>
                          </w:divBdr>
                          <w:divsChild>
                            <w:div w:id="93862561">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946232">
      <w:bodyDiv w:val="1"/>
      <w:marLeft w:val="0"/>
      <w:marRight w:val="0"/>
      <w:marTop w:val="0"/>
      <w:marBottom w:val="0"/>
      <w:divBdr>
        <w:top w:val="none" w:sz="0" w:space="0" w:color="auto"/>
        <w:left w:val="none" w:sz="0" w:space="0" w:color="auto"/>
        <w:bottom w:val="none" w:sz="0" w:space="0" w:color="auto"/>
        <w:right w:val="none" w:sz="0" w:space="0" w:color="auto"/>
      </w:divBdr>
      <w:divsChild>
        <w:div w:id="1835218533">
          <w:marLeft w:val="0"/>
          <w:marRight w:val="0"/>
          <w:marTop w:val="0"/>
          <w:marBottom w:val="0"/>
          <w:divBdr>
            <w:top w:val="none" w:sz="0" w:space="0" w:color="auto"/>
            <w:left w:val="none" w:sz="0" w:space="0" w:color="auto"/>
            <w:bottom w:val="none" w:sz="0" w:space="0" w:color="auto"/>
            <w:right w:val="none" w:sz="0" w:space="0" w:color="auto"/>
          </w:divBdr>
          <w:divsChild>
            <w:div w:id="153303477">
              <w:marLeft w:val="0"/>
              <w:marRight w:val="0"/>
              <w:marTop w:val="0"/>
              <w:marBottom w:val="0"/>
              <w:divBdr>
                <w:top w:val="single" w:sz="6" w:space="0" w:color="FDFCF9"/>
                <w:left w:val="none" w:sz="0" w:space="0" w:color="auto"/>
                <w:bottom w:val="single" w:sz="6" w:space="0" w:color="ECE8CD"/>
                <w:right w:val="none" w:sz="0" w:space="0" w:color="auto"/>
              </w:divBdr>
              <w:divsChild>
                <w:div w:id="1147359404">
                  <w:marLeft w:val="0"/>
                  <w:marRight w:val="0"/>
                  <w:marTop w:val="100"/>
                  <w:marBottom w:val="100"/>
                  <w:divBdr>
                    <w:top w:val="none" w:sz="0" w:space="0" w:color="auto"/>
                    <w:left w:val="none" w:sz="0" w:space="0" w:color="auto"/>
                    <w:bottom w:val="none" w:sz="0" w:space="0" w:color="auto"/>
                    <w:right w:val="none" w:sz="0" w:space="0" w:color="auto"/>
                  </w:divBdr>
                  <w:divsChild>
                    <w:div w:id="367075088">
                      <w:marLeft w:val="0"/>
                      <w:marRight w:val="0"/>
                      <w:marTop w:val="705"/>
                      <w:marBottom w:val="0"/>
                      <w:divBdr>
                        <w:top w:val="none" w:sz="0" w:space="0" w:color="auto"/>
                        <w:left w:val="none" w:sz="0" w:space="0" w:color="auto"/>
                        <w:bottom w:val="none" w:sz="0" w:space="0" w:color="auto"/>
                        <w:right w:val="none" w:sz="0" w:space="0" w:color="auto"/>
                      </w:divBdr>
                      <w:divsChild>
                        <w:div w:id="1420637285">
                          <w:marLeft w:val="0"/>
                          <w:marRight w:val="0"/>
                          <w:marTop w:val="0"/>
                          <w:marBottom w:val="0"/>
                          <w:divBdr>
                            <w:top w:val="none" w:sz="0" w:space="0" w:color="auto"/>
                            <w:left w:val="none" w:sz="0" w:space="0" w:color="auto"/>
                            <w:bottom w:val="none" w:sz="0" w:space="0" w:color="auto"/>
                            <w:right w:val="none" w:sz="0" w:space="0" w:color="auto"/>
                          </w:divBdr>
                          <w:divsChild>
                            <w:div w:id="2099327045">
                              <w:marLeft w:val="0"/>
                              <w:marRight w:val="0"/>
                              <w:marTop w:val="0"/>
                              <w:marBottom w:val="0"/>
                              <w:divBdr>
                                <w:top w:val="none" w:sz="0" w:space="0" w:color="auto"/>
                                <w:left w:val="none" w:sz="0" w:space="0" w:color="auto"/>
                                <w:bottom w:val="none" w:sz="0" w:space="0" w:color="auto"/>
                                <w:right w:val="none" w:sz="0" w:space="0" w:color="auto"/>
                              </w:divBdr>
                              <w:divsChild>
                                <w:div w:id="1238593407">
                                  <w:marLeft w:val="450"/>
                                  <w:marRight w:val="450"/>
                                  <w:marTop w:val="0"/>
                                  <w:marBottom w:val="0"/>
                                  <w:divBdr>
                                    <w:top w:val="none" w:sz="0" w:space="0" w:color="auto"/>
                                    <w:left w:val="none" w:sz="0" w:space="0" w:color="auto"/>
                                    <w:bottom w:val="none" w:sz="0" w:space="0" w:color="auto"/>
                                    <w:right w:val="none" w:sz="0" w:space="0" w:color="auto"/>
                                  </w:divBdr>
                                  <w:divsChild>
                                    <w:div w:id="776146473">
                                      <w:marLeft w:val="0"/>
                                      <w:marRight w:val="0"/>
                                      <w:marTop w:val="0"/>
                                      <w:marBottom w:val="0"/>
                                      <w:divBdr>
                                        <w:top w:val="none" w:sz="0" w:space="0" w:color="auto"/>
                                        <w:left w:val="none" w:sz="0" w:space="0" w:color="auto"/>
                                        <w:bottom w:val="none" w:sz="0" w:space="0" w:color="auto"/>
                                        <w:right w:val="none" w:sz="0" w:space="0" w:color="auto"/>
                                      </w:divBdr>
                                      <w:divsChild>
                                        <w:div w:id="1173447414">
                                          <w:marLeft w:val="0"/>
                                          <w:marRight w:val="0"/>
                                          <w:marTop w:val="0"/>
                                          <w:marBottom w:val="300"/>
                                          <w:divBdr>
                                            <w:top w:val="single" w:sz="6" w:space="15" w:color="E3E1DC"/>
                                            <w:left w:val="single" w:sz="6" w:space="15" w:color="E3E1DC"/>
                                            <w:bottom w:val="single" w:sz="6" w:space="15" w:color="E3E1DC"/>
                                            <w:right w:val="single" w:sz="6" w:space="15" w:color="E3E1DC"/>
                                          </w:divBdr>
                                        </w:div>
                                      </w:divsChild>
                                    </w:div>
                                  </w:divsChild>
                                </w:div>
                              </w:divsChild>
                            </w:div>
                          </w:divsChild>
                        </w:div>
                      </w:divsChild>
                    </w:div>
                  </w:divsChild>
                </w:div>
              </w:divsChild>
            </w:div>
          </w:divsChild>
        </w:div>
      </w:divsChild>
    </w:div>
    <w:div w:id="1661420258">
      <w:bodyDiv w:val="1"/>
      <w:marLeft w:val="0"/>
      <w:marRight w:val="0"/>
      <w:marTop w:val="0"/>
      <w:marBottom w:val="0"/>
      <w:divBdr>
        <w:top w:val="none" w:sz="0" w:space="0" w:color="auto"/>
        <w:left w:val="none" w:sz="0" w:space="0" w:color="auto"/>
        <w:bottom w:val="none" w:sz="0" w:space="0" w:color="auto"/>
        <w:right w:val="none" w:sz="0" w:space="0" w:color="auto"/>
      </w:divBdr>
      <w:divsChild>
        <w:div w:id="502015388">
          <w:marLeft w:val="0"/>
          <w:marRight w:val="0"/>
          <w:marTop w:val="0"/>
          <w:marBottom w:val="0"/>
          <w:divBdr>
            <w:top w:val="none" w:sz="0" w:space="0" w:color="auto"/>
            <w:left w:val="none" w:sz="0" w:space="0" w:color="auto"/>
            <w:bottom w:val="none" w:sz="0" w:space="0" w:color="auto"/>
            <w:right w:val="none" w:sz="0" w:space="0" w:color="auto"/>
          </w:divBdr>
          <w:divsChild>
            <w:div w:id="1865706594">
              <w:marLeft w:val="0"/>
              <w:marRight w:val="0"/>
              <w:marTop w:val="0"/>
              <w:marBottom w:val="0"/>
              <w:divBdr>
                <w:top w:val="none" w:sz="0" w:space="0" w:color="auto"/>
                <w:left w:val="none" w:sz="0" w:space="0" w:color="auto"/>
                <w:bottom w:val="none" w:sz="0" w:space="0" w:color="auto"/>
                <w:right w:val="none" w:sz="0" w:space="0" w:color="auto"/>
              </w:divBdr>
              <w:divsChild>
                <w:div w:id="719548900">
                  <w:marLeft w:val="0"/>
                  <w:marRight w:val="0"/>
                  <w:marTop w:val="0"/>
                  <w:marBottom w:val="0"/>
                  <w:divBdr>
                    <w:top w:val="none" w:sz="0" w:space="0" w:color="auto"/>
                    <w:left w:val="none" w:sz="0" w:space="0" w:color="auto"/>
                    <w:bottom w:val="none" w:sz="0" w:space="0" w:color="auto"/>
                    <w:right w:val="none" w:sz="0" w:space="0" w:color="auto"/>
                  </w:divBdr>
                  <w:divsChild>
                    <w:div w:id="576018125">
                      <w:marLeft w:val="0"/>
                      <w:marRight w:val="0"/>
                      <w:marTop w:val="0"/>
                      <w:marBottom w:val="0"/>
                      <w:divBdr>
                        <w:top w:val="none" w:sz="0" w:space="0" w:color="auto"/>
                        <w:left w:val="none" w:sz="0" w:space="0" w:color="auto"/>
                        <w:bottom w:val="none" w:sz="0" w:space="0" w:color="auto"/>
                        <w:right w:val="none" w:sz="0" w:space="0" w:color="auto"/>
                      </w:divBdr>
                      <w:divsChild>
                        <w:div w:id="627277200">
                          <w:marLeft w:val="0"/>
                          <w:marRight w:val="0"/>
                          <w:marTop w:val="0"/>
                          <w:marBottom w:val="0"/>
                          <w:divBdr>
                            <w:top w:val="none" w:sz="0" w:space="0" w:color="auto"/>
                            <w:left w:val="none" w:sz="0" w:space="0" w:color="auto"/>
                            <w:bottom w:val="none" w:sz="0" w:space="0" w:color="auto"/>
                            <w:right w:val="none" w:sz="0" w:space="0" w:color="auto"/>
                          </w:divBdr>
                          <w:divsChild>
                            <w:div w:id="1704550214">
                              <w:marLeft w:val="0"/>
                              <w:marRight w:val="0"/>
                              <w:marTop w:val="480"/>
                              <w:marBottom w:val="240"/>
                              <w:divBdr>
                                <w:top w:val="none" w:sz="0" w:space="0" w:color="auto"/>
                                <w:left w:val="none" w:sz="0" w:space="0" w:color="auto"/>
                                <w:bottom w:val="none" w:sz="0" w:space="0" w:color="auto"/>
                                <w:right w:val="none" w:sz="0" w:space="0" w:color="auto"/>
                              </w:divBdr>
                            </w:div>
                            <w:div w:id="310990344">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608524">
      <w:bodyDiv w:val="1"/>
      <w:marLeft w:val="0"/>
      <w:marRight w:val="0"/>
      <w:marTop w:val="0"/>
      <w:marBottom w:val="0"/>
      <w:divBdr>
        <w:top w:val="none" w:sz="0" w:space="0" w:color="auto"/>
        <w:left w:val="none" w:sz="0" w:space="0" w:color="auto"/>
        <w:bottom w:val="none" w:sz="0" w:space="0" w:color="auto"/>
        <w:right w:val="none" w:sz="0" w:space="0" w:color="auto"/>
      </w:divBdr>
      <w:divsChild>
        <w:div w:id="1358045236">
          <w:marLeft w:val="0"/>
          <w:marRight w:val="0"/>
          <w:marTop w:val="0"/>
          <w:marBottom w:val="0"/>
          <w:divBdr>
            <w:top w:val="none" w:sz="0" w:space="0" w:color="auto"/>
            <w:left w:val="none" w:sz="0" w:space="0" w:color="auto"/>
            <w:bottom w:val="none" w:sz="0" w:space="0" w:color="auto"/>
            <w:right w:val="none" w:sz="0" w:space="0" w:color="auto"/>
          </w:divBdr>
          <w:divsChild>
            <w:div w:id="778909078">
              <w:marLeft w:val="0"/>
              <w:marRight w:val="0"/>
              <w:marTop w:val="0"/>
              <w:marBottom w:val="0"/>
              <w:divBdr>
                <w:top w:val="none" w:sz="0" w:space="0" w:color="auto"/>
                <w:left w:val="none" w:sz="0" w:space="0" w:color="auto"/>
                <w:bottom w:val="none" w:sz="0" w:space="0" w:color="auto"/>
                <w:right w:val="none" w:sz="0" w:space="0" w:color="auto"/>
              </w:divBdr>
              <w:divsChild>
                <w:div w:id="1907296955">
                  <w:marLeft w:val="0"/>
                  <w:marRight w:val="0"/>
                  <w:marTop w:val="0"/>
                  <w:marBottom w:val="0"/>
                  <w:divBdr>
                    <w:top w:val="none" w:sz="0" w:space="0" w:color="auto"/>
                    <w:left w:val="none" w:sz="0" w:space="0" w:color="auto"/>
                    <w:bottom w:val="none" w:sz="0" w:space="0" w:color="auto"/>
                    <w:right w:val="none" w:sz="0" w:space="0" w:color="auto"/>
                  </w:divBdr>
                  <w:divsChild>
                    <w:div w:id="1284574298">
                      <w:marLeft w:val="0"/>
                      <w:marRight w:val="0"/>
                      <w:marTop w:val="0"/>
                      <w:marBottom w:val="0"/>
                      <w:divBdr>
                        <w:top w:val="none" w:sz="0" w:space="0" w:color="auto"/>
                        <w:left w:val="none" w:sz="0" w:space="0" w:color="auto"/>
                        <w:bottom w:val="none" w:sz="0" w:space="0" w:color="auto"/>
                        <w:right w:val="none" w:sz="0" w:space="0" w:color="auto"/>
                      </w:divBdr>
                      <w:divsChild>
                        <w:div w:id="497966075">
                          <w:marLeft w:val="0"/>
                          <w:marRight w:val="0"/>
                          <w:marTop w:val="0"/>
                          <w:marBottom w:val="0"/>
                          <w:divBdr>
                            <w:top w:val="none" w:sz="0" w:space="0" w:color="auto"/>
                            <w:left w:val="none" w:sz="0" w:space="0" w:color="auto"/>
                            <w:bottom w:val="none" w:sz="0" w:space="0" w:color="auto"/>
                            <w:right w:val="none" w:sz="0" w:space="0" w:color="auto"/>
                          </w:divBdr>
                          <w:divsChild>
                            <w:div w:id="128735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82044">
      <w:bodyDiv w:val="1"/>
      <w:marLeft w:val="0"/>
      <w:marRight w:val="0"/>
      <w:marTop w:val="0"/>
      <w:marBottom w:val="0"/>
      <w:divBdr>
        <w:top w:val="none" w:sz="0" w:space="0" w:color="auto"/>
        <w:left w:val="none" w:sz="0" w:space="0" w:color="auto"/>
        <w:bottom w:val="none" w:sz="0" w:space="0" w:color="auto"/>
        <w:right w:val="none" w:sz="0" w:space="0" w:color="auto"/>
      </w:divBdr>
      <w:divsChild>
        <w:div w:id="656225500">
          <w:marLeft w:val="0"/>
          <w:marRight w:val="0"/>
          <w:marTop w:val="0"/>
          <w:marBottom w:val="0"/>
          <w:divBdr>
            <w:top w:val="none" w:sz="0" w:space="0" w:color="auto"/>
            <w:left w:val="none" w:sz="0" w:space="0" w:color="auto"/>
            <w:bottom w:val="none" w:sz="0" w:space="0" w:color="auto"/>
            <w:right w:val="none" w:sz="0" w:space="0" w:color="auto"/>
          </w:divBdr>
          <w:divsChild>
            <w:div w:id="1380939328">
              <w:marLeft w:val="0"/>
              <w:marRight w:val="0"/>
              <w:marTop w:val="0"/>
              <w:marBottom w:val="0"/>
              <w:divBdr>
                <w:top w:val="none" w:sz="0" w:space="0" w:color="auto"/>
                <w:left w:val="none" w:sz="0" w:space="0" w:color="auto"/>
                <w:bottom w:val="none" w:sz="0" w:space="0" w:color="auto"/>
                <w:right w:val="none" w:sz="0" w:space="0" w:color="auto"/>
              </w:divBdr>
              <w:divsChild>
                <w:div w:id="1619294058">
                  <w:marLeft w:val="0"/>
                  <w:marRight w:val="0"/>
                  <w:marTop w:val="0"/>
                  <w:marBottom w:val="0"/>
                  <w:divBdr>
                    <w:top w:val="none" w:sz="0" w:space="0" w:color="auto"/>
                    <w:left w:val="none" w:sz="0" w:space="0" w:color="auto"/>
                    <w:bottom w:val="none" w:sz="0" w:space="0" w:color="auto"/>
                    <w:right w:val="none" w:sz="0" w:space="0" w:color="auto"/>
                  </w:divBdr>
                  <w:divsChild>
                    <w:div w:id="912085754">
                      <w:marLeft w:val="0"/>
                      <w:marRight w:val="0"/>
                      <w:marTop w:val="0"/>
                      <w:marBottom w:val="0"/>
                      <w:divBdr>
                        <w:top w:val="none" w:sz="0" w:space="0" w:color="auto"/>
                        <w:left w:val="none" w:sz="0" w:space="0" w:color="auto"/>
                        <w:bottom w:val="none" w:sz="0" w:space="0" w:color="auto"/>
                        <w:right w:val="none" w:sz="0" w:space="0" w:color="auto"/>
                      </w:divBdr>
                      <w:divsChild>
                        <w:div w:id="1983384819">
                          <w:marLeft w:val="0"/>
                          <w:marRight w:val="0"/>
                          <w:marTop w:val="0"/>
                          <w:marBottom w:val="0"/>
                          <w:divBdr>
                            <w:top w:val="none" w:sz="0" w:space="0" w:color="auto"/>
                            <w:left w:val="none" w:sz="0" w:space="0" w:color="auto"/>
                            <w:bottom w:val="none" w:sz="0" w:space="0" w:color="auto"/>
                            <w:right w:val="none" w:sz="0" w:space="0" w:color="auto"/>
                          </w:divBdr>
                          <w:divsChild>
                            <w:div w:id="913903392">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k.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nis.ilsters@vugd.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unita.nikitina@vugd.gov.lv" TargetMode="External"/><Relationship Id="rId4" Type="http://schemas.openxmlformats.org/officeDocument/2006/relationships/settings" Target="settings.xml"/><Relationship Id="rId9" Type="http://schemas.openxmlformats.org/officeDocument/2006/relationships/hyperlink" Target="http://www.iem.gov.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3D34C-D62B-4F58-9D3E-1E78F4A2D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2265</TotalTime>
  <Pages>1</Pages>
  <Words>3046</Words>
  <Characters>22024</Characters>
  <Application>Microsoft Office Word</Application>
  <DocSecurity>0</DocSecurity>
  <Lines>815</Lines>
  <Paragraphs>291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VUGD</Company>
  <LinksUpToDate>false</LinksUpToDate>
  <CharactersWithSpaces>24779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Gunita Ņikitina</dc:creator>
  <cp:lastModifiedBy>Gunita Ņikitina</cp:lastModifiedBy>
  <cp:revision>291</cp:revision>
  <cp:lastPrinted>2017-02-08T13:17:00Z</cp:lastPrinted>
  <dcterms:created xsi:type="dcterms:W3CDTF">2014-12-02T08:25:00Z</dcterms:created>
  <dcterms:modified xsi:type="dcterms:W3CDTF">2017-02-15T11:33:00Z</dcterms:modified>
</cp:coreProperties>
</file>