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0705" w14:textId="4AAF5F98" w:rsidR="00152894" w:rsidRPr="003A3A17" w:rsidRDefault="00EA2959" w:rsidP="006A41E2">
      <w:pPr>
        <w:pStyle w:val="Annexetitre"/>
        <w:rPr>
          <w:noProof/>
          <w:lang w:val="lv-LV"/>
        </w:rPr>
      </w:pPr>
      <w:r w:rsidRPr="003A3A17">
        <w:rPr>
          <w:noProof/>
          <w:lang w:val="lv-LV"/>
        </w:rPr>
        <w:br/>
      </w:r>
      <w:r w:rsidR="004063D5" w:rsidRPr="003A3A17">
        <w:rPr>
          <w:noProof/>
          <w:lang w:val="lv-LV"/>
        </w:rPr>
        <w:t>G</w:t>
      </w:r>
      <w:r w:rsidRPr="003A3A17">
        <w:rPr>
          <w:noProof/>
          <w:lang w:val="lv-LV"/>
        </w:rPr>
        <w:t>ada snieguma ziņojum</w:t>
      </w:r>
      <w:r w:rsidR="004063D5" w:rsidRPr="003A3A17">
        <w:rPr>
          <w:noProof/>
          <w:lang w:val="lv-LV"/>
        </w:rPr>
        <w:t>s</w:t>
      </w:r>
      <w:r w:rsidRPr="003A3A17">
        <w:rPr>
          <w:noProof/>
          <w:lang w:val="lv-LV"/>
        </w:rPr>
        <w:t>, ko dalībvalstis iesniedz Komisijai par Iekšējās drošības fondu saskaņā ar Regulas (ES) 2021/1149 30. pantu</w:t>
      </w:r>
    </w:p>
    <w:p w14:paraId="77681418" w14:textId="77777777" w:rsidR="006A41E2" w:rsidRPr="003A3A17" w:rsidRDefault="006A41E2" w:rsidP="006A41E2">
      <w:pPr>
        <w:pStyle w:val="ManualHeading1"/>
        <w:rPr>
          <w:noProof/>
          <w:lang w:val="lv-LV"/>
        </w:rPr>
      </w:pPr>
      <w:r w:rsidRPr="003A3A17">
        <w:rPr>
          <w:noProof/>
          <w:lang w:val="lv-LV"/>
        </w:rPr>
        <w:t>IDENTIFIKĀCIJA</w:t>
      </w:r>
    </w:p>
    <w:tbl>
      <w:tblPr>
        <w:tblStyle w:val="TableGrid"/>
        <w:tblW w:w="0" w:type="auto"/>
        <w:tblLook w:val="04A0" w:firstRow="1" w:lastRow="0" w:firstColumn="1" w:lastColumn="0" w:noHBand="0" w:noVBand="1"/>
      </w:tblPr>
      <w:tblGrid>
        <w:gridCol w:w="4523"/>
        <w:gridCol w:w="4540"/>
      </w:tblGrid>
      <w:tr w:rsidR="003A3A17" w:rsidRPr="003A3A17" w14:paraId="4572D604" w14:textId="77777777" w:rsidTr="00901E53">
        <w:tc>
          <w:tcPr>
            <w:tcW w:w="4523" w:type="dxa"/>
          </w:tcPr>
          <w:p w14:paraId="6ED7CF48" w14:textId="77777777" w:rsidR="006A41E2" w:rsidRPr="003A3A17" w:rsidRDefault="006A41E2" w:rsidP="00E45665">
            <w:pPr>
              <w:pStyle w:val="Personnequisigne"/>
              <w:rPr>
                <w:noProof/>
                <w:lang w:val="lv-LV"/>
              </w:rPr>
            </w:pPr>
            <w:r w:rsidRPr="003A3A17">
              <w:rPr>
                <w:noProof/>
                <w:lang w:val="lv-LV"/>
              </w:rPr>
              <w:t>CCI</w:t>
            </w:r>
          </w:p>
        </w:tc>
        <w:tc>
          <w:tcPr>
            <w:tcW w:w="4540" w:type="dxa"/>
          </w:tcPr>
          <w:p w14:paraId="6837F304" w14:textId="1F26C922" w:rsidR="006A41E2" w:rsidRPr="003A3A17" w:rsidRDefault="006A41E2" w:rsidP="00E45665">
            <w:pPr>
              <w:pStyle w:val="Personnequisigne"/>
              <w:rPr>
                <w:noProof/>
                <w:lang w:val="lv-LV"/>
              </w:rPr>
            </w:pPr>
          </w:p>
        </w:tc>
      </w:tr>
      <w:tr w:rsidR="003A3A17" w:rsidRPr="003A3A17" w14:paraId="27126217" w14:textId="77777777" w:rsidTr="00901E53">
        <w:tc>
          <w:tcPr>
            <w:tcW w:w="4523" w:type="dxa"/>
          </w:tcPr>
          <w:p w14:paraId="61893111" w14:textId="77777777" w:rsidR="006A41E2" w:rsidRPr="003A3A17" w:rsidRDefault="006A41E2" w:rsidP="00E45665">
            <w:pPr>
              <w:pStyle w:val="Personnequisigne"/>
              <w:rPr>
                <w:noProof/>
                <w:lang w:val="lv-LV"/>
              </w:rPr>
            </w:pPr>
            <w:r w:rsidRPr="003A3A17">
              <w:rPr>
                <w:noProof/>
                <w:lang w:val="lv-LV"/>
              </w:rPr>
              <w:t>Nosaukums</w:t>
            </w:r>
          </w:p>
        </w:tc>
        <w:tc>
          <w:tcPr>
            <w:tcW w:w="4540" w:type="dxa"/>
          </w:tcPr>
          <w:p w14:paraId="672C3C4E" w14:textId="1B232772" w:rsidR="006A41E2" w:rsidRPr="003A3A17" w:rsidRDefault="00A2118B" w:rsidP="00E45665">
            <w:pPr>
              <w:pStyle w:val="Personnequisigne"/>
              <w:rPr>
                <w:noProof/>
                <w:lang w:val="lv-LV"/>
              </w:rPr>
            </w:pPr>
            <w:r w:rsidRPr="003A3A17">
              <w:rPr>
                <w:noProof/>
                <w:lang w:val="lv-LV"/>
              </w:rPr>
              <w:t>Iekšējās drošības fonda nacionālās programmas gada snieguma ziņojums</w:t>
            </w:r>
          </w:p>
        </w:tc>
      </w:tr>
      <w:tr w:rsidR="003A3A17" w:rsidRPr="003A3A17" w14:paraId="1C58E2B9" w14:textId="77777777" w:rsidTr="00901E53">
        <w:tc>
          <w:tcPr>
            <w:tcW w:w="4523" w:type="dxa"/>
          </w:tcPr>
          <w:p w14:paraId="0749D976" w14:textId="77777777" w:rsidR="006A41E2" w:rsidRPr="003A3A17" w:rsidRDefault="006A41E2" w:rsidP="00E45665">
            <w:pPr>
              <w:pStyle w:val="Personnequisigne"/>
              <w:rPr>
                <w:noProof/>
                <w:lang w:val="lv-LV"/>
              </w:rPr>
            </w:pPr>
            <w:r w:rsidRPr="003A3A17">
              <w:rPr>
                <w:noProof/>
                <w:lang w:val="lv-LV"/>
              </w:rPr>
              <w:t>Versija</w:t>
            </w:r>
          </w:p>
        </w:tc>
        <w:tc>
          <w:tcPr>
            <w:tcW w:w="4540" w:type="dxa"/>
          </w:tcPr>
          <w:p w14:paraId="372833D2" w14:textId="1E15921C" w:rsidR="006A41E2" w:rsidRPr="003A3A17" w:rsidRDefault="006A41E2" w:rsidP="00E45665">
            <w:pPr>
              <w:pStyle w:val="Personnequisigne"/>
              <w:rPr>
                <w:noProof/>
                <w:lang w:val="lv-LV"/>
              </w:rPr>
            </w:pPr>
          </w:p>
        </w:tc>
      </w:tr>
      <w:tr w:rsidR="003A3A17" w:rsidRPr="003A3A17" w14:paraId="75E65B32" w14:textId="77777777" w:rsidTr="00901E53">
        <w:tc>
          <w:tcPr>
            <w:tcW w:w="4523" w:type="dxa"/>
          </w:tcPr>
          <w:p w14:paraId="18FE881C" w14:textId="77777777" w:rsidR="00901E53" w:rsidRPr="003A3A17" w:rsidRDefault="00901E53" w:rsidP="00901E53">
            <w:pPr>
              <w:pStyle w:val="Personnequisigne"/>
              <w:rPr>
                <w:noProof/>
                <w:lang w:val="lv-LV"/>
              </w:rPr>
            </w:pPr>
            <w:r w:rsidRPr="003A3A17">
              <w:rPr>
                <w:noProof/>
                <w:lang w:val="lv-LV"/>
              </w:rPr>
              <w:t>Grāmatvedības gads</w:t>
            </w:r>
          </w:p>
        </w:tc>
        <w:tc>
          <w:tcPr>
            <w:tcW w:w="4540" w:type="dxa"/>
          </w:tcPr>
          <w:p w14:paraId="77B856C9" w14:textId="6C584F4B" w:rsidR="00901E53" w:rsidRPr="003A3A17" w:rsidRDefault="00901E53" w:rsidP="00901E53">
            <w:pPr>
              <w:pStyle w:val="Personnequisigne"/>
              <w:rPr>
                <w:noProof/>
                <w:lang w:val="lv-LV"/>
              </w:rPr>
            </w:pPr>
            <w:r w:rsidRPr="003A3A17">
              <w:rPr>
                <w:noProof/>
                <w:lang w:val="lv-LV"/>
              </w:rPr>
              <w:t>01.07.2023-30.06.2024</w:t>
            </w:r>
          </w:p>
        </w:tc>
      </w:tr>
      <w:tr w:rsidR="003A3A17" w:rsidRPr="003A3A17" w14:paraId="4573001C" w14:textId="77777777" w:rsidTr="00901E53">
        <w:tc>
          <w:tcPr>
            <w:tcW w:w="4523" w:type="dxa"/>
          </w:tcPr>
          <w:p w14:paraId="214588DF" w14:textId="77777777" w:rsidR="006A41E2" w:rsidRPr="003A3A17" w:rsidRDefault="006A41E2" w:rsidP="00E45665">
            <w:pPr>
              <w:pStyle w:val="Personnequisigne"/>
              <w:rPr>
                <w:noProof/>
                <w:lang w:val="lv-LV"/>
              </w:rPr>
            </w:pPr>
            <w:r w:rsidRPr="003A3A17">
              <w:rPr>
                <w:noProof/>
                <w:lang w:val="lv-LV"/>
              </w:rPr>
              <w:t>Datums, kad ziņojumu apstiprinājusi uzraudzības komiteja</w:t>
            </w:r>
          </w:p>
        </w:tc>
        <w:tc>
          <w:tcPr>
            <w:tcW w:w="4540" w:type="dxa"/>
          </w:tcPr>
          <w:p w14:paraId="03A0A8A9" w14:textId="3051B05E" w:rsidR="006A41E2" w:rsidRPr="003A3A17" w:rsidRDefault="006A41E2" w:rsidP="00E45665">
            <w:pPr>
              <w:pStyle w:val="Personnequisigne"/>
              <w:rPr>
                <w:noProof/>
                <w:lang w:val="lv-LV"/>
              </w:rPr>
            </w:pPr>
          </w:p>
        </w:tc>
      </w:tr>
    </w:tbl>
    <w:p w14:paraId="67D80C29" w14:textId="5F2D349B" w:rsidR="006A41E2" w:rsidRPr="003A3A17" w:rsidRDefault="00B32C89" w:rsidP="00B32C89">
      <w:pPr>
        <w:pStyle w:val="ManualHeading1"/>
        <w:rPr>
          <w:noProof/>
          <w:lang w:val="lv-LV"/>
        </w:rPr>
      </w:pPr>
      <w:r w:rsidRPr="003A3A17">
        <w:rPr>
          <w:lang w:val="lv-LV"/>
        </w:rPr>
        <w:t>1.</w:t>
      </w:r>
      <w:r w:rsidRPr="003A3A17">
        <w:rPr>
          <w:lang w:val="lv-LV"/>
        </w:rPr>
        <w:tab/>
      </w:r>
      <w:r w:rsidR="006A41E2" w:rsidRPr="003A3A17">
        <w:rPr>
          <w:noProof/>
          <w:lang w:val="lv-LV"/>
        </w:rPr>
        <w:t>Sniegums</w:t>
      </w:r>
    </w:p>
    <w:p w14:paraId="66576080" w14:textId="703C9501" w:rsidR="006A41E2" w:rsidRPr="003A3A17" w:rsidRDefault="00B32C89" w:rsidP="00B32C89">
      <w:pPr>
        <w:pStyle w:val="ManualHeading2"/>
        <w:rPr>
          <w:noProof/>
          <w:lang w:val="lv-LV"/>
        </w:rPr>
      </w:pPr>
      <w:r w:rsidRPr="003A3A17">
        <w:rPr>
          <w:lang w:val="lv-LV"/>
        </w:rPr>
        <w:t>1.1.</w:t>
      </w:r>
      <w:r w:rsidRPr="003A3A17">
        <w:rPr>
          <w:lang w:val="lv-LV"/>
        </w:rPr>
        <w:tab/>
      </w:r>
      <w:r w:rsidR="006A41E2" w:rsidRPr="003A3A17">
        <w:rPr>
          <w:noProof/>
          <w:lang w:val="lv-LV"/>
        </w:rPr>
        <w:t>Īstenošanā gūtais progress – Regulas (ES) 2021/1149 30. panta 2. punkta a) apakšpunkts</w:t>
      </w:r>
    </w:p>
    <w:p w14:paraId="411E0603" w14:textId="77777777" w:rsidR="006A41E2" w:rsidRPr="003A3A17" w:rsidRDefault="006A41E2" w:rsidP="006A41E2">
      <w:pPr>
        <w:rPr>
          <w:noProof/>
          <w:lang w:val="lv-LV"/>
        </w:rPr>
      </w:pPr>
      <w:r w:rsidRPr="003A3A17">
        <w:rPr>
          <w:noProof/>
          <w:lang w:val="lv-LV"/>
        </w:rPr>
        <w:t>Par katru konkrēto mērķi paziņojiet, kāds progress gūts programmas īstenošanā un tajā izklāstīto starpposma rādītāju un mērķrādītāju sasniegšanā, ņemot vērā jaunākos datus par grāmatvedības gadu, kā noteikts Regulas (ES) 2021/1060 42. pantā. Ar to ir domāti kumulatīvie dati, kas sniegti līdz tā gada 31. jūlijam, kurš ir pirms ziņojuma iesniegšanas gada.</w:t>
      </w:r>
    </w:p>
    <w:p w14:paraId="37D97011" w14:textId="77777777" w:rsidR="006A41E2" w:rsidRPr="003A3A17" w:rsidRDefault="006A41E2" w:rsidP="006A41E2">
      <w:pPr>
        <w:rPr>
          <w:noProof/>
          <w:lang w:val="lv-LV"/>
        </w:rPr>
      </w:pPr>
      <w:r w:rsidRPr="003A3A17">
        <w:rPr>
          <w:noProof/>
          <w:lang w:val="lv-LV"/>
        </w:rPr>
        <w:t xml:space="preserve">Katram konkrētajam mērķim informāciju par progresu vēlams strukturēt pēc programmā noteiktajiem īstenošanas pasākumiem, indikatīvajām darbībām un vēlamajiem rezultātiem. </w:t>
      </w:r>
    </w:p>
    <w:p w14:paraId="2BAD00E3" w14:textId="4DD00C56" w:rsidR="006A41E2" w:rsidRPr="003A3A17" w:rsidRDefault="001F7F00" w:rsidP="006A41E2">
      <w:pPr>
        <w:rPr>
          <w:noProof/>
          <w:lang w:val="lv-LV"/>
        </w:rPr>
      </w:pPr>
      <w:r w:rsidRPr="003A3A17">
        <w:rPr>
          <w:noProof/>
          <w:lang w:val="lv-LV"/>
        </w:rPr>
        <w:t xml:space="preserve">Aprakstiet arī visus pasākumus, kas veikti, un attiecīgās aktivitātes, kas saistītas ar Regulas (ES) 2021/1060 8. panta 2. punktā minētās partnerības īstenošanu. </w:t>
      </w:r>
    </w:p>
    <w:tbl>
      <w:tblPr>
        <w:tblStyle w:val="TableGrid"/>
        <w:tblW w:w="0" w:type="auto"/>
        <w:tblLook w:val="04A0" w:firstRow="1" w:lastRow="0" w:firstColumn="1" w:lastColumn="0" w:noHBand="0" w:noVBand="1"/>
      </w:tblPr>
      <w:tblGrid>
        <w:gridCol w:w="9063"/>
      </w:tblGrid>
      <w:tr w:rsidR="003A3A17" w:rsidRPr="00037FD2" w14:paraId="716724D8" w14:textId="77777777" w:rsidTr="00E45665">
        <w:tc>
          <w:tcPr>
            <w:tcW w:w="9289" w:type="dxa"/>
          </w:tcPr>
          <w:p w14:paraId="572D2302" w14:textId="77777777" w:rsidR="006A41E2" w:rsidRPr="003A3A17" w:rsidRDefault="00EA1A2F" w:rsidP="00B54958">
            <w:pPr>
              <w:pStyle w:val="Personnequisigne"/>
              <w:rPr>
                <w:noProof/>
                <w:lang w:val="lv-LV"/>
              </w:rPr>
            </w:pPr>
            <w:r w:rsidRPr="003A3A17">
              <w:rPr>
                <w:noProof/>
                <w:lang w:val="lv-LV"/>
              </w:rPr>
              <w:t>Šeit ierakstiet tekstu. Ne vairāk kā 7000 rakstzīmes.</w:t>
            </w:r>
          </w:p>
          <w:p w14:paraId="041AC8C0" w14:textId="77777777" w:rsidR="00540164" w:rsidRPr="003A3A17" w:rsidRDefault="00540164" w:rsidP="00540164">
            <w:pPr>
              <w:pStyle w:val="Institutionquisigne"/>
              <w:spacing w:before="0"/>
              <w:rPr>
                <w:i w:val="0"/>
                <w:lang w:val="lv-LV"/>
              </w:rPr>
            </w:pPr>
            <w:bookmarkStart w:id="0" w:name="_Hlk158713595"/>
          </w:p>
          <w:p w14:paraId="0D9D5C66" w14:textId="675C0BA3" w:rsidR="00A44041" w:rsidRPr="00DB1D8E" w:rsidRDefault="00A44041" w:rsidP="00DB1D8E">
            <w:pPr>
              <w:pStyle w:val="Institutionquisigne"/>
              <w:spacing w:before="0"/>
              <w:ind w:firstLine="743"/>
              <w:rPr>
                <w:bCs/>
                <w:i w:val="0"/>
                <w:lang w:val="lv-LV"/>
              </w:rPr>
            </w:pPr>
            <w:r w:rsidRPr="003A3A17">
              <w:rPr>
                <w:i w:val="0"/>
                <w:lang w:val="lv-LV"/>
              </w:rPr>
              <w:t xml:space="preserve">Iekšējās drošības fondā (turpmāk - </w:t>
            </w:r>
            <w:r w:rsidR="0040191A">
              <w:rPr>
                <w:i w:val="0"/>
                <w:lang w:val="lv-LV"/>
              </w:rPr>
              <w:t>IDF</w:t>
            </w:r>
            <w:r w:rsidRPr="003A3A17">
              <w:rPr>
                <w:i w:val="0"/>
                <w:lang w:val="lv-LV"/>
              </w:rPr>
              <w:t xml:space="preserve">) </w:t>
            </w:r>
            <w:r w:rsidRPr="00DB1D8E">
              <w:rPr>
                <w:bCs/>
                <w:i w:val="0"/>
                <w:lang w:val="lv-LV"/>
              </w:rPr>
              <w:t xml:space="preserve">grāmatvedības periodā 01.07.2023-30.06.2024 (turpmāk – grāmatvedības periods) ir </w:t>
            </w:r>
            <w:r w:rsidR="003A3A17" w:rsidRPr="00DB1D8E">
              <w:rPr>
                <w:bCs/>
                <w:i w:val="0"/>
                <w:lang w:val="lv-LV"/>
              </w:rPr>
              <w:t>panākts</w:t>
            </w:r>
            <w:r w:rsidRPr="00DB1D8E">
              <w:rPr>
                <w:bCs/>
                <w:i w:val="0"/>
                <w:lang w:val="lv-LV"/>
              </w:rPr>
              <w:t xml:space="preserve"> šāds progress:</w:t>
            </w:r>
          </w:p>
          <w:bookmarkEnd w:id="0"/>
          <w:p w14:paraId="1591E6DE" w14:textId="77777777" w:rsidR="004063D5" w:rsidRPr="003A3A17" w:rsidRDefault="004063D5" w:rsidP="004063D5">
            <w:pPr>
              <w:pStyle w:val="Personnequisigne"/>
              <w:rPr>
                <w:lang w:val="lv-LV"/>
              </w:rPr>
            </w:pPr>
          </w:p>
          <w:p w14:paraId="32F47BEF" w14:textId="43310BA6" w:rsidR="00103A21" w:rsidRPr="003A3A17" w:rsidRDefault="00B40A51" w:rsidP="00B40A51">
            <w:pPr>
              <w:pStyle w:val="Personnequisigne"/>
              <w:ind w:left="720"/>
              <w:jc w:val="center"/>
              <w:rPr>
                <w:i w:val="0"/>
                <w:u w:val="single"/>
                <w:lang w:val="lv-LV"/>
              </w:rPr>
            </w:pPr>
            <w:r w:rsidRPr="003A3A17">
              <w:rPr>
                <w:i w:val="0"/>
                <w:u w:val="single"/>
                <w:lang w:val="lv-LV"/>
              </w:rPr>
              <w:t xml:space="preserve">1. </w:t>
            </w:r>
            <w:r w:rsidR="00A44041" w:rsidRPr="003A3A17">
              <w:rPr>
                <w:i w:val="0"/>
                <w:u w:val="single"/>
                <w:lang w:val="lv-LV"/>
              </w:rPr>
              <w:t>konkrētais mērķis</w:t>
            </w:r>
            <w:r w:rsidR="008F5F36" w:rsidRPr="003A3A17">
              <w:rPr>
                <w:i w:val="0"/>
                <w:u w:val="single"/>
                <w:lang w:val="lv-LV"/>
              </w:rPr>
              <w:t xml:space="preserve"> “Informācijas apmaiņa”</w:t>
            </w:r>
          </w:p>
          <w:p w14:paraId="683A7428" w14:textId="77777777" w:rsidR="008F5F36" w:rsidRPr="003A3A17" w:rsidRDefault="008F5F36" w:rsidP="008F5F36">
            <w:pPr>
              <w:pStyle w:val="Institutionquisigne"/>
              <w:spacing w:before="0"/>
              <w:rPr>
                <w:lang w:val="lv-LV"/>
              </w:rPr>
            </w:pPr>
          </w:p>
          <w:p w14:paraId="19C8A888" w14:textId="77777777" w:rsidR="00DB1D8E" w:rsidRDefault="000C2EA5" w:rsidP="00DB1D8E">
            <w:pPr>
              <w:pStyle w:val="Institutionquisigne"/>
              <w:spacing w:before="0"/>
              <w:ind w:firstLine="743"/>
              <w:rPr>
                <w:i w:val="0"/>
                <w:iCs/>
                <w:szCs w:val="20"/>
                <w:lang w:val="lv-LV"/>
              </w:rPr>
            </w:pPr>
            <w:r w:rsidRPr="003A3A17">
              <w:rPr>
                <w:i w:val="0"/>
                <w:iCs/>
                <w:szCs w:val="20"/>
                <w:lang w:val="lv-LV"/>
              </w:rPr>
              <w:t xml:space="preserve">Grāmatvedības periodā ir uzsākta 2 </w:t>
            </w:r>
            <w:r w:rsidR="002D548B" w:rsidRPr="003A3A17">
              <w:rPr>
                <w:i w:val="0"/>
                <w:iCs/>
                <w:szCs w:val="20"/>
                <w:lang w:val="lv-LV"/>
              </w:rPr>
              <w:t xml:space="preserve">jaunu </w:t>
            </w:r>
            <w:r w:rsidRPr="003A3A17">
              <w:rPr>
                <w:i w:val="0"/>
                <w:iCs/>
                <w:szCs w:val="20"/>
                <w:lang w:val="lv-LV"/>
              </w:rPr>
              <w:t>projektu īstenošana</w:t>
            </w:r>
            <w:r w:rsidR="002D548B" w:rsidRPr="003A3A17">
              <w:rPr>
                <w:i w:val="0"/>
                <w:iCs/>
                <w:szCs w:val="20"/>
                <w:lang w:val="lv-LV"/>
              </w:rPr>
              <w:t xml:space="preserve"> un turpināts </w:t>
            </w:r>
            <w:r w:rsidR="001C588A" w:rsidRPr="003A3A17">
              <w:rPr>
                <w:i w:val="0"/>
                <w:iCs/>
                <w:szCs w:val="20"/>
                <w:lang w:val="lv-LV"/>
              </w:rPr>
              <w:t>1</w:t>
            </w:r>
            <w:r w:rsidR="002D548B" w:rsidRPr="003A3A17">
              <w:rPr>
                <w:i w:val="0"/>
                <w:iCs/>
                <w:szCs w:val="20"/>
                <w:lang w:val="lv-LV"/>
              </w:rPr>
              <w:t xml:space="preserve"> projekts</w:t>
            </w:r>
            <w:r w:rsidRPr="003A3A17">
              <w:rPr>
                <w:i w:val="0"/>
                <w:iCs/>
                <w:szCs w:val="20"/>
                <w:lang w:val="lv-LV"/>
              </w:rPr>
              <w:t xml:space="preserve">. Finansējuma saņēmēji ir </w:t>
            </w:r>
            <w:proofErr w:type="spellStart"/>
            <w:r w:rsidRPr="003A3A17">
              <w:rPr>
                <w:i w:val="0"/>
                <w:iCs/>
                <w:szCs w:val="20"/>
                <w:lang w:val="lv-LV"/>
              </w:rPr>
              <w:t>Iekšlietu</w:t>
            </w:r>
            <w:proofErr w:type="spellEnd"/>
            <w:r w:rsidRPr="003A3A17">
              <w:rPr>
                <w:i w:val="0"/>
                <w:iCs/>
                <w:szCs w:val="20"/>
                <w:lang w:val="lv-LV"/>
              </w:rPr>
              <w:t xml:space="preserve"> ministrijas Informācijas centrs (turpmāk – IeM IC)</w:t>
            </w:r>
            <w:r w:rsidR="002D548B" w:rsidRPr="003A3A17">
              <w:rPr>
                <w:i w:val="0"/>
                <w:iCs/>
                <w:szCs w:val="20"/>
                <w:lang w:val="lv-LV"/>
              </w:rPr>
              <w:t xml:space="preserve">, </w:t>
            </w:r>
            <w:r w:rsidRPr="003A3A17">
              <w:rPr>
                <w:i w:val="0"/>
                <w:iCs/>
                <w:szCs w:val="20"/>
                <w:lang w:val="lv-LV"/>
              </w:rPr>
              <w:t>Valsts policija (turpmāk – VP)</w:t>
            </w:r>
            <w:r w:rsidR="002D548B" w:rsidRPr="003A3A17">
              <w:rPr>
                <w:i w:val="0"/>
                <w:iCs/>
                <w:szCs w:val="20"/>
                <w:lang w:val="lv-LV"/>
              </w:rPr>
              <w:t xml:space="preserve"> un Valsts drošības dienests (turpmāk – VDD). </w:t>
            </w:r>
          </w:p>
          <w:p w14:paraId="71F7FBBC" w14:textId="4964A95F" w:rsidR="002D548B" w:rsidRPr="00DB1D8E" w:rsidRDefault="00160E49" w:rsidP="00DB1D8E">
            <w:pPr>
              <w:pStyle w:val="Institutionquisigne"/>
              <w:spacing w:before="0"/>
              <w:ind w:firstLine="743"/>
              <w:rPr>
                <w:i w:val="0"/>
                <w:iCs/>
                <w:szCs w:val="20"/>
                <w:lang w:val="lv-LV"/>
              </w:rPr>
            </w:pPr>
            <w:r w:rsidRPr="003A3A17">
              <w:rPr>
                <w:i w:val="0"/>
                <w:iCs/>
                <w:szCs w:val="20"/>
                <w:lang w:val="lv-LV"/>
              </w:rPr>
              <w:t xml:space="preserve">Lai </w:t>
            </w:r>
            <w:r w:rsidR="002D548B" w:rsidRPr="003A3A17">
              <w:rPr>
                <w:i w:val="0"/>
                <w:iCs/>
                <w:szCs w:val="20"/>
                <w:lang w:val="lv-LV"/>
              </w:rPr>
              <w:t xml:space="preserve">sasniegtu nacionālajā programmā noteikto mērķi </w:t>
            </w:r>
            <w:r w:rsidR="009F1880" w:rsidRPr="003A3A17">
              <w:rPr>
                <w:i w:val="0"/>
                <w:iCs/>
                <w:szCs w:val="20"/>
                <w:lang w:val="lv-LV"/>
              </w:rPr>
              <w:t>–</w:t>
            </w:r>
            <w:r w:rsidR="002D548B" w:rsidRPr="003A3A17">
              <w:rPr>
                <w:i w:val="0"/>
                <w:iCs/>
                <w:szCs w:val="20"/>
                <w:lang w:val="lv-LV"/>
              </w:rPr>
              <w:t xml:space="preserve"> </w:t>
            </w:r>
            <w:r w:rsidR="009F1880" w:rsidRPr="003A3A17">
              <w:rPr>
                <w:i w:val="0"/>
                <w:iCs/>
                <w:szCs w:val="20"/>
                <w:lang w:val="lv-LV"/>
              </w:rPr>
              <w:t xml:space="preserve">attīstīt informācijas sistēmu un </w:t>
            </w:r>
            <w:proofErr w:type="spellStart"/>
            <w:r w:rsidR="009F1880" w:rsidRPr="003A3A17">
              <w:rPr>
                <w:i w:val="0"/>
                <w:iCs/>
                <w:szCs w:val="20"/>
                <w:lang w:val="lv-LV"/>
              </w:rPr>
              <w:t>datubāzu</w:t>
            </w:r>
            <w:proofErr w:type="spellEnd"/>
            <w:r w:rsidR="009F1880" w:rsidRPr="003A3A17">
              <w:rPr>
                <w:i w:val="0"/>
                <w:iCs/>
                <w:szCs w:val="20"/>
                <w:lang w:val="lv-LV"/>
              </w:rPr>
              <w:t xml:space="preserve"> </w:t>
            </w:r>
            <w:proofErr w:type="spellStart"/>
            <w:r w:rsidR="009F1880" w:rsidRPr="003A3A17">
              <w:rPr>
                <w:i w:val="0"/>
                <w:iCs/>
                <w:szCs w:val="20"/>
                <w:lang w:val="lv-LV"/>
              </w:rPr>
              <w:t>sadarbspēju</w:t>
            </w:r>
            <w:proofErr w:type="spellEnd"/>
            <w:r w:rsidR="009F1880" w:rsidRPr="003A3A17">
              <w:rPr>
                <w:i w:val="0"/>
                <w:iCs/>
                <w:szCs w:val="20"/>
                <w:lang w:val="lv-LV"/>
              </w:rPr>
              <w:t xml:space="preserve">, IeM IC sadarbībā ar VP </w:t>
            </w:r>
            <w:r w:rsidR="001C588A" w:rsidRPr="003A3A17">
              <w:rPr>
                <w:i w:val="0"/>
                <w:iCs/>
                <w:szCs w:val="20"/>
                <w:lang w:val="lv-LV"/>
              </w:rPr>
              <w:t xml:space="preserve">uzsāka </w:t>
            </w:r>
            <w:r w:rsidR="009F1880" w:rsidRPr="003A3A17">
              <w:rPr>
                <w:i w:val="0"/>
                <w:iCs/>
                <w:szCs w:val="20"/>
                <w:lang w:val="lv-LV"/>
              </w:rPr>
              <w:t>īsten</w:t>
            </w:r>
            <w:r w:rsidR="001C588A" w:rsidRPr="003A3A17">
              <w:rPr>
                <w:i w:val="0"/>
                <w:iCs/>
                <w:szCs w:val="20"/>
                <w:lang w:val="lv-LV"/>
              </w:rPr>
              <w:t>ot</w:t>
            </w:r>
            <w:r w:rsidR="009F1880" w:rsidRPr="003A3A17">
              <w:rPr>
                <w:i w:val="0"/>
                <w:iCs/>
                <w:szCs w:val="20"/>
                <w:lang w:val="lv-LV"/>
              </w:rPr>
              <w:t xml:space="preserve"> projektu, kā rezultātā tiks </w:t>
            </w:r>
            <w:r w:rsidR="009F1880" w:rsidRPr="003A3A17">
              <w:rPr>
                <w:rFonts w:eastAsiaTheme="minorEastAsia"/>
                <w:i w:val="0"/>
                <w:iCs/>
                <w:szCs w:val="20"/>
                <w:lang w:val="lv-LV"/>
              </w:rPr>
              <w:t>attīstīta datu iekļaušana</w:t>
            </w:r>
            <w:r w:rsidR="00EC7CDD">
              <w:rPr>
                <w:rFonts w:eastAsiaTheme="minorEastAsia"/>
                <w:i w:val="0"/>
                <w:iCs/>
                <w:szCs w:val="20"/>
                <w:lang w:val="lv-LV"/>
              </w:rPr>
              <w:t xml:space="preserve"> Jaunās paaudzes Integrētās </w:t>
            </w:r>
            <w:proofErr w:type="spellStart"/>
            <w:r w:rsidR="00EC7CDD">
              <w:rPr>
                <w:rFonts w:eastAsiaTheme="minorEastAsia"/>
                <w:i w:val="0"/>
                <w:iCs/>
                <w:szCs w:val="20"/>
                <w:lang w:val="lv-LV"/>
              </w:rPr>
              <w:t>iekšlietu</w:t>
            </w:r>
            <w:proofErr w:type="spellEnd"/>
            <w:r w:rsidR="00EC7CDD">
              <w:rPr>
                <w:rFonts w:eastAsiaTheme="minorEastAsia"/>
                <w:i w:val="0"/>
                <w:iCs/>
                <w:szCs w:val="20"/>
                <w:lang w:val="lv-LV"/>
              </w:rPr>
              <w:t xml:space="preserve"> informācijas sistēmas</w:t>
            </w:r>
            <w:r w:rsidR="009F1880" w:rsidRPr="003A3A17">
              <w:rPr>
                <w:rFonts w:eastAsiaTheme="minorEastAsia"/>
                <w:i w:val="0"/>
                <w:iCs/>
                <w:szCs w:val="20"/>
                <w:lang w:val="lv-LV"/>
              </w:rPr>
              <w:t xml:space="preserve"> </w:t>
            </w:r>
            <w:r w:rsidR="00EC7CDD">
              <w:rPr>
                <w:rFonts w:eastAsiaTheme="minorEastAsia"/>
                <w:i w:val="0"/>
                <w:iCs/>
                <w:szCs w:val="20"/>
                <w:lang w:val="lv-LV"/>
              </w:rPr>
              <w:t xml:space="preserve">(turpmāk - </w:t>
            </w:r>
            <w:r w:rsidR="009F1880" w:rsidRPr="003A3A17">
              <w:rPr>
                <w:rFonts w:eastAsiaTheme="minorEastAsia"/>
                <w:i w:val="0"/>
                <w:iCs/>
                <w:szCs w:val="20"/>
                <w:lang w:val="lv-LV"/>
              </w:rPr>
              <w:t>IIIS2</w:t>
            </w:r>
            <w:r w:rsidR="00EC7CDD">
              <w:rPr>
                <w:rFonts w:eastAsiaTheme="minorEastAsia"/>
                <w:i w:val="0"/>
                <w:iCs/>
                <w:szCs w:val="20"/>
                <w:lang w:val="lv-LV"/>
              </w:rPr>
              <w:t>)</w:t>
            </w:r>
            <w:r w:rsidR="009F1880" w:rsidRPr="003A3A17">
              <w:rPr>
                <w:rFonts w:eastAsiaTheme="minorEastAsia"/>
                <w:i w:val="0"/>
                <w:iCs/>
                <w:szCs w:val="20"/>
                <w:lang w:val="lv-LV"/>
              </w:rPr>
              <w:t xml:space="preserve"> risinājumā "Personu reģistrs" un IIIS2 risinājumā "Meklējamie, nederīgie, zudušie objekti un meklējamas personas" (</w:t>
            </w:r>
            <w:r w:rsidR="00EC7CDD">
              <w:rPr>
                <w:rFonts w:eastAsiaTheme="minorEastAsia"/>
                <w:i w:val="0"/>
                <w:iCs/>
                <w:szCs w:val="20"/>
                <w:lang w:val="lv-LV"/>
              </w:rPr>
              <w:t xml:space="preserve">turpmāk - </w:t>
            </w:r>
            <w:r w:rsidR="009F1880" w:rsidRPr="003A3A17">
              <w:rPr>
                <w:rFonts w:eastAsiaTheme="minorEastAsia"/>
                <w:i w:val="0"/>
                <w:iCs/>
                <w:szCs w:val="20"/>
                <w:lang w:val="lv-LV"/>
              </w:rPr>
              <w:t xml:space="preserve">PEM/MNZO), nodrošinot pilnvērtīgas informācijas iekļaušanu nacionālajā sistēmā </w:t>
            </w:r>
            <w:r w:rsidR="009F1880" w:rsidRPr="003A3A17">
              <w:rPr>
                <w:rFonts w:eastAsiaTheme="minorEastAsia"/>
                <w:i w:val="0"/>
                <w:iCs/>
                <w:lang w:val="lv-LV"/>
              </w:rPr>
              <w:t>un datu nodošanu Šengenas informācijas sistēmai, kā arī attīstīts IIIS2 risinājums "Tiešsaistes meklētājs" (turpmāk – TM). Projekta ietvaros izstrādāto papildus risinājumu izmantošana nozīmīgi paaugstinās sistēmas lietojamības tvērumu un ietekmi uz valsts, kā arī visas E</w:t>
            </w:r>
            <w:r w:rsidR="003A5978">
              <w:rPr>
                <w:rFonts w:eastAsiaTheme="minorEastAsia"/>
                <w:i w:val="0"/>
                <w:iCs/>
                <w:lang w:val="lv-LV"/>
              </w:rPr>
              <w:t xml:space="preserve">iropas </w:t>
            </w:r>
            <w:r w:rsidR="009F1880" w:rsidRPr="003A3A17">
              <w:rPr>
                <w:rFonts w:eastAsiaTheme="minorEastAsia"/>
                <w:i w:val="0"/>
                <w:iCs/>
                <w:lang w:val="lv-LV"/>
              </w:rPr>
              <w:t>S</w:t>
            </w:r>
            <w:r w:rsidR="003A5978">
              <w:rPr>
                <w:rFonts w:eastAsiaTheme="minorEastAsia"/>
                <w:i w:val="0"/>
                <w:iCs/>
                <w:lang w:val="lv-LV"/>
              </w:rPr>
              <w:t>avienības (turpmāk - ES)</w:t>
            </w:r>
            <w:r w:rsidR="009F1880" w:rsidRPr="003A3A17">
              <w:rPr>
                <w:rFonts w:eastAsiaTheme="minorEastAsia"/>
                <w:i w:val="0"/>
                <w:iCs/>
                <w:lang w:val="lv-LV"/>
              </w:rPr>
              <w:t xml:space="preserve"> drošību, jo īpaši gaidāmā </w:t>
            </w:r>
            <w:proofErr w:type="spellStart"/>
            <w:r w:rsidR="009F1880" w:rsidRPr="003A3A17">
              <w:rPr>
                <w:rFonts w:eastAsiaTheme="minorEastAsia"/>
                <w:i w:val="0"/>
                <w:iCs/>
                <w:lang w:val="lv-LV"/>
              </w:rPr>
              <w:t>sadarbspējas</w:t>
            </w:r>
            <w:proofErr w:type="spellEnd"/>
            <w:r w:rsidR="009F1880" w:rsidRPr="003A3A17">
              <w:rPr>
                <w:rFonts w:eastAsiaTheme="minorEastAsia"/>
                <w:i w:val="0"/>
                <w:iCs/>
                <w:lang w:val="lv-LV"/>
              </w:rPr>
              <w:t xml:space="preserve"> risinājuma kontekstā</w:t>
            </w:r>
            <w:r w:rsidR="009F1880" w:rsidRPr="003A3A17">
              <w:rPr>
                <w:rFonts w:eastAsiaTheme="minorEastAsia"/>
                <w:lang w:val="lv-LV"/>
              </w:rPr>
              <w:t xml:space="preserve">. </w:t>
            </w:r>
          </w:p>
          <w:p w14:paraId="175B7655" w14:textId="761B8916" w:rsidR="009F1880" w:rsidRPr="003A3A17" w:rsidRDefault="009F1880" w:rsidP="009F1880">
            <w:pPr>
              <w:pStyle w:val="Institutionquisigne"/>
              <w:spacing w:before="0"/>
              <w:rPr>
                <w:i w:val="0"/>
                <w:iCs/>
                <w:lang w:val="lv-LV"/>
              </w:rPr>
            </w:pPr>
            <w:r w:rsidRPr="003A3A17">
              <w:rPr>
                <w:i w:val="0"/>
                <w:iCs/>
                <w:lang w:val="lv-LV"/>
              </w:rPr>
              <w:t>Projekta pasākuma “Programmatūras izstrāde” ietvaros plānots:</w:t>
            </w:r>
          </w:p>
          <w:p w14:paraId="22701876" w14:textId="1F4F2859" w:rsidR="009F1880" w:rsidRPr="003A3A17" w:rsidRDefault="009F1880" w:rsidP="00F248DA">
            <w:pPr>
              <w:pStyle w:val="ListParagraph"/>
              <w:numPr>
                <w:ilvl w:val="0"/>
                <w:numId w:val="34"/>
              </w:numPr>
              <w:rPr>
                <w:rFonts w:eastAsia="Times New Roman"/>
                <w:lang w:val="lv-LV" w:eastAsia="lv-LV"/>
              </w:rPr>
            </w:pPr>
            <w:r w:rsidRPr="003A3A17">
              <w:rPr>
                <w:rFonts w:eastAsia="Times New Roman"/>
                <w:lang w:val="lv-LV" w:eastAsia="lv-LV"/>
              </w:rPr>
              <w:t>izveidot TM integrāciju ar datu avotiem;</w:t>
            </w:r>
          </w:p>
          <w:p w14:paraId="54ED1E43" w14:textId="03058639" w:rsidR="009F1880" w:rsidRPr="003A3A17" w:rsidRDefault="009F1880" w:rsidP="00F248DA">
            <w:pPr>
              <w:numPr>
                <w:ilvl w:val="0"/>
                <w:numId w:val="34"/>
              </w:numPr>
              <w:rPr>
                <w:rFonts w:eastAsia="Times New Roman"/>
                <w:lang w:val="lv-LV" w:eastAsia="lv-LV"/>
              </w:rPr>
            </w:pPr>
            <w:r w:rsidRPr="003A3A17">
              <w:rPr>
                <w:rFonts w:eastAsia="Times New Roman"/>
                <w:lang w:val="lv-LV" w:eastAsia="lv-LV"/>
              </w:rPr>
              <w:t xml:space="preserve">papildināt IIIS2 Personu reģistru ar risinājumiem (Digitālais cilvēks un </w:t>
            </w:r>
            <w:r w:rsidR="003A3A17" w:rsidRPr="003A3A17">
              <w:rPr>
                <w:rFonts w:eastAsia="Times New Roman"/>
                <w:lang w:val="lv-LV" w:eastAsia="lv-LV"/>
              </w:rPr>
              <w:t>Foto komplekti</w:t>
            </w:r>
            <w:r w:rsidRPr="003A3A17">
              <w:rPr>
                <w:rFonts w:eastAsia="Times New Roman"/>
                <w:lang w:val="lv-LV" w:eastAsia="lv-LV"/>
              </w:rPr>
              <w:t>);</w:t>
            </w:r>
          </w:p>
          <w:p w14:paraId="4168B54A" w14:textId="5BDCE81A" w:rsidR="009F1880" w:rsidRPr="003A3A17" w:rsidRDefault="009F1880" w:rsidP="00F248DA">
            <w:pPr>
              <w:numPr>
                <w:ilvl w:val="0"/>
                <w:numId w:val="34"/>
              </w:numPr>
              <w:rPr>
                <w:rFonts w:eastAsia="Times New Roman"/>
                <w:lang w:val="lv-LV" w:eastAsia="lv-LV"/>
              </w:rPr>
            </w:pPr>
            <w:r w:rsidRPr="003A3A17">
              <w:rPr>
                <w:rFonts w:eastAsia="Times New Roman"/>
                <w:lang w:val="lv-LV" w:eastAsia="lv-LV"/>
              </w:rPr>
              <w:t>nodrošināt TM izdrukas (Vispārīgās un Individuālas).</w:t>
            </w:r>
          </w:p>
          <w:p w14:paraId="15B96AAC" w14:textId="77777777" w:rsidR="00EC7CDD" w:rsidRDefault="009F1880" w:rsidP="00EC7CDD">
            <w:pPr>
              <w:tabs>
                <w:tab w:val="left" w:pos="284"/>
              </w:tabs>
              <w:rPr>
                <w:rFonts w:eastAsia="Times New Roman"/>
                <w:lang w:val="lv-LV" w:eastAsia="lv-LV"/>
              </w:rPr>
            </w:pPr>
            <w:bookmarkStart w:id="1" w:name="_Hlk189832539"/>
            <w:r w:rsidRPr="003A3A17">
              <w:rPr>
                <w:rFonts w:eastAsia="Times New Roman"/>
                <w:lang w:val="lv-LV" w:eastAsia="lv-LV"/>
              </w:rPr>
              <w:t xml:space="preserve">Grāmatvedības periodā </w:t>
            </w:r>
            <w:r w:rsidR="00EC7CDD">
              <w:rPr>
                <w:rFonts w:eastAsia="Times New Roman"/>
                <w:lang w:val="lv-LV" w:eastAsia="lv-LV"/>
              </w:rPr>
              <w:t>tika noslēgti līgumi par:</w:t>
            </w:r>
          </w:p>
          <w:p w14:paraId="25533509" w14:textId="3485CDAA" w:rsidR="00EC7CDD" w:rsidRPr="00EC7CDD" w:rsidRDefault="00EC7CDD" w:rsidP="00EC7CDD">
            <w:pPr>
              <w:pStyle w:val="ListParagraph"/>
              <w:numPr>
                <w:ilvl w:val="0"/>
                <w:numId w:val="45"/>
              </w:numPr>
              <w:tabs>
                <w:tab w:val="left" w:pos="284"/>
              </w:tabs>
              <w:rPr>
                <w:rFonts w:eastAsia="Times New Roman"/>
                <w:lang w:val="lv-LV" w:eastAsia="lv-LV"/>
              </w:rPr>
            </w:pPr>
            <w:bookmarkStart w:id="2" w:name="_Hlk189833195"/>
            <w:r w:rsidRPr="00EC7CDD">
              <w:rPr>
                <w:rFonts w:eastAsia="Times New Roman"/>
                <w:lang w:val="lv-LV" w:eastAsia="lv-LV"/>
              </w:rPr>
              <w:t xml:space="preserve">IIIS </w:t>
            </w:r>
            <w:r w:rsidR="0072491C">
              <w:rPr>
                <w:rFonts w:eastAsia="Times New Roman"/>
                <w:lang w:val="lv-LV" w:eastAsia="lv-LV"/>
              </w:rPr>
              <w:t>apakšsistēmas “Noziedzīgus nodarījumus izdarījušas personas” (</w:t>
            </w:r>
            <w:r w:rsidRPr="00EC7CDD">
              <w:rPr>
                <w:rFonts w:eastAsia="Times New Roman"/>
                <w:lang w:val="lv-LV" w:eastAsia="lv-LV"/>
              </w:rPr>
              <w:t>NNIP</w:t>
            </w:r>
            <w:r w:rsidR="0072491C">
              <w:rPr>
                <w:rFonts w:eastAsia="Times New Roman"/>
                <w:lang w:val="lv-LV" w:eastAsia="lv-LV"/>
              </w:rPr>
              <w:t>)</w:t>
            </w:r>
            <w:r w:rsidRPr="00EC7CDD">
              <w:rPr>
                <w:rFonts w:eastAsia="Times New Roman"/>
                <w:lang w:val="lv-LV" w:eastAsia="lv-LV"/>
              </w:rPr>
              <w:t xml:space="preserve"> datu avota pieslēgšanu </w:t>
            </w:r>
            <w:bookmarkEnd w:id="2"/>
            <w:r w:rsidR="0072491C">
              <w:rPr>
                <w:rFonts w:eastAsia="Times New Roman"/>
                <w:lang w:val="lv-LV" w:eastAsia="lv-LV"/>
              </w:rPr>
              <w:t>TM</w:t>
            </w:r>
            <w:r w:rsidRPr="00EC7CDD">
              <w:rPr>
                <w:rFonts w:eastAsia="Times New Roman"/>
                <w:lang w:val="lv-LV" w:eastAsia="lv-LV"/>
              </w:rPr>
              <w:t>;</w:t>
            </w:r>
          </w:p>
          <w:p w14:paraId="479AE7CD" w14:textId="01937F59" w:rsidR="009F1880" w:rsidRPr="00EC7CDD" w:rsidRDefault="00EC7CDD" w:rsidP="00EC7CDD">
            <w:pPr>
              <w:pStyle w:val="ListParagraph"/>
              <w:numPr>
                <w:ilvl w:val="0"/>
                <w:numId w:val="45"/>
              </w:numPr>
              <w:tabs>
                <w:tab w:val="left" w:pos="284"/>
              </w:tabs>
              <w:rPr>
                <w:rFonts w:eastAsia="Times New Roman"/>
                <w:lang w:val="lv-LV" w:eastAsia="lv-LV"/>
              </w:rPr>
            </w:pPr>
            <w:r w:rsidRPr="00EC7CDD">
              <w:rPr>
                <w:rFonts w:eastAsia="Times New Roman"/>
                <w:lang w:val="lv-LV" w:eastAsia="lv-LV"/>
              </w:rPr>
              <w:t xml:space="preserve">notāru IS datu avota pieslēgšanu </w:t>
            </w:r>
            <w:r w:rsidR="0072491C">
              <w:rPr>
                <w:rFonts w:eastAsia="Times New Roman"/>
                <w:lang w:val="lv-LV" w:eastAsia="lv-LV"/>
              </w:rPr>
              <w:t>TM</w:t>
            </w:r>
            <w:r w:rsidRPr="00EC7CDD">
              <w:rPr>
                <w:rFonts w:eastAsia="Times New Roman"/>
                <w:lang w:val="lv-LV" w:eastAsia="lv-LV"/>
              </w:rPr>
              <w:t>;</w:t>
            </w:r>
          </w:p>
          <w:p w14:paraId="2EF8BC32" w14:textId="4E81A5BD" w:rsidR="00EC7CDD" w:rsidRPr="00EC7CDD" w:rsidRDefault="00EC7CDD" w:rsidP="00EC7CDD">
            <w:pPr>
              <w:pStyle w:val="ListParagraph"/>
              <w:numPr>
                <w:ilvl w:val="0"/>
                <w:numId w:val="45"/>
              </w:numPr>
              <w:tabs>
                <w:tab w:val="left" w:pos="284"/>
              </w:tabs>
              <w:rPr>
                <w:rFonts w:eastAsia="Times New Roman"/>
                <w:lang w:val="lv-LV" w:eastAsia="lv-LV"/>
              </w:rPr>
            </w:pPr>
            <w:r w:rsidRPr="00EC7CDD">
              <w:rPr>
                <w:rFonts w:eastAsia="Times New Roman"/>
                <w:lang w:val="lv-LV" w:eastAsia="lv-LV"/>
              </w:rPr>
              <w:t>“Meklējamo, noderīgo un zudušo objektu” lietojumprogrammas (MNZO) papildinājumiem;</w:t>
            </w:r>
          </w:p>
          <w:p w14:paraId="5EC0261D" w14:textId="05729C01" w:rsidR="00EC7CDD" w:rsidRPr="00EC7CDD" w:rsidRDefault="0072491C" w:rsidP="00EC7CDD">
            <w:pPr>
              <w:pStyle w:val="ListParagraph"/>
              <w:numPr>
                <w:ilvl w:val="0"/>
                <w:numId w:val="45"/>
              </w:numPr>
              <w:tabs>
                <w:tab w:val="left" w:pos="284"/>
              </w:tabs>
              <w:rPr>
                <w:rFonts w:eastAsia="Times New Roman"/>
                <w:lang w:val="lv-LV" w:eastAsia="lv-LV"/>
              </w:rPr>
            </w:pPr>
            <w:r>
              <w:rPr>
                <w:rFonts w:eastAsia="Times New Roman"/>
                <w:lang w:val="lv-LV" w:eastAsia="lv-LV"/>
              </w:rPr>
              <w:t>TM</w:t>
            </w:r>
            <w:r w:rsidR="00EC7CDD" w:rsidRPr="00EC7CDD">
              <w:rPr>
                <w:rFonts w:eastAsia="Times New Roman"/>
                <w:lang w:val="lv-LV" w:eastAsia="lv-LV"/>
              </w:rPr>
              <w:t xml:space="preserve">, PEM/MNZO Personu reģistra, Mantu reģistra un PEM/MNZO </w:t>
            </w:r>
            <w:proofErr w:type="spellStart"/>
            <w:r w:rsidR="00EC7CDD" w:rsidRPr="00EC7CDD">
              <w:rPr>
                <w:rFonts w:eastAsia="Times New Roman"/>
                <w:lang w:val="lv-LV" w:eastAsia="lv-LV"/>
              </w:rPr>
              <w:t>Rest</w:t>
            </w:r>
            <w:proofErr w:type="spellEnd"/>
            <w:r w:rsidR="00EC7CDD" w:rsidRPr="00EC7CDD">
              <w:rPr>
                <w:rFonts w:eastAsia="Times New Roman"/>
                <w:lang w:val="lv-LV" w:eastAsia="lv-LV"/>
              </w:rPr>
              <w:t xml:space="preserve"> servisa daļām</w:t>
            </w:r>
            <w:r w:rsidR="00EC7CDD">
              <w:rPr>
                <w:rFonts w:eastAsia="Times New Roman"/>
                <w:lang w:val="lv-LV" w:eastAsia="lv-LV"/>
              </w:rPr>
              <w:t>.</w:t>
            </w:r>
          </w:p>
          <w:bookmarkEnd w:id="1"/>
          <w:p w14:paraId="66D923DF" w14:textId="77777777" w:rsidR="00B40A51" w:rsidRPr="003A3A17" w:rsidRDefault="00B40A51" w:rsidP="009F1880">
            <w:pPr>
              <w:rPr>
                <w:rFonts w:eastAsia="Times New Roman"/>
                <w:lang w:val="lv-LV" w:eastAsia="lv-LV"/>
              </w:rPr>
            </w:pPr>
          </w:p>
          <w:p w14:paraId="1FD2931B" w14:textId="44B98D72" w:rsidR="002D548B" w:rsidRPr="003A3A17" w:rsidRDefault="00B40A51" w:rsidP="00DB1D8E">
            <w:pPr>
              <w:ind w:firstLine="743"/>
              <w:rPr>
                <w:rFonts w:eastAsia="Times New Roman"/>
                <w:lang w:val="lv-LV" w:eastAsia="lv-LV"/>
              </w:rPr>
            </w:pPr>
            <w:r w:rsidRPr="003A3A17">
              <w:rPr>
                <w:lang w:val="lv-LV"/>
              </w:rPr>
              <w:lastRenderedPageBreak/>
              <w:t xml:space="preserve">Lai izpildītu prasības attiecībā uz informācijas apriti/apstrādi par pārrobežu noziedzību un drošību, VP īsteno projektu, kura mērķis ir </w:t>
            </w:r>
            <w:r w:rsidRPr="003A3A17">
              <w:rPr>
                <w:rFonts w:eastAsia="Times New Roman"/>
                <w:lang w:val="lv-LV" w:eastAsia="lv-LV"/>
              </w:rPr>
              <w:t xml:space="preserve">Nacionālās </w:t>
            </w:r>
            <w:proofErr w:type="spellStart"/>
            <w:r w:rsidRPr="003A3A17">
              <w:rPr>
                <w:rFonts w:eastAsia="Times New Roman"/>
                <w:lang w:val="lv-LV" w:eastAsia="lv-LV"/>
              </w:rPr>
              <w:t>kriminālizlūkošanas</w:t>
            </w:r>
            <w:proofErr w:type="spellEnd"/>
            <w:r w:rsidRPr="003A3A17">
              <w:rPr>
                <w:rFonts w:eastAsia="Times New Roman"/>
                <w:lang w:val="lv-LV" w:eastAsia="lv-LV"/>
              </w:rPr>
              <w:t xml:space="preserve"> (turpmāk – NKIM) informācijas sistēmas izveide, nepieciešamās infrastruktūras un analītiskā rīka izveide un pilnveidošana, attīstot to </w:t>
            </w:r>
            <w:proofErr w:type="spellStart"/>
            <w:r w:rsidRPr="003A3A17">
              <w:rPr>
                <w:rFonts w:eastAsia="Times New Roman"/>
                <w:lang w:val="lv-LV" w:eastAsia="lv-LV"/>
              </w:rPr>
              <w:t>Iekšlietu</w:t>
            </w:r>
            <w:proofErr w:type="spellEnd"/>
            <w:r w:rsidRPr="003A3A17">
              <w:rPr>
                <w:rFonts w:eastAsia="Times New Roman"/>
                <w:lang w:val="lv-LV" w:eastAsia="lv-LV"/>
              </w:rPr>
              <w:t xml:space="preserve"> ministrijas sistēmas iestādēs (VP, Valsts robežsardz</w:t>
            </w:r>
            <w:r w:rsidR="001C588A" w:rsidRPr="003A3A17">
              <w:rPr>
                <w:rFonts w:eastAsia="Times New Roman"/>
                <w:lang w:val="lv-LV" w:eastAsia="lv-LV"/>
              </w:rPr>
              <w:t>ē</w:t>
            </w:r>
            <w:r w:rsidRPr="003A3A17">
              <w:rPr>
                <w:rFonts w:eastAsia="Times New Roman"/>
                <w:lang w:val="lv-LV" w:eastAsia="lv-LV"/>
              </w:rPr>
              <w:t xml:space="preserve"> – turpmāk – VRS), kā arī starptautiskās informācijas integrēšanas risinājumu izstrāde un </w:t>
            </w:r>
            <w:proofErr w:type="spellStart"/>
            <w:r w:rsidRPr="003A3A17">
              <w:rPr>
                <w:rFonts w:eastAsia="Times New Roman"/>
                <w:lang w:val="lv-LV" w:eastAsia="lv-LV"/>
              </w:rPr>
              <w:t>kriminālizlūkošanas</w:t>
            </w:r>
            <w:proofErr w:type="spellEnd"/>
            <w:r w:rsidRPr="003A3A17">
              <w:rPr>
                <w:rFonts w:eastAsia="Times New Roman"/>
                <w:lang w:val="lv-LV" w:eastAsia="lv-LV"/>
              </w:rPr>
              <w:t xml:space="preserve"> darba organizācijas un informācijas analīzes metodoloģijas un procesu attīstīšana un pilnveidošana. Sagaidāmie rezultāti ir:</w:t>
            </w:r>
          </w:p>
          <w:p w14:paraId="63AE9E00" w14:textId="77777777" w:rsidR="00B40A51" w:rsidRPr="003A3A17" w:rsidRDefault="00B40A51" w:rsidP="00F248DA">
            <w:pPr>
              <w:pStyle w:val="ListParagraph"/>
              <w:numPr>
                <w:ilvl w:val="0"/>
                <w:numId w:val="34"/>
              </w:numPr>
              <w:rPr>
                <w:rFonts w:eastAsia="Times New Roman"/>
                <w:sz w:val="20"/>
                <w:szCs w:val="20"/>
                <w:lang w:val="lv-LV" w:eastAsia="lv-LV"/>
              </w:rPr>
            </w:pPr>
            <w:r w:rsidRPr="003A3A17">
              <w:rPr>
                <w:rFonts w:eastAsia="Times New Roman"/>
                <w:szCs w:val="20"/>
                <w:lang w:val="lv-LV" w:eastAsia="lv-LV"/>
              </w:rPr>
              <w:t>Izstrādāts NKIM realizācijai atbilstošs tiesiskais regulējums;</w:t>
            </w:r>
          </w:p>
          <w:p w14:paraId="3400CCFE" w14:textId="61D8FEF9" w:rsidR="00B40A51" w:rsidRPr="003A3A17" w:rsidRDefault="00B40A51" w:rsidP="00F248DA">
            <w:pPr>
              <w:pStyle w:val="ListParagraph"/>
              <w:numPr>
                <w:ilvl w:val="0"/>
                <w:numId w:val="34"/>
              </w:numPr>
              <w:rPr>
                <w:rFonts w:eastAsia="Times New Roman"/>
                <w:sz w:val="18"/>
                <w:szCs w:val="18"/>
                <w:lang w:val="lv-LV" w:eastAsia="lv-LV"/>
              </w:rPr>
            </w:pPr>
            <w:r w:rsidRPr="003A3A17">
              <w:rPr>
                <w:rFonts w:eastAsia="Times New Roman"/>
                <w:szCs w:val="20"/>
                <w:lang w:val="lv-LV" w:eastAsia="lv-LV"/>
              </w:rPr>
              <w:t>Sagatavota iekšējo normatīvo aktu projektu pakete (</w:t>
            </w:r>
            <w:proofErr w:type="spellStart"/>
            <w:r w:rsidR="00EE2CA4" w:rsidRPr="003A3A17">
              <w:rPr>
                <w:lang w:val="lv-LV"/>
              </w:rPr>
              <w:t>Kriminālizlūkošanas</w:t>
            </w:r>
            <w:proofErr w:type="spellEnd"/>
            <w:r w:rsidR="00EE2CA4" w:rsidRPr="003A3A17">
              <w:rPr>
                <w:lang w:val="lv-LV"/>
              </w:rPr>
              <w:t xml:space="preserve"> atbalsta informācijas sistēmas (turpmāk – </w:t>
            </w:r>
            <w:r w:rsidRPr="003A3A17">
              <w:rPr>
                <w:rFonts w:eastAsia="Times New Roman"/>
                <w:szCs w:val="20"/>
                <w:lang w:val="lv-LV" w:eastAsia="lv-LV"/>
              </w:rPr>
              <w:t>KAIS</w:t>
            </w:r>
            <w:r w:rsidR="00EE2CA4" w:rsidRPr="003A3A17">
              <w:rPr>
                <w:rFonts w:eastAsia="Times New Roman"/>
                <w:szCs w:val="20"/>
                <w:lang w:val="lv-LV" w:eastAsia="lv-LV"/>
              </w:rPr>
              <w:t>)</w:t>
            </w:r>
            <w:r w:rsidRPr="003A3A17">
              <w:rPr>
                <w:rFonts w:eastAsia="Times New Roman"/>
                <w:szCs w:val="20"/>
                <w:lang w:val="lv-LV" w:eastAsia="lv-LV"/>
              </w:rPr>
              <w:t xml:space="preserve"> darba organizācijas jautājumi);</w:t>
            </w:r>
          </w:p>
          <w:p w14:paraId="35942675" w14:textId="7AAB4E9A" w:rsidR="00B40A51" w:rsidRPr="003A3A17" w:rsidRDefault="00B40A51" w:rsidP="00F248DA">
            <w:pPr>
              <w:pStyle w:val="ListParagraph"/>
              <w:numPr>
                <w:ilvl w:val="0"/>
                <w:numId w:val="34"/>
              </w:numPr>
              <w:rPr>
                <w:rFonts w:eastAsia="Times New Roman"/>
                <w:lang w:val="lv-LV" w:eastAsia="lv-LV"/>
              </w:rPr>
            </w:pPr>
            <w:r w:rsidRPr="003A3A17">
              <w:rPr>
                <w:rFonts w:eastAsia="Times New Roman"/>
                <w:lang w:val="lv-LV" w:eastAsia="lv-LV"/>
              </w:rPr>
              <w:t>Izstrādāta un ieviesta</w:t>
            </w:r>
            <w:r w:rsidR="00EE2CA4" w:rsidRPr="003A3A17">
              <w:rPr>
                <w:rFonts w:eastAsia="Times New Roman"/>
                <w:lang w:val="lv-LV" w:eastAsia="lv-LV"/>
              </w:rPr>
              <w:t xml:space="preserve"> ekspluatācijā</w:t>
            </w:r>
            <w:r w:rsidRPr="003A3A17">
              <w:rPr>
                <w:rFonts w:eastAsia="Times New Roman"/>
                <w:lang w:val="lv-LV" w:eastAsia="lv-LV"/>
              </w:rPr>
              <w:t xml:space="preserve"> KAIS</w:t>
            </w:r>
            <w:r w:rsidR="00EE2CA4" w:rsidRPr="003A3A17">
              <w:rPr>
                <w:rFonts w:eastAsia="Times New Roman"/>
                <w:lang w:val="lv-LV" w:eastAsia="lv-LV"/>
              </w:rPr>
              <w:t>;</w:t>
            </w:r>
          </w:p>
          <w:p w14:paraId="734BB67E" w14:textId="08CD5BF7" w:rsidR="00EE2CA4" w:rsidRPr="003A3A17" w:rsidRDefault="00EE2CA4" w:rsidP="00F248DA">
            <w:pPr>
              <w:pStyle w:val="ListParagraph"/>
              <w:numPr>
                <w:ilvl w:val="0"/>
                <w:numId w:val="34"/>
              </w:numPr>
              <w:rPr>
                <w:rFonts w:eastAsia="Times New Roman"/>
                <w:lang w:val="lv-LV" w:eastAsia="lv-LV"/>
              </w:rPr>
            </w:pPr>
            <w:r w:rsidRPr="003A3A17">
              <w:rPr>
                <w:rFonts w:eastAsia="Times New Roman"/>
                <w:lang w:val="lv-LV" w:eastAsia="lv-LV"/>
              </w:rPr>
              <w:t xml:space="preserve">Izveidota </w:t>
            </w:r>
            <w:r w:rsidRPr="003A3A17">
              <w:rPr>
                <w:lang w:val="lv-LV"/>
              </w:rPr>
              <w:t xml:space="preserve">KAIS sadaļas “SLEPENI” (turpmāk - </w:t>
            </w:r>
            <w:r w:rsidRPr="003A3A17">
              <w:rPr>
                <w:rFonts w:eastAsia="Times New Roman"/>
                <w:lang w:val="lv-LV" w:eastAsia="lv-LV"/>
              </w:rPr>
              <w:t xml:space="preserve">KAIS-S) un </w:t>
            </w:r>
            <w:r w:rsidRPr="003A3A17">
              <w:rPr>
                <w:lang w:val="lv-LV"/>
              </w:rPr>
              <w:t xml:space="preserve">KAIS sadaļas “DIENESTA VAJADZĪBĀM” (turpmāk - </w:t>
            </w:r>
            <w:r w:rsidRPr="003A3A17">
              <w:rPr>
                <w:rFonts w:eastAsia="Times New Roman"/>
                <w:lang w:val="lv-LV" w:eastAsia="lv-LV"/>
              </w:rPr>
              <w:t>KAIS-DV) infrastruktūra;</w:t>
            </w:r>
          </w:p>
          <w:p w14:paraId="49A3EF74" w14:textId="1B20FC5F" w:rsidR="00EE2CA4" w:rsidRPr="003A3A17" w:rsidRDefault="00EE2CA4" w:rsidP="00F248DA">
            <w:pPr>
              <w:pStyle w:val="ListParagraph"/>
              <w:numPr>
                <w:ilvl w:val="0"/>
                <w:numId w:val="34"/>
              </w:numPr>
              <w:rPr>
                <w:rFonts w:eastAsia="Times New Roman"/>
                <w:lang w:val="lv-LV" w:eastAsia="lv-LV"/>
              </w:rPr>
            </w:pPr>
            <w:r w:rsidRPr="003A3A17">
              <w:rPr>
                <w:rFonts w:eastAsia="Times New Roman"/>
                <w:lang w:val="lv-LV" w:eastAsia="lv-LV"/>
              </w:rPr>
              <w:t>Izstrādāts tehniskais risinājums starptautiskās informācijas datu integrēšanai KAIS;</w:t>
            </w:r>
          </w:p>
          <w:p w14:paraId="464E67BB" w14:textId="42762631" w:rsidR="00EE2CA4" w:rsidRPr="003A3A17" w:rsidRDefault="00EE2CA4" w:rsidP="00F248DA">
            <w:pPr>
              <w:pStyle w:val="ListParagraph"/>
              <w:numPr>
                <w:ilvl w:val="0"/>
                <w:numId w:val="34"/>
              </w:numPr>
              <w:rPr>
                <w:rFonts w:eastAsia="Times New Roman"/>
                <w:lang w:val="lv-LV" w:eastAsia="lv-LV"/>
              </w:rPr>
            </w:pPr>
            <w:r w:rsidRPr="003A3A17">
              <w:rPr>
                <w:rFonts w:eastAsia="Times New Roman"/>
                <w:lang w:val="lv-LV" w:eastAsia="lv-LV"/>
              </w:rPr>
              <w:t>Īstenots aktivitāšu komplekss NKIM attīstībai un pilnveidošanai</w:t>
            </w:r>
          </w:p>
          <w:p w14:paraId="7CEBDBCF" w14:textId="77777777" w:rsidR="00EE2CA4" w:rsidRPr="003A3A17" w:rsidRDefault="00EE2CA4" w:rsidP="00F248DA">
            <w:pPr>
              <w:pStyle w:val="ListParagraph"/>
              <w:numPr>
                <w:ilvl w:val="0"/>
                <w:numId w:val="34"/>
              </w:numPr>
              <w:rPr>
                <w:rFonts w:eastAsia="Times New Roman"/>
                <w:lang w:val="lv-LV" w:eastAsia="lv-LV"/>
              </w:rPr>
            </w:pPr>
            <w:r w:rsidRPr="003A3A17">
              <w:rPr>
                <w:lang w:val="lv-LV"/>
              </w:rPr>
              <w:t>Izstrādāti Informācijas sistēmu drošības pasākumi;</w:t>
            </w:r>
          </w:p>
          <w:p w14:paraId="65620748" w14:textId="4309567F" w:rsidR="00EE2CA4" w:rsidRPr="00DB1D8E" w:rsidRDefault="00EE2CA4" w:rsidP="00F248DA">
            <w:pPr>
              <w:pStyle w:val="ListParagraph"/>
              <w:numPr>
                <w:ilvl w:val="0"/>
                <w:numId w:val="34"/>
              </w:numPr>
              <w:rPr>
                <w:rFonts w:eastAsia="Times New Roman"/>
                <w:lang w:val="lv-LV" w:eastAsia="lv-LV"/>
              </w:rPr>
            </w:pPr>
            <w:r w:rsidRPr="003A3A17">
              <w:rPr>
                <w:lang w:val="lv-LV"/>
              </w:rPr>
              <w:t>Datu nodošanas mehānisma izstrāde Valsts ieņēmumu dienesta (turpmāk – VID) projektam un pielāgošana KAIS vajadzībām.</w:t>
            </w:r>
          </w:p>
          <w:p w14:paraId="584815EF" w14:textId="6ABBCCD0" w:rsidR="00DB1D8E" w:rsidRPr="00DB1D8E" w:rsidRDefault="00DB1D8E" w:rsidP="00DB1D8E">
            <w:pPr>
              <w:ind w:left="360"/>
              <w:rPr>
                <w:rFonts w:eastAsia="Times New Roman"/>
                <w:lang w:val="lv-LV" w:eastAsia="lv-LV"/>
              </w:rPr>
            </w:pPr>
          </w:p>
          <w:p w14:paraId="313782CD" w14:textId="592868B4" w:rsidR="00EE2CA4" w:rsidRPr="003A3A17" w:rsidRDefault="00127F06" w:rsidP="00DB1D8E">
            <w:pPr>
              <w:ind w:firstLine="743"/>
              <w:rPr>
                <w:rFonts w:eastAsia="Times New Roman"/>
                <w:bCs/>
                <w:lang w:val="lv-LV" w:eastAsia="lv-LV"/>
              </w:rPr>
            </w:pPr>
            <w:r w:rsidRPr="003A3A17">
              <w:rPr>
                <w:rFonts w:eastAsia="Times New Roman"/>
                <w:bCs/>
                <w:lang w:val="lv-LV" w:eastAsia="lv-LV"/>
              </w:rPr>
              <w:t>Grāmatvedības periodā sasniegts:</w:t>
            </w:r>
          </w:p>
          <w:p w14:paraId="7E45A1F8" w14:textId="7DE21FB7" w:rsidR="00127F06" w:rsidRPr="003A3A17" w:rsidRDefault="00127F06" w:rsidP="00F248DA">
            <w:pPr>
              <w:pStyle w:val="ListParagraph"/>
              <w:numPr>
                <w:ilvl w:val="0"/>
                <w:numId w:val="34"/>
              </w:numPr>
              <w:rPr>
                <w:rFonts w:eastAsia="Times New Roman"/>
                <w:bCs/>
                <w:lang w:val="lv-LV" w:eastAsia="lv-LV"/>
              </w:rPr>
            </w:pPr>
            <w:r w:rsidRPr="003A3A17">
              <w:rPr>
                <w:lang w:val="lv-LV"/>
              </w:rPr>
              <w:t xml:space="preserve">Sagatavots un iesniegts IeM </w:t>
            </w:r>
            <w:proofErr w:type="spellStart"/>
            <w:r w:rsidRPr="003A3A17">
              <w:rPr>
                <w:lang w:val="lv-LV"/>
              </w:rPr>
              <w:t>izvērtējums</w:t>
            </w:r>
            <w:proofErr w:type="spellEnd"/>
            <w:r w:rsidRPr="003A3A17">
              <w:rPr>
                <w:lang w:val="lv-LV"/>
              </w:rPr>
              <w:t xml:space="preserve"> par operatīvās darbības procesā iegūto datu apstrādi KAIS atbilstoši aktuālajām </w:t>
            </w:r>
            <w:r w:rsidR="003A3A17" w:rsidRPr="003A3A17">
              <w:rPr>
                <w:lang w:val="lv-LV"/>
              </w:rPr>
              <w:t>tiesiskajam regulējumam</w:t>
            </w:r>
            <w:r w:rsidRPr="003A3A17">
              <w:rPr>
                <w:lang w:val="lv-LV"/>
              </w:rPr>
              <w:t>;</w:t>
            </w:r>
          </w:p>
          <w:p w14:paraId="33F865E7" w14:textId="77777777" w:rsidR="00127F06" w:rsidRPr="003A3A17" w:rsidRDefault="00127F06" w:rsidP="00F248DA">
            <w:pPr>
              <w:pStyle w:val="ListParagraph"/>
              <w:numPr>
                <w:ilvl w:val="0"/>
                <w:numId w:val="34"/>
              </w:numPr>
              <w:rPr>
                <w:rFonts w:eastAsia="Times New Roman"/>
                <w:bCs/>
                <w:lang w:val="lv-LV" w:eastAsia="lv-LV"/>
              </w:rPr>
            </w:pPr>
            <w:r w:rsidRPr="003A3A17">
              <w:rPr>
                <w:rFonts w:eastAsia="Times New Roman"/>
                <w:lang w:val="lv-LV" w:eastAsia="lv-LV"/>
              </w:rPr>
              <w:t>Sagatavots ziņojums par KAIS ietekmi uz datu aizsardzību;</w:t>
            </w:r>
          </w:p>
          <w:p w14:paraId="012E6DFF" w14:textId="5DBC7EB3" w:rsidR="00127F06" w:rsidRPr="003A3A17" w:rsidRDefault="00127F06" w:rsidP="00F248DA">
            <w:pPr>
              <w:pStyle w:val="ListParagraph"/>
              <w:numPr>
                <w:ilvl w:val="0"/>
                <w:numId w:val="34"/>
              </w:numPr>
              <w:rPr>
                <w:rFonts w:eastAsia="Times New Roman"/>
                <w:bCs/>
                <w:lang w:val="lv-LV" w:eastAsia="lv-LV"/>
              </w:rPr>
            </w:pPr>
            <w:r w:rsidRPr="003A3A17">
              <w:rPr>
                <w:rFonts w:eastAsia="Times New Roman"/>
                <w:lang w:val="lv-LV" w:eastAsia="lv-LV"/>
              </w:rPr>
              <w:t xml:space="preserve">Sagatavota iekšējo normatīvo aktu projektu pakete </w:t>
            </w:r>
            <w:r w:rsidRPr="003A3A17">
              <w:rPr>
                <w:lang w:val="lv-LV"/>
              </w:rPr>
              <w:t>operatīvā darba jomā KAIS darba organizācijas jautājumos;</w:t>
            </w:r>
          </w:p>
          <w:p w14:paraId="23557CD5" w14:textId="2EC8EE3B" w:rsidR="00127F06" w:rsidRPr="003A3A17" w:rsidRDefault="00127F06" w:rsidP="00F248DA">
            <w:pPr>
              <w:pStyle w:val="ListParagraph"/>
              <w:numPr>
                <w:ilvl w:val="0"/>
                <w:numId w:val="34"/>
              </w:numPr>
              <w:rPr>
                <w:rFonts w:eastAsia="Times New Roman"/>
                <w:bCs/>
                <w:lang w:val="lv-LV" w:eastAsia="lv-LV"/>
              </w:rPr>
            </w:pPr>
            <w:r w:rsidRPr="003A3A17">
              <w:rPr>
                <w:rFonts w:eastAsia="Times New Roman"/>
                <w:bCs/>
                <w:lang w:val="lv-LV" w:eastAsia="lv-LV"/>
              </w:rPr>
              <w:t>Izstrādātas KAIS sadaļas;</w:t>
            </w:r>
          </w:p>
          <w:p w14:paraId="497252E7" w14:textId="73F9F260" w:rsidR="00127F06" w:rsidRPr="003A3A17" w:rsidRDefault="00127F06" w:rsidP="00F248DA">
            <w:pPr>
              <w:pStyle w:val="ListParagraph"/>
              <w:numPr>
                <w:ilvl w:val="0"/>
                <w:numId w:val="34"/>
              </w:numPr>
              <w:rPr>
                <w:rFonts w:eastAsia="Times New Roman"/>
                <w:bCs/>
                <w:lang w:val="lv-LV" w:eastAsia="lv-LV"/>
              </w:rPr>
            </w:pPr>
            <w:r w:rsidRPr="003A3A17">
              <w:rPr>
                <w:rFonts w:eastAsia="Times New Roman"/>
                <w:bCs/>
                <w:lang w:val="lv-LV" w:eastAsia="lv-LV"/>
              </w:rPr>
              <w:t>Izveidota KAIS-S (2 I</w:t>
            </w:r>
            <w:r w:rsidR="00F052A0" w:rsidRPr="003A3A17">
              <w:rPr>
                <w:rFonts w:eastAsia="Times New Roman"/>
                <w:bCs/>
                <w:lang w:val="lv-LV" w:eastAsia="lv-LV"/>
              </w:rPr>
              <w:t>nformācijas un komunikāciju tehnoloģijas (turpmāk - I</w:t>
            </w:r>
            <w:r w:rsidRPr="003A3A17">
              <w:rPr>
                <w:rFonts w:eastAsia="Times New Roman"/>
                <w:bCs/>
                <w:lang w:val="lv-LV" w:eastAsia="lv-LV"/>
              </w:rPr>
              <w:t>KT) un KAIS-DV (2 IKT) infrastruktūra;</w:t>
            </w:r>
          </w:p>
          <w:p w14:paraId="48442710" w14:textId="1D7430DF" w:rsidR="00127F06" w:rsidRPr="003A3A17" w:rsidRDefault="00127F06" w:rsidP="00F248DA">
            <w:pPr>
              <w:pStyle w:val="ListParagraph"/>
              <w:numPr>
                <w:ilvl w:val="0"/>
                <w:numId w:val="34"/>
              </w:numPr>
              <w:rPr>
                <w:rFonts w:eastAsia="Times New Roman"/>
                <w:bCs/>
                <w:lang w:val="lv-LV" w:eastAsia="lv-LV"/>
              </w:rPr>
            </w:pPr>
            <w:r w:rsidRPr="003A3A17">
              <w:rPr>
                <w:rFonts w:eastAsia="Times New Roman"/>
                <w:bCs/>
                <w:lang w:val="lv-LV" w:eastAsia="lv-LV"/>
              </w:rPr>
              <w:t>Izstrādāts tehniskais risinājums starptautiskās informācijas datu integrēšanai KAIS</w:t>
            </w:r>
            <w:r w:rsidR="001C588A" w:rsidRPr="003A3A17">
              <w:rPr>
                <w:rFonts w:eastAsia="Times New Roman"/>
                <w:bCs/>
                <w:lang w:val="lv-LV" w:eastAsia="lv-LV"/>
              </w:rPr>
              <w:t>;</w:t>
            </w:r>
          </w:p>
          <w:p w14:paraId="7F361167" w14:textId="138C62CF" w:rsidR="00127F06" w:rsidRPr="003A3A17" w:rsidRDefault="00127F06" w:rsidP="00F248DA">
            <w:pPr>
              <w:pStyle w:val="ListParagraph"/>
              <w:numPr>
                <w:ilvl w:val="0"/>
                <w:numId w:val="34"/>
              </w:numPr>
              <w:rPr>
                <w:rFonts w:eastAsia="Times New Roman"/>
                <w:bCs/>
                <w:lang w:val="lv-LV" w:eastAsia="lv-LV"/>
              </w:rPr>
            </w:pPr>
            <w:r w:rsidRPr="003A3A17">
              <w:rPr>
                <w:rFonts w:eastAsia="Times New Roman"/>
                <w:lang w:val="lv-LV" w:eastAsia="lv-LV"/>
              </w:rPr>
              <w:t>Izstrādāts tehniskais risinājums</w:t>
            </w:r>
            <w:r w:rsidR="00F052A0" w:rsidRPr="003A3A17">
              <w:rPr>
                <w:rFonts w:eastAsia="Times New Roman"/>
                <w:lang w:val="lv-LV" w:eastAsia="lv-LV"/>
              </w:rPr>
              <w:t xml:space="preserve"> “</w:t>
            </w:r>
            <w:proofErr w:type="spellStart"/>
            <w:r w:rsidR="00F052A0" w:rsidRPr="003A3A17">
              <w:rPr>
                <w:lang w:val="lv-LV"/>
              </w:rPr>
              <w:t>Secure</w:t>
            </w:r>
            <w:proofErr w:type="spellEnd"/>
            <w:r w:rsidR="00F052A0" w:rsidRPr="003A3A17">
              <w:rPr>
                <w:lang w:val="lv-LV"/>
              </w:rPr>
              <w:t xml:space="preserve"> </w:t>
            </w:r>
            <w:proofErr w:type="spellStart"/>
            <w:r w:rsidR="00F052A0" w:rsidRPr="003A3A17">
              <w:rPr>
                <w:lang w:val="lv-LV"/>
              </w:rPr>
              <w:t>Information</w:t>
            </w:r>
            <w:proofErr w:type="spellEnd"/>
            <w:r w:rsidR="00F052A0" w:rsidRPr="003A3A17">
              <w:rPr>
                <w:lang w:val="lv-LV"/>
              </w:rPr>
              <w:t xml:space="preserve"> Exchange </w:t>
            </w:r>
            <w:proofErr w:type="spellStart"/>
            <w:r w:rsidR="00F052A0" w:rsidRPr="003A3A17">
              <w:rPr>
                <w:lang w:val="lv-LV"/>
              </w:rPr>
              <w:t>Network</w:t>
            </w:r>
            <w:proofErr w:type="spellEnd"/>
            <w:r w:rsidR="00F052A0" w:rsidRPr="003A3A17">
              <w:rPr>
                <w:lang w:val="lv-LV"/>
              </w:rPr>
              <w:t xml:space="preserve"> </w:t>
            </w:r>
            <w:proofErr w:type="spellStart"/>
            <w:r w:rsidR="00F052A0" w:rsidRPr="003A3A17">
              <w:rPr>
                <w:lang w:val="lv-LV"/>
              </w:rPr>
              <w:t>Application</w:t>
            </w:r>
            <w:proofErr w:type="spellEnd"/>
            <w:r w:rsidR="00F052A0" w:rsidRPr="003A3A17">
              <w:rPr>
                <w:rFonts w:eastAsia="Times New Roman"/>
                <w:lang w:val="lv-LV" w:eastAsia="lv-LV"/>
              </w:rPr>
              <w:t>”</w:t>
            </w:r>
            <w:r w:rsidRPr="003A3A17">
              <w:rPr>
                <w:rFonts w:eastAsia="Times New Roman"/>
                <w:lang w:val="lv-LV" w:eastAsia="lv-LV"/>
              </w:rPr>
              <w:t xml:space="preserve"> </w:t>
            </w:r>
            <w:r w:rsidR="00F052A0" w:rsidRPr="003A3A17">
              <w:rPr>
                <w:lang w:val="lv-LV"/>
              </w:rPr>
              <w:t xml:space="preserve">(turpmāk – </w:t>
            </w:r>
            <w:r w:rsidR="00F052A0" w:rsidRPr="003A3A17">
              <w:rPr>
                <w:iCs/>
                <w:lang w:val="lv-LV"/>
              </w:rPr>
              <w:t>SIENA</w:t>
            </w:r>
            <w:r w:rsidR="00F052A0" w:rsidRPr="003A3A17">
              <w:rPr>
                <w:lang w:val="lv-LV"/>
              </w:rPr>
              <w:t xml:space="preserve">) </w:t>
            </w:r>
            <w:r w:rsidRPr="003A3A17">
              <w:rPr>
                <w:rFonts w:eastAsia="Times New Roman"/>
                <w:lang w:val="lv-LV" w:eastAsia="lv-LV"/>
              </w:rPr>
              <w:t xml:space="preserve">komunikāciju kanāla integrēšanai </w:t>
            </w:r>
            <w:r w:rsidR="00F052A0" w:rsidRPr="003A3A17">
              <w:rPr>
                <w:rFonts w:eastAsia="Times New Roman"/>
                <w:lang w:val="lv-LV" w:eastAsia="lv-LV"/>
              </w:rPr>
              <w:t>informācijas sistēmā “</w:t>
            </w:r>
            <w:r w:rsidRPr="003A3A17">
              <w:rPr>
                <w:rFonts w:eastAsia="Times New Roman"/>
                <w:lang w:val="lv-LV" w:eastAsia="lv-LV"/>
              </w:rPr>
              <w:t>SIRENE</w:t>
            </w:r>
            <w:r w:rsidR="00F052A0" w:rsidRPr="003A3A17">
              <w:rPr>
                <w:rFonts w:eastAsia="Times New Roman"/>
                <w:lang w:val="lv-LV" w:eastAsia="lv-LV"/>
              </w:rPr>
              <w:t>”</w:t>
            </w:r>
            <w:r w:rsidRPr="003A3A17">
              <w:rPr>
                <w:rFonts w:eastAsia="Times New Roman"/>
                <w:lang w:val="lv-LV" w:eastAsia="lv-LV"/>
              </w:rPr>
              <w:t>;</w:t>
            </w:r>
          </w:p>
          <w:p w14:paraId="1E495B08" w14:textId="73EA1063" w:rsidR="00127F06" w:rsidRPr="003A3A17" w:rsidRDefault="00127F06" w:rsidP="00F248DA">
            <w:pPr>
              <w:pStyle w:val="ListParagraph"/>
              <w:numPr>
                <w:ilvl w:val="0"/>
                <w:numId w:val="34"/>
              </w:numPr>
              <w:rPr>
                <w:rFonts w:eastAsia="Times New Roman"/>
                <w:bCs/>
                <w:lang w:val="lv-LV" w:eastAsia="lv-LV"/>
              </w:rPr>
            </w:pPr>
            <w:r w:rsidRPr="003A3A17">
              <w:rPr>
                <w:rFonts w:eastAsia="Times New Roman"/>
                <w:bCs/>
                <w:lang w:val="lv-LV" w:eastAsia="lv-LV"/>
              </w:rPr>
              <w:t>Īstenots aktivitāšu komplekss NKIM attīstībai un pilnveidošanai;</w:t>
            </w:r>
          </w:p>
          <w:p w14:paraId="7583990D" w14:textId="6C393BCB" w:rsidR="00127F06" w:rsidRPr="003A3A17" w:rsidRDefault="00127F06" w:rsidP="00F248DA">
            <w:pPr>
              <w:pStyle w:val="ListParagraph"/>
              <w:numPr>
                <w:ilvl w:val="0"/>
                <w:numId w:val="34"/>
              </w:numPr>
              <w:rPr>
                <w:rFonts w:eastAsia="Times New Roman"/>
                <w:bCs/>
                <w:lang w:val="lv-LV" w:eastAsia="lv-LV"/>
              </w:rPr>
            </w:pPr>
            <w:r w:rsidRPr="003A3A17">
              <w:rPr>
                <w:rFonts w:eastAsia="Times New Roman"/>
                <w:bCs/>
                <w:lang w:val="lv-LV" w:eastAsia="lv-LV"/>
              </w:rPr>
              <w:t>Izstrādāts datu nodošanas mehānisms VID projektam un pielāgoša</w:t>
            </w:r>
            <w:r w:rsidR="00F052A0" w:rsidRPr="003A3A17">
              <w:rPr>
                <w:rFonts w:eastAsia="Times New Roman"/>
                <w:bCs/>
                <w:lang w:val="lv-LV" w:eastAsia="lv-LV"/>
              </w:rPr>
              <w:t>nai KAIS vajadzībām.</w:t>
            </w:r>
          </w:p>
          <w:p w14:paraId="6095D3A7" w14:textId="77777777" w:rsidR="00B40A51" w:rsidRPr="003A3A17" w:rsidRDefault="00B40A51" w:rsidP="00B40A51">
            <w:pPr>
              <w:rPr>
                <w:rFonts w:eastAsia="Times New Roman"/>
                <w:lang w:val="lv-LV" w:eastAsia="lv-LV"/>
              </w:rPr>
            </w:pPr>
          </w:p>
          <w:p w14:paraId="3D432B27" w14:textId="2DA92879" w:rsidR="002D548B" w:rsidRPr="003A3A17" w:rsidRDefault="002D548B" w:rsidP="00DB1D8E">
            <w:pPr>
              <w:pStyle w:val="Institutionquisigne"/>
              <w:spacing w:before="0"/>
              <w:ind w:firstLine="743"/>
              <w:rPr>
                <w:i w:val="0"/>
                <w:iCs/>
                <w:lang w:val="lv-LV"/>
              </w:rPr>
            </w:pPr>
            <w:r w:rsidRPr="003A3A17">
              <w:rPr>
                <w:i w:val="0"/>
                <w:iCs/>
                <w:lang w:val="lv-LV"/>
              </w:rPr>
              <w:t>Apstiprināto projektu finansiālais īpatsvars uz 30.06.2024 ir 90,</w:t>
            </w:r>
            <w:r w:rsidR="000C30B0">
              <w:rPr>
                <w:i w:val="0"/>
                <w:iCs/>
                <w:lang w:val="lv-LV"/>
              </w:rPr>
              <w:t>27</w:t>
            </w:r>
            <w:r w:rsidRPr="003A3A17">
              <w:rPr>
                <w:i w:val="0"/>
                <w:iCs/>
                <w:lang w:val="lv-LV"/>
              </w:rPr>
              <w:t xml:space="preserve"> % no 1. konkrētā mērķa apstiprinātā finansējuma. Faktisk</w:t>
            </w:r>
            <w:r w:rsidR="00C40454">
              <w:rPr>
                <w:i w:val="0"/>
                <w:iCs/>
                <w:lang w:val="lv-LV"/>
              </w:rPr>
              <w:t>o</w:t>
            </w:r>
            <w:r w:rsidRPr="003A3A17">
              <w:rPr>
                <w:i w:val="0"/>
                <w:iCs/>
                <w:lang w:val="lv-LV"/>
              </w:rPr>
              <w:t xml:space="preserve"> iznākuma</w:t>
            </w:r>
            <w:r w:rsidR="00C40454">
              <w:rPr>
                <w:i w:val="0"/>
                <w:iCs/>
                <w:lang w:val="lv-LV"/>
              </w:rPr>
              <w:t xml:space="preserve"> un rezultātu rādītāju izpildi skatīt</w:t>
            </w:r>
            <w:r w:rsidRPr="003A3A17">
              <w:rPr>
                <w:i w:val="0"/>
                <w:iCs/>
                <w:lang w:val="lv-LV"/>
              </w:rPr>
              <w:t xml:space="preserve"> </w:t>
            </w:r>
            <w:r w:rsidR="00C40454">
              <w:rPr>
                <w:i w:val="0"/>
                <w:iCs/>
                <w:lang w:val="lv-LV"/>
              </w:rPr>
              <w:t>ziņojuma 1. pielikumā.</w:t>
            </w:r>
          </w:p>
          <w:p w14:paraId="5FD6D9CA" w14:textId="77777777" w:rsidR="005A4005" w:rsidRPr="003A3A17" w:rsidRDefault="005A4005" w:rsidP="005A4005">
            <w:pPr>
              <w:pStyle w:val="Personnequisigne"/>
              <w:rPr>
                <w:lang w:val="lv-LV"/>
              </w:rPr>
            </w:pPr>
          </w:p>
          <w:p w14:paraId="58B21E4B" w14:textId="0C2E9548" w:rsidR="00103A21" w:rsidRPr="003A3A17" w:rsidRDefault="00B40A51" w:rsidP="00B40A51">
            <w:pPr>
              <w:pStyle w:val="Personnequisigne"/>
              <w:ind w:left="720"/>
              <w:jc w:val="center"/>
              <w:rPr>
                <w:i w:val="0"/>
                <w:u w:val="single"/>
                <w:lang w:val="lv-LV"/>
              </w:rPr>
            </w:pPr>
            <w:bookmarkStart w:id="3" w:name="_Hlk189564979"/>
            <w:r w:rsidRPr="003A3A17">
              <w:rPr>
                <w:i w:val="0"/>
                <w:u w:val="single"/>
                <w:lang w:val="lv-LV"/>
              </w:rPr>
              <w:t xml:space="preserve">2. </w:t>
            </w:r>
            <w:r w:rsidR="00317D44" w:rsidRPr="003A3A17">
              <w:rPr>
                <w:i w:val="0"/>
                <w:u w:val="single"/>
                <w:lang w:val="lv-LV"/>
              </w:rPr>
              <w:t>konkrēt</w:t>
            </w:r>
            <w:r w:rsidR="00A44041" w:rsidRPr="003A3A17">
              <w:rPr>
                <w:i w:val="0"/>
                <w:u w:val="single"/>
                <w:lang w:val="lv-LV"/>
              </w:rPr>
              <w:t>ais mērķis</w:t>
            </w:r>
            <w:r w:rsidR="008F5F36" w:rsidRPr="003A3A17">
              <w:rPr>
                <w:i w:val="0"/>
                <w:u w:val="single"/>
                <w:lang w:val="lv-LV"/>
              </w:rPr>
              <w:t xml:space="preserve"> “Pārrobežu sadarbība”</w:t>
            </w:r>
          </w:p>
          <w:bookmarkEnd w:id="3"/>
          <w:p w14:paraId="7221B243" w14:textId="77777777" w:rsidR="000D3B8F" w:rsidRPr="003A3A17" w:rsidRDefault="000D3B8F" w:rsidP="000D3B8F">
            <w:pPr>
              <w:pStyle w:val="Institutionquisigne"/>
              <w:spacing w:before="0"/>
              <w:rPr>
                <w:lang w:val="lv-LV"/>
              </w:rPr>
            </w:pPr>
          </w:p>
          <w:p w14:paraId="67503C85" w14:textId="32648201" w:rsidR="000D3B8F" w:rsidRPr="00DB1D8E" w:rsidRDefault="00D43DC8" w:rsidP="00DB1D8E">
            <w:pPr>
              <w:pStyle w:val="Institutionquisigne"/>
              <w:spacing w:before="0"/>
              <w:ind w:firstLine="743"/>
              <w:rPr>
                <w:i w:val="0"/>
                <w:iCs/>
                <w:lang w:val="lv-LV"/>
              </w:rPr>
            </w:pPr>
            <w:r w:rsidRPr="003A3A17">
              <w:rPr>
                <w:i w:val="0"/>
                <w:iCs/>
                <w:lang w:val="lv-LV"/>
              </w:rPr>
              <w:t xml:space="preserve">Grāmatvedības periodā tika turpināta 2 projektu īstenošana. Finansējuma saņēmēji ir VP un VID. </w:t>
            </w:r>
          </w:p>
          <w:p w14:paraId="4F035DC1" w14:textId="77777777" w:rsidR="00DB1D8E" w:rsidRDefault="000D3B8F" w:rsidP="00DB1D8E">
            <w:pPr>
              <w:suppressAutoHyphens/>
              <w:ind w:firstLine="743"/>
              <w:textAlignment w:val="baseline"/>
              <w:rPr>
                <w:iCs/>
                <w:lang w:val="lv-LV"/>
              </w:rPr>
            </w:pPr>
            <w:r w:rsidRPr="003A3A17">
              <w:rPr>
                <w:iCs/>
                <w:lang w:val="lv-LV"/>
              </w:rPr>
              <w:t xml:space="preserve">Lai nodrošinātu turpmāku sadarbību ar Eiropolu starptautiska rakstura noziedzīga nodarījuma izmeklēšanā, </w:t>
            </w:r>
            <w:r w:rsidR="005A4005" w:rsidRPr="003A3A17">
              <w:rPr>
                <w:iCs/>
                <w:lang w:val="lv-LV"/>
              </w:rPr>
              <w:t xml:space="preserve">VP </w:t>
            </w:r>
            <w:r w:rsidRPr="003A3A17">
              <w:rPr>
                <w:iCs/>
                <w:lang w:val="lv-LV"/>
              </w:rPr>
              <w:t xml:space="preserve">īsteno </w:t>
            </w:r>
            <w:r w:rsidR="003A3A17" w:rsidRPr="003A3A17">
              <w:rPr>
                <w:iCs/>
                <w:lang w:val="lv-LV"/>
              </w:rPr>
              <w:t>projektu</w:t>
            </w:r>
            <w:r w:rsidRPr="003A3A17">
              <w:rPr>
                <w:iCs/>
                <w:lang w:val="lv-LV"/>
              </w:rPr>
              <w:t xml:space="preserve">, kura </w:t>
            </w:r>
            <w:r w:rsidRPr="003A3A17">
              <w:rPr>
                <w:rFonts w:eastAsia="Times New Roman"/>
                <w:bCs/>
                <w:iCs/>
                <w:lang w:val="lv-LV"/>
              </w:rPr>
              <w:t xml:space="preserve">galvenais mērķis ir Eiropas operatīvās grupas (EOT) izveide </w:t>
            </w:r>
            <w:r w:rsidRPr="003A3A17">
              <w:rPr>
                <w:rFonts w:eastAsia="Times New Roman"/>
                <w:bCs/>
                <w:i/>
                <w:lang w:val="lv-LV"/>
              </w:rPr>
              <w:t xml:space="preserve">Kosta </w:t>
            </w:r>
            <w:proofErr w:type="spellStart"/>
            <w:r w:rsidRPr="003A3A17">
              <w:rPr>
                <w:rFonts w:eastAsia="Times New Roman"/>
                <w:bCs/>
                <w:i/>
                <w:lang w:val="lv-LV"/>
              </w:rPr>
              <w:t>del</w:t>
            </w:r>
            <w:proofErr w:type="spellEnd"/>
            <w:r w:rsidRPr="003A3A17">
              <w:rPr>
                <w:rFonts w:eastAsia="Times New Roman"/>
                <w:bCs/>
                <w:i/>
                <w:lang w:val="lv-LV"/>
              </w:rPr>
              <w:t xml:space="preserve"> Sol</w:t>
            </w:r>
            <w:r w:rsidRPr="003A3A17">
              <w:rPr>
                <w:rFonts w:eastAsia="Times New Roman"/>
                <w:bCs/>
                <w:iCs/>
                <w:lang w:val="lv-LV"/>
              </w:rPr>
              <w:t xml:space="preserve">. </w:t>
            </w:r>
            <w:r w:rsidRPr="003A3A17">
              <w:rPr>
                <w:iCs/>
                <w:lang w:val="lv-LV"/>
              </w:rPr>
              <w:t xml:space="preserve">Spānijas policijas iniciētā projekta mērķis ir stiprināt starptautisko sadarbību starp </w:t>
            </w:r>
            <w:r w:rsidR="003A5978">
              <w:rPr>
                <w:iCs/>
                <w:lang w:val="lv-LV"/>
              </w:rPr>
              <w:t>ES</w:t>
            </w:r>
            <w:r w:rsidRPr="003A3A17">
              <w:rPr>
                <w:iCs/>
                <w:lang w:val="lv-LV"/>
              </w:rPr>
              <w:t xml:space="preserve"> dalībvalstīm un trešajām pusēm, kuru mērķis ir augsta riska noziedznieku tīklu atklāšana, kas uzturas Kosta </w:t>
            </w:r>
            <w:proofErr w:type="spellStart"/>
            <w:r w:rsidRPr="003A3A17">
              <w:rPr>
                <w:iCs/>
                <w:lang w:val="lv-LV"/>
              </w:rPr>
              <w:t>del</w:t>
            </w:r>
            <w:proofErr w:type="spellEnd"/>
            <w:r w:rsidRPr="003A3A17">
              <w:rPr>
                <w:iCs/>
                <w:lang w:val="lv-LV"/>
              </w:rPr>
              <w:t xml:space="preserve"> Solā, Spānijā un/vai to noziedznieku tīklu atklāšanu, kuri darbojas no šīs vietas un ietekmē ES un pārrobežu narkotiku tirgu</w:t>
            </w:r>
            <w:r w:rsidR="00371AD5" w:rsidRPr="003A3A17">
              <w:rPr>
                <w:iCs/>
                <w:lang w:val="lv-LV"/>
              </w:rPr>
              <w:t xml:space="preserve"> (skat. 1.5. apakšpunktu “Konkrētās darbības”)</w:t>
            </w:r>
            <w:r w:rsidR="00DB1D8E">
              <w:rPr>
                <w:iCs/>
                <w:lang w:val="lv-LV"/>
              </w:rPr>
              <w:t>.</w:t>
            </w:r>
          </w:p>
          <w:p w14:paraId="00BFF248" w14:textId="67B3CAE7" w:rsidR="00772E74" w:rsidRPr="00DB1D8E" w:rsidRDefault="00AB0A1F" w:rsidP="00DB1D8E">
            <w:pPr>
              <w:suppressAutoHyphens/>
              <w:ind w:firstLine="743"/>
              <w:textAlignment w:val="baseline"/>
              <w:rPr>
                <w:iCs/>
                <w:lang w:val="lv-LV"/>
              </w:rPr>
            </w:pPr>
            <w:r w:rsidRPr="003A3A17">
              <w:rPr>
                <w:lang w:val="lv-LV"/>
              </w:rPr>
              <w:t xml:space="preserve">Lai cīnītos ar akcīzes noziedzību Baltijas reģionā, VID turpināja īstenot projektu, kā rezultātā plānots </w:t>
            </w:r>
            <w:r w:rsidRPr="003A3A17">
              <w:rPr>
                <w:rFonts w:eastAsia="Times New Roman"/>
                <w:lang w:val="lv-LV" w:eastAsia="lv-LV"/>
              </w:rPr>
              <w:t>mazināt nelegālo akcīzes preču apriti un akcīzes nodokļa plaisu Baltijas reģionā, paaugstinot tiesībaizsardzības iestāžu</w:t>
            </w:r>
            <w:r w:rsidR="003A5978">
              <w:rPr>
                <w:rFonts w:eastAsia="Times New Roman"/>
                <w:lang w:val="lv-LV" w:eastAsia="lv-LV"/>
              </w:rPr>
              <w:t xml:space="preserve"> (turpmāk – TAI)</w:t>
            </w:r>
            <w:r w:rsidRPr="003A3A17">
              <w:rPr>
                <w:rFonts w:eastAsia="Times New Roman"/>
                <w:lang w:val="lv-LV" w:eastAsia="lv-LV"/>
              </w:rPr>
              <w:t xml:space="preserve"> darbības efektivitāti un tehniskās spējas cīņā pret ēnu ekonomiku, apkarojot nelegālo tabakas izstrādājumu, degvielas un alkohola kontrabandu Baltijas reģionā </w:t>
            </w:r>
            <w:r w:rsidR="00DB1D8E">
              <w:rPr>
                <w:rFonts w:eastAsia="Times New Roman"/>
                <w:lang w:val="lv-LV" w:eastAsia="lv-LV"/>
              </w:rPr>
              <w:t>u</w:t>
            </w:r>
            <w:r w:rsidRPr="003A3A17">
              <w:rPr>
                <w:rFonts w:eastAsia="Times New Roman"/>
                <w:lang w:val="lv-LV" w:eastAsia="lv-LV"/>
              </w:rPr>
              <w:t>n ES</w:t>
            </w:r>
            <w:r w:rsidR="00371AD5" w:rsidRPr="003A3A17">
              <w:rPr>
                <w:rFonts w:eastAsia="Times New Roman"/>
                <w:lang w:val="lv-LV" w:eastAsia="lv-LV"/>
              </w:rPr>
              <w:t xml:space="preserve"> (skatīt 1.5. apakšpunktu “Konkrētās darbības”)</w:t>
            </w:r>
            <w:r w:rsidRPr="003A3A17">
              <w:rPr>
                <w:rFonts w:eastAsia="Times New Roman"/>
                <w:lang w:val="lv-LV" w:eastAsia="lv-LV"/>
              </w:rPr>
              <w:t>.</w:t>
            </w:r>
          </w:p>
          <w:p w14:paraId="6EAC2FC0" w14:textId="138D27F7" w:rsidR="00AB0A1F" w:rsidRPr="003A3A17" w:rsidRDefault="00C40454" w:rsidP="00DB1D8E">
            <w:pPr>
              <w:pStyle w:val="Institutionquisigne"/>
              <w:spacing w:before="0"/>
              <w:ind w:firstLine="743"/>
              <w:rPr>
                <w:i w:val="0"/>
                <w:iCs/>
                <w:lang w:val="lv-LV"/>
              </w:rPr>
            </w:pPr>
            <w:r w:rsidRPr="003A3A17">
              <w:rPr>
                <w:i w:val="0"/>
                <w:iCs/>
                <w:lang w:val="lv-LV"/>
              </w:rPr>
              <w:lastRenderedPageBreak/>
              <w:t>Faktisk</w:t>
            </w:r>
            <w:r>
              <w:rPr>
                <w:i w:val="0"/>
                <w:iCs/>
                <w:lang w:val="lv-LV"/>
              </w:rPr>
              <w:t>o</w:t>
            </w:r>
            <w:r w:rsidRPr="003A3A17">
              <w:rPr>
                <w:i w:val="0"/>
                <w:iCs/>
                <w:lang w:val="lv-LV"/>
              </w:rPr>
              <w:t xml:space="preserve"> iznākuma</w:t>
            </w:r>
            <w:r>
              <w:rPr>
                <w:i w:val="0"/>
                <w:iCs/>
                <w:lang w:val="lv-LV"/>
              </w:rPr>
              <w:t xml:space="preserve"> un rezultātu rādītāju izpildi skatīt</w:t>
            </w:r>
            <w:r w:rsidRPr="003A3A17">
              <w:rPr>
                <w:i w:val="0"/>
                <w:iCs/>
                <w:lang w:val="lv-LV"/>
              </w:rPr>
              <w:t xml:space="preserve"> </w:t>
            </w:r>
            <w:r>
              <w:rPr>
                <w:i w:val="0"/>
                <w:iCs/>
                <w:lang w:val="lv-LV"/>
              </w:rPr>
              <w:t>ziņojuma 1. pielikumā.</w:t>
            </w:r>
            <w:r w:rsidR="00DB1D8E">
              <w:rPr>
                <w:i w:val="0"/>
                <w:iCs/>
                <w:lang w:val="lv-LV"/>
              </w:rPr>
              <w:t xml:space="preserve"> </w:t>
            </w:r>
            <w:r w:rsidR="00AB0A1F" w:rsidRPr="003A3A17">
              <w:rPr>
                <w:i w:val="0"/>
                <w:iCs/>
                <w:lang w:val="lv-LV"/>
              </w:rPr>
              <w:t>Apstiprināto projektu finansiālais īpatsvars uz 30.06.2024 ir 7</w:t>
            </w:r>
            <w:r w:rsidR="000C30B0">
              <w:rPr>
                <w:i w:val="0"/>
                <w:iCs/>
                <w:lang w:val="lv-LV"/>
              </w:rPr>
              <w:t>,04</w:t>
            </w:r>
            <w:r w:rsidR="00AB0A1F" w:rsidRPr="003A3A17">
              <w:rPr>
                <w:i w:val="0"/>
                <w:iCs/>
                <w:lang w:val="lv-LV"/>
              </w:rPr>
              <w:t>% no 2. konkrētā mērķa apstiprinātā finansējuma.</w:t>
            </w:r>
          </w:p>
          <w:p w14:paraId="090A306D" w14:textId="40C5BBF9" w:rsidR="002357EB" w:rsidRPr="003A3A17" w:rsidRDefault="00C74EBB" w:rsidP="00DB1D8E">
            <w:pPr>
              <w:ind w:firstLine="743"/>
              <w:rPr>
                <w:iCs/>
                <w:lang w:val="lv-LV"/>
              </w:rPr>
            </w:pPr>
            <w:r w:rsidRPr="003A3A17">
              <w:rPr>
                <w:iCs/>
                <w:lang w:val="lv-LV"/>
              </w:rPr>
              <w:t xml:space="preserve">Pēc grāmatvedības perioda beigām ir plānota 1 VP projekta īstenošana par smagās, organizētās un pārrobežu noziedzības apkarošanas stiprināšanu un sadarbības veicināšanu ar iesaistītajām </w:t>
            </w:r>
            <w:r w:rsidR="003A3A17" w:rsidRPr="003A3A17">
              <w:rPr>
                <w:iCs/>
                <w:lang w:val="lv-LV"/>
              </w:rPr>
              <w:t>valstīm. Šajā</w:t>
            </w:r>
            <w:r w:rsidR="002357EB" w:rsidRPr="003A3A17">
              <w:rPr>
                <w:iCs/>
                <w:lang w:val="lv-LV"/>
              </w:rPr>
              <w:t xml:space="preserve"> projektā plānotās aktivitātes sniegs ieguldījumu cīņā pret organizēto noziedzību, veicinās sadarbību starp nacionālajām un ES dalībvalstu </w:t>
            </w:r>
            <w:r w:rsidR="003A5978">
              <w:rPr>
                <w:iCs/>
                <w:lang w:val="lv-LV"/>
              </w:rPr>
              <w:t>TAI</w:t>
            </w:r>
            <w:r w:rsidR="002357EB" w:rsidRPr="003A3A17">
              <w:rPr>
                <w:iCs/>
                <w:lang w:val="lv-LV"/>
              </w:rPr>
              <w:t xml:space="preserve">, kā arī ļaus realizēt ES un nacionālā līmeņa stratēģiskajos dokumentos noteiktās stratēģiskās prioritātes tiesībaizsardzības jomā, sasniedzot konkrētus rezultātus noziedzīgo nodarījumu apkarošanā, personāla apmācībā un TAI tehniskās kapacitātes nodrošināšanā. </w:t>
            </w:r>
          </w:p>
          <w:p w14:paraId="001502AA" w14:textId="77777777" w:rsidR="00385D77" w:rsidRPr="003A3A17" w:rsidRDefault="002357EB" w:rsidP="00DB1D8E">
            <w:pPr>
              <w:pStyle w:val="Personnequisigne"/>
              <w:ind w:firstLine="743"/>
              <w:jc w:val="both"/>
              <w:rPr>
                <w:i w:val="0"/>
                <w:iCs/>
                <w:lang w:val="lv-LV"/>
              </w:rPr>
            </w:pPr>
            <w:r w:rsidRPr="003A3A17">
              <w:rPr>
                <w:i w:val="0"/>
                <w:iCs/>
                <w:lang w:val="lv-LV"/>
              </w:rPr>
              <w:t xml:space="preserve">Projekta ietvaros </w:t>
            </w:r>
            <w:r w:rsidR="00385D77" w:rsidRPr="003A3A17">
              <w:rPr>
                <w:i w:val="0"/>
                <w:iCs/>
                <w:lang w:val="lv-LV"/>
              </w:rPr>
              <w:t>plānots:</w:t>
            </w:r>
          </w:p>
          <w:p w14:paraId="56F6C03E" w14:textId="391859B9" w:rsidR="00385D77" w:rsidRPr="003A3A17" w:rsidRDefault="00385D77" w:rsidP="00DB1D8E">
            <w:pPr>
              <w:pStyle w:val="Personnequisigne"/>
              <w:numPr>
                <w:ilvl w:val="0"/>
                <w:numId w:val="34"/>
              </w:numPr>
              <w:jc w:val="both"/>
              <w:rPr>
                <w:i w:val="0"/>
                <w:iCs/>
                <w:lang w:val="lv-LV"/>
              </w:rPr>
            </w:pPr>
            <w:r w:rsidRPr="003A3A17">
              <w:rPr>
                <w:i w:val="0"/>
                <w:iCs/>
                <w:lang w:val="lv-LV"/>
              </w:rPr>
              <w:t>veikt p</w:t>
            </w:r>
            <w:r w:rsidR="002357EB" w:rsidRPr="003A3A17">
              <w:rPr>
                <w:i w:val="0"/>
                <w:iCs/>
                <w:lang w:val="lv-LV"/>
              </w:rPr>
              <w:t>ētījum</w:t>
            </w:r>
            <w:r w:rsidRPr="003A3A17">
              <w:rPr>
                <w:i w:val="0"/>
                <w:iCs/>
                <w:lang w:val="lv-LV"/>
              </w:rPr>
              <w:t>u</w:t>
            </w:r>
            <w:r w:rsidR="002357EB" w:rsidRPr="003A3A17">
              <w:rPr>
                <w:i w:val="0"/>
                <w:iCs/>
                <w:lang w:val="lv-LV"/>
              </w:rPr>
              <w:t xml:space="preserve"> par narkotisko/psihotropo vielu pieejamību jauniešu vidū, narkotisko/psihotropo vielu aprites īpatnībām un to pieejamību izglītības iestādēs</w:t>
            </w:r>
            <w:r w:rsidRPr="003A3A17">
              <w:rPr>
                <w:i w:val="0"/>
                <w:iCs/>
                <w:lang w:val="lv-LV"/>
              </w:rPr>
              <w:t>;</w:t>
            </w:r>
          </w:p>
          <w:p w14:paraId="72B1471B" w14:textId="21144EC3" w:rsidR="00385D77" w:rsidRPr="003A3A17" w:rsidRDefault="00385D77" w:rsidP="00DB1D8E">
            <w:pPr>
              <w:pStyle w:val="Personnequisigne"/>
              <w:numPr>
                <w:ilvl w:val="0"/>
                <w:numId w:val="34"/>
              </w:numPr>
              <w:jc w:val="both"/>
              <w:rPr>
                <w:i w:val="0"/>
                <w:iCs/>
                <w:lang w:val="lv-LV"/>
              </w:rPr>
            </w:pPr>
            <w:r w:rsidRPr="003A3A17">
              <w:rPr>
                <w:i w:val="0"/>
                <w:iCs/>
                <w:lang w:val="lv-LV"/>
              </w:rPr>
              <w:t>o</w:t>
            </w:r>
            <w:r w:rsidR="002357EB" w:rsidRPr="003A3A17">
              <w:rPr>
                <w:i w:val="0"/>
                <w:iCs/>
                <w:lang w:val="lv-LV"/>
              </w:rPr>
              <w:t>rganizēt a</w:t>
            </w:r>
            <w:r w:rsidR="002357EB" w:rsidRPr="003A3A17">
              <w:rPr>
                <w:rFonts w:eastAsia="Times New Roman"/>
                <w:i w:val="0"/>
                <w:iCs/>
                <w:lang w:val="lv-LV" w:eastAsia="lv-LV"/>
              </w:rPr>
              <w:t>pmācības s</w:t>
            </w:r>
            <w:r w:rsidR="002357EB" w:rsidRPr="003A3A17">
              <w:rPr>
                <w:i w:val="0"/>
                <w:iCs/>
                <w:lang w:val="lv-LV"/>
              </w:rPr>
              <w:t xml:space="preserve">magās, organizētās un pārrobežu noziedzības apkarošanas </w:t>
            </w:r>
            <w:r w:rsidR="002357EB" w:rsidRPr="003A3A17">
              <w:rPr>
                <w:rFonts w:eastAsia="Times New Roman"/>
                <w:i w:val="0"/>
                <w:iCs/>
                <w:lang w:val="lv-LV" w:eastAsia="lv-LV"/>
              </w:rPr>
              <w:t>jomā</w:t>
            </w:r>
            <w:r w:rsidRPr="003A3A17">
              <w:rPr>
                <w:rFonts w:eastAsia="Times New Roman"/>
                <w:i w:val="0"/>
                <w:iCs/>
                <w:lang w:val="lv-LV" w:eastAsia="lv-LV"/>
              </w:rPr>
              <w:t>;</w:t>
            </w:r>
          </w:p>
          <w:p w14:paraId="49FF5F74" w14:textId="45FE7313" w:rsidR="00385D77" w:rsidRPr="003A3A17" w:rsidRDefault="00385D77" w:rsidP="00DB1D8E">
            <w:pPr>
              <w:pStyle w:val="Personnequisigne"/>
              <w:numPr>
                <w:ilvl w:val="0"/>
                <w:numId w:val="34"/>
              </w:numPr>
              <w:jc w:val="both"/>
              <w:rPr>
                <w:rFonts w:eastAsia="Times New Roman"/>
                <w:i w:val="0"/>
                <w:iCs/>
                <w:lang w:val="lv-LV" w:eastAsia="lv-LV"/>
              </w:rPr>
            </w:pPr>
            <w:r w:rsidRPr="003A3A17">
              <w:rPr>
                <w:rFonts w:eastAsia="Times New Roman"/>
                <w:i w:val="0"/>
                <w:iCs/>
                <w:lang w:val="lv-LV" w:eastAsia="lv-LV"/>
              </w:rPr>
              <w:t>veikt n</w:t>
            </w:r>
            <w:r w:rsidR="002357EB" w:rsidRPr="003A3A17">
              <w:rPr>
                <w:rFonts w:eastAsia="Times New Roman"/>
                <w:i w:val="0"/>
                <w:iCs/>
                <w:lang w:val="lv-LV" w:eastAsia="lv-LV"/>
              </w:rPr>
              <w:t>acionālās un starptautiskās labās prakses apzināšan</w:t>
            </w:r>
            <w:r w:rsidRPr="003A3A17">
              <w:rPr>
                <w:rFonts w:eastAsia="Times New Roman"/>
                <w:i w:val="0"/>
                <w:iCs/>
                <w:lang w:val="lv-LV" w:eastAsia="lv-LV"/>
              </w:rPr>
              <w:t>u</w:t>
            </w:r>
            <w:r w:rsidR="002357EB" w:rsidRPr="003A3A17">
              <w:rPr>
                <w:rFonts w:eastAsia="Times New Roman"/>
                <w:i w:val="0"/>
                <w:iCs/>
                <w:lang w:val="lv-LV" w:eastAsia="lv-LV"/>
              </w:rPr>
              <w:t xml:space="preserve"> par efektīvi cīņas ar organizēto noziedzību un tās izpausmēm reglamentējošām tiesību normām</w:t>
            </w:r>
          </w:p>
          <w:p w14:paraId="4D918222" w14:textId="48A06265" w:rsidR="00385D77" w:rsidRPr="003A3A17" w:rsidRDefault="00385D77" w:rsidP="00DB1D8E">
            <w:pPr>
              <w:pStyle w:val="Institutionquisigne"/>
              <w:numPr>
                <w:ilvl w:val="0"/>
                <w:numId w:val="34"/>
              </w:numPr>
              <w:spacing w:before="0"/>
              <w:rPr>
                <w:rFonts w:eastAsia="Times New Roman"/>
                <w:i w:val="0"/>
                <w:iCs/>
                <w:lang w:val="lv-LV" w:eastAsia="lv-LV"/>
              </w:rPr>
            </w:pPr>
            <w:r w:rsidRPr="003A3A17">
              <w:rPr>
                <w:rFonts w:eastAsia="Times New Roman"/>
                <w:i w:val="0"/>
                <w:iCs/>
                <w:lang w:val="lv-LV" w:eastAsia="lv-LV"/>
              </w:rPr>
              <w:t>veikt starptautiskās labās prakses apzināšanu un starptautiskās sadarbības stiprināšanu;</w:t>
            </w:r>
          </w:p>
          <w:p w14:paraId="2EFF9986" w14:textId="730CF928" w:rsidR="0080216F" w:rsidRPr="003A3A17" w:rsidRDefault="00385D77" w:rsidP="00DB1D8E">
            <w:pPr>
              <w:pStyle w:val="Personnequisigne"/>
              <w:numPr>
                <w:ilvl w:val="0"/>
                <w:numId w:val="34"/>
              </w:numPr>
              <w:jc w:val="both"/>
              <w:rPr>
                <w:i w:val="0"/>
                <w:iCs/>
                <w:lang w:val="lv-LV"/>
              </w:rPr>
            </w:pPr>
            <w:r w:rsidRPr="003A3A17">
              <w:rPr>
                <w:i w:val="0"/>
                <w:iCs/>
                <w:lang w:val="lv-LV" w:eastAsia="lv-LV"/>
              </w:rPr>
              <w:t>veikt o</w:t>
            </w:r>
            <w:r w:rsidRPr="003A3A17">
              <w:rPr>
                <w:i w:val="0"/>
                <w:iCs/>
                <w:lang w:val="lv-LV"/>
              </w:rPr>
              <w:t>rganizētās noziedzības smago un sērijveida noziegumu apkarošanas pārvaldes materiāli tehniskās kapacitātes stiprināšanu.</w:t>
            </w:r>
          </w:p>
          <w:p w14:paraId="5DBFB2C6" w14:textId="77777777" w:rsidR="00103A21" w:rsidRPr="003A3A17" w:rsidRDefault="00103A21" w:rsidP="00DB1D8E">
            <w:pPr>
              <w:pStyle w:val="Institutionquisigne"/>
              <w:spacing w:before="0"/>
              <w:rPr>
                <w:lang w:val="lv-LV"/>
              </w:rPr>
            </w:pPr>
          </w:p>
          <w:p w14:paraId="042D3D35" w14:textId="596A7732" w:rsidR="00317D44" w:rsidRPr="003A3A17" w:rsidRDefault="00B40A51" w:rsidP="00DB1D8E">
            <w:pPr>
              <w:pStyle w:val="Personnequisigne"/>
              <w:ind w:left="720"/>
              <w:jc w:val="center"/>
              <w:rPr>
                <w:i w:val="0"/>
                <w:u w:val="single"/>
                <w:lang w:val="lv-LV"/>
              </w:rPr>
            </w:pPr>
            <w:bookmarkStart w:id="4" w:name="_Hlk189565037"/>
            <w:r w:rsidRPr="003A3A17">
              <w:rPr>
                <w:i w:val="0"/>
                <w:u w:val="single"/>
                <w:lang w:val="lv-LV"/>
              </w:rPr>
              <w:t xml:space="preserve">3. </w:t>
            </w:r>
            <w:r w:rsidR="00317D44" w:rsidRPr="003A3A17">
              <w:rPr>
                <w:i w:val="0"/>
                <w:u w:val="single"/>
                <w:lang w:val="lv-LV"/>
              </w:rPr>
              <w:t>konkrēt</w:t>
            </w:r>
            <w:r w:rsidR="00A44041" w:rsidRPr="003A3A17">
              <w:rPr>
                <w:i w:val="0"/>
                <w:u w:val="single"/>
                <w:lang w:val="lv-LV"/>
              </w:rPr>
              <w:t>ais mērķis</w:t>
            </w:r>
            <w:r w:rsidR="008F5F36" w:rsidRPr="003A3A17">
              <w:rPr>
                <w:i w:val="0"/>
                <w:u w:val="single"/>
                <w:lang w:val="lv-LV"/>
              </w:rPr>
              <w:t xml:space="preserve"> “Noziedzības novēršana un apkarošana”</w:t>
            </w:r>
          </w:p>
          <w:bookmarkEnd w:id="4"/>
          <w:p w14:paraId="646B921A" w14:textId="77777777" w:rsidR="003E3A27" w:rsidRPr="003A3A17" w:rsidRDefault="003E3A27" w:rsidP="00DB1D8E">
            <w:pPr>
              <w:pStyle w:val="Institutionquisigne"/>
              <w:spacing w:before="0"/>
              <w:rPr>
                <w:lang w:val="lv-LV"/>
              </w:rPr>
            </w:pPr>
          </w:p>
          <w:p w14:paraId="318580BA" w14:textId="77777777" w:rsidR="00DB1D8E" w:rsidRDefault="009C1184" w:rsidP="00DB1D8E">
            <w:pPr>
              <w:pStyle w:val="Institutionquisigne"/>
              <w:spacing w:before="0"/>
              <w:ind w:firstLine="743"/>
              <w:rPr>
                <w:i w:val="0"/>
                <w:iCs/>
                <w:lang w:val="lv-LV"/>
              </w:rPr>
            </w:pPr>
            <w:r w:rsidRPr="003A3A17">
              <w:rPr>
                <w:i w:val="0"/>
                <w:iCs/>
                <w:lang w:val="lv-LV"/>
              </w:rPr>
              <w:t>Grāmatvedības periodā tika uzsākta 4 projektu īstenošana. Projektu finansējuma saņēmēji ir</w:t>
            </w:r>
            <w:r w:rsidR="003E3A27" w:rsidRPr="003A3A17">
              <w:rPr>
                <w:i w:val="0"/>
                <w:iCs/>
                <w:lang w:val="lv-LV"/>
              </w:rPr>
              <w:t xml:space="preserve"> VP, IeM IC, Nodrošinājuma valsts aģentūra (turpmāk – NVA) un Valsts ugunsdzēsības un glābšanas dienests (turpmāk - VUGD)</w:t>
            </w:r>
            <w:r w:rsidR="00203F71" w:rsidRPr="003A3A17">
              <w:rPr>
                <w:i w:val="0"/>
                <w:iCs/>
                <w:lang w:val="lv-LV"/>
              </w:rPr>
              <w:t>.</w:t>
            </w:r>
          </w:p>
          <w:p w14:paraId="17717A5A" w14:textId="77777777" w:rsidR="00DB1D8E" w:rsidRDefault="00D61C87" w:rsidP="00DB1D8E">
            <w:pPr>
              <w:pStyle w:val="Institutionquisigne"/>
              <w:spacing w:before="0"/>
              <w:ind w:firstLine="743"/>
              <w:rPr>
                <w:rFonts w:eastAsia="Times New Roman"/>
                <w:i w:val="0"/>
                <w:iCs/>
                <w:lang w:val="lv-LV" w:eastAsia="lv-LV"/>
              </w:rPr>
            </w:pPr>
            <w:r w:rsidRPr="00DB1D8E">
              <w:rPr>
                <w:i w:val="0"/>
                <w:iCs/>
                <w:lang w:val="lv-LV"/>
              </w:rPr>
              <w:t>Lai stiprinātu tiesībaizsardzības spējas noziedzības un terorisma apkarošanas un novēršanas jomā, VUGD</w:t>
            </w:r>
            <w:r w:rsidR="00A8385D" w:rsidRPr="00DB1D8E">
              <w:rPr>
                <w:i w:val="0"/>
                <w:iCs/>
                <w:lang w:val="lv-LV"/>
              </w:rPr>
              <w:t xml:space="preserve"> sadarbībā ar NVA</w:t>
            </w:r>
            <w:r w:rsidRPr="00DB1D8E">
              <w:rPr>
                <w:i w:val="0"/>
                <w:iCs/>
                <w:lang w:val="lv-LV"/>
              </w:rPr>
              <w:t xml:space="preserve"> īsteno projektu, kā rezultātā tiks pabeigta mācību poligona būvniecība un poligona aprīkošana ar mācību </w:t>
            </w:r>
            <w:proofErr w:type="spellStart"/>
            <w:r w:rsidRPr="00DB1D8E">
              <w:rPr>
                <w:i w:val="0"/>
                <w:iCs/>
                <w:lang w:val="lv-LV"/>
              </w:rPr>
              <w:t>simulatoriem</w:t>
            </w:r>
            <w:proofErr w:type="spellEnd"/>
            <w:r w:rsidRPr="00DB1D8E">
              <w:rPr>
                <w:i w:val="0"/>
                <w:iCs/>
                <w:lang w:val="lv-LV"/>
              </w:rPr>
              <w:t>, kas ļaus veikt pilnvērtīgas plaša mēro</w:t>
            </w:r>
            <w:r w:rsidR="007B6CFB" w:rsidRPr="00DB1D8E">
              <w:rPr>
                <w:i w:val="0"/>
                <w:iCs/>
                <w:lang w:val="lv-LV"/>
              </w:rPr>
              <w:t>g</w:t>
            </w:r>
            <w:r w:rsidRPr="00DB1D8E">
              <w:rPr>
                <w:i w:val="0"/>
                <w:iCs/>
                <w:lang w:val="lv-LV"/>
              </w:rPr>
              <w:t>a apmācības un praktiskas mācības</w:t>
            </w:r>
            <w:r w:rsidR="007B6CFB" w:rsidRPr="00DB1D8E">
              <w:rPr>
                <w:i w:val="0"/>
                <w:iCs/>
                <w:lang w:val="lv-LV"/>
              </w:rPr>
              <w:t xml:space="preserve"> </w:t>
            </w:r>
            <w:r w:rsidRPr="00DB1D8E">
              <w:rPr>
                <w:i w:val="0"/>
                <w:iCs/>
                <w:lang w:val="lv-LV"/>
              </w:rPr>
              <w:t xml:space="preserve">VUGD amatpersonām un </w:t>
            </w:r>
            <w:r w:rsidRPr="00DB1D8E">
              <w:rPr>
                <w:rFonts w:eastAsia="Times New Roman"/>
                <w:i w:val="0"/>
                <w:iCs/>
                <w:lang w:val="lv-LV" w:eastAsia="lv-LV"/>
              </w:rPr>
              <w:t>Ugunsdrošības un civilās aizsardzības koledžas (turpmāk –</w:t>
            </w:r>
            <w:r w:rsidR="003A3A17" w:rsidRPr="00DB1D8E">
              <w:rPr>
                <w:rFonts w:eastAsia="Times New Roman"/>
                <w:i w:val="0"/>
                <w:iCs/>
                <w:lang w:val="lv-LV" w:eastAsia="lv-LV"/>
              </w:rPr>
              <w:t xml:space="preserve"> </w:t>
            </w:r>
            <w:r w:rsidRPr="00DB1D8E">
              <w:rPr>
                <w:rFonts w:eastAsia="Times New Roman"/>
                <w:i w:val="0"/>
                <w:iCs/>
                <w:lang w:val="lv-LV" w:eastAsia="lv-LV"/>
              </w:rPr>
              <w:t xml:space="preserve">UCAK) kadetiem, lai regulāri iegūtu nepieciešamo pieredzi </w:t>
            </w:r>
            <w:r w:rsidR="007B6CFB" w:rsidRPr="00DB1D8E">
              <w:rPr>
                <w:rFonts w:eastAsia="Times New Roman"/>
                <w:i w:val="0"/>
                <w:iCs/>
                <w:lang w:val="lv-LV" w:eastAsia="lv-LV"/>
              </w:rPr>
              <w:t>CBRNE (</w:t>
            </w:r>
            <w:r w:rsidR="00FC395E" w:rsidRPr="00DB1D8E">
              <w:rPr>
                <w:rFonts w:eastAsia="Times New Roman"/>
                <w:i w:val="0"/>
                <w:iCs/>
                <w:lang w:val="lv-LV" w:eastAsia="lv-LV"/>
              </w:rPr>
              <w:t xml:space="preserve">angļu valodā - </w:t>
            </w:r>
            <w:r w:rsidR="007B6CFB" w:rsidRPr="00DB1D8E">
              <w:rPr>
                <w:rFonts w:eastAsia="Times New Roman"/>
                <w:i w:val="0"/>
                <w:iCs/>
                <w:lang w:val="lv-LV" w:eastAsia="lv-LV"/>
              </w:rPr>
              <w:t xml:space="preserve">Chemical, </w:t>
            </w:r>
            <w:proofErr w:type="spellStart"/>
            <w:r w:rsidR="007B6CFB" w:rsidRPr="00DB1D8E">
              <w:rPr>
                <w:rFonts w:eastAsia="Times New Roman"/>
                <w:i w:val="0"/>
                <w:iCs/>
                <w:lang w:val="lv-LV" w:eastAsia="lv-LV"/>
              </w:rPr>
              <w:t>biological</w:t>
            </w:r>
            <w:proofErr w:type="spellEnd"/>
            <w:r w:rsidR="007B6CFB" w:rsidRPr="00DB1D8E">
              <w:rPr>
                <w:rFonts w:eastAsia="Times New Roman"/>
                <w:i w:val="0"/>
                <w:iCs/>
                <w:lang w:val="lv-LV" w:eastAsia="lv-LV"/>
              </w:rPr>
              <w:t xml:space="preserve">, </w:t>
            </w:r>
            <w:proofErr w:type="spellStart"/>
            <w:r w:rsidR="007B6CFB" w:rsidRPr="00DB1D8E">
              <w:rPr>
                <w:rFonts w:eastAsia="Times New Roman"/>
                <w:i w:val="0"/>
                <w:iCs/>
                <w:lang w:val="lv-LV" w:eastAsia="lv-LV"/>
              </w:rPr>
              <w:t>radiological</w:t>
            </w:r>
            <w:proofErr w:type="spellEnd"/>
            <w:r w:rsidR="007B6CFB" w:rsidRPr="00DB1D8E">
              <w:rPr>
                <w:rFonts w:eastAsia="Times New Roman"/>
                <w:i w:val="0"/>
                <w:iCs/>
                <w:lang w:val="lv-LV" w:eastAsia="lv-LV"/>
              </w:rPr>
              <w:t xml:space="preserve">, </w:t>
            </w:r>
            <w:proofErr w:type="spellStart"/>
            <w:r w:rsidR="007B6CFB" w:rsidRPr="00DB1D8E">
              <w:rPr>
                <w:rFonts w:eastAsia="Times New Roman"/>
                <w:i w:val="0"/>
                <w:iCs/>
                <w:lang w:val="lv-LV" w:eastAsia="lv-LV"/>
              </w:rPr>
              <w:t>nuclear</w:t>
            </w:r>
            <w:proofErr w:type="spellEnd"/>
            <w:r w:rsidR="007B6CFB" w:rsidRPr="00DB1D8E">
              <w:rPr>
                <w:rFonts w:eastAsia="Times New Roman"/>
                <w:i w:val="0"/>
                <w:iCs/>
                <w:lang w:val="lv-LV" w:eastAsia="lv-LV"/>
              </w:rPr>
              <w:t xml:space="preserve">, </w:t>
            </w:r>
            <w:proofErr w:type="spellStart"/>
            <w:r w:rsidR="007B6CFB" w:rsidRPr="00DB1D8E">
              <w:rPr>
                <w:rFonts w:eastAsia="Times New Roman"/>
                <w:i w:val="0"/>
                <w:iCs/>
                <w:lang w:val="lv-LV" w:eastAsia="lv-LV"/>
              </w:rPr>
              <w:t>explosives</w:t>
            </w:r>
            <w:proofErr w:type="spellEnd"/>
            <w:r w:rsidR="007B6CFB" w:rsidRPr="00DB1D8E">
              <w:rPr>
                <w:rFonts w:eastAsia="Times New Roman"/>
                <w:i w:val="0"/>
                <w:iCs/>
                <w:lang w:val="lv-LV" w:eastAsia="lv-LV"/>
              </w:rPr>
              <w:t xml:space="preserve">, turpmāk – CBRNE) un cilvēku izraisītu </w:t>
            </w:r>
            <w:r w:rsidRPr="00DB1D8E">
              <w:rPr>
                <w:rFonts w:eastAsia="Times New Roman"/>
                <w:i w:val="0"/>
                <w:iCs/>
                <w:lang w:val="lv-LV" w:eastAsia="lv-LV"/>
              </w:rPr>
              <w:t xml:space="preserve">katastrofu gadījumā, nodrošinot ātru un efektīvu katastrofu seku likvidāciju reālās dzīves apstākļos. Uzlabotas reaģēšanas spējas cels vispārējo sabiedrības drošību un mazinās katastrofu negatīvo ietekmi. Grāmatvedības periodā </w:t>
            </w:r>
            <w:r w:rsidR="00A8385D" w:rsidRPr="00DB1D8E">
              <w:rPr>
                <w:rFonts w:eastAsia="Times New Roman"/>
                <w:i w:val="0"/>
                <w:iCs/>
                <w:lang w:val="lv-LV" w:eastAsia="lv-LV"/>
              </w:rPr>
              <w:t xml:space="preserve">nav panākts progress, taču ir organizēts iepirkums par mācību poligona pabeigšanu, noslēgts līgums par būvdarbiem un autoruzraudzību, kā arī noslēgta iepirkuma procedūra un noslēgti līgumi par laboratorijas aprīkojuma iegādi. </w:t>
            </w:r>
          </w:p>
          <w:p w14:paraId="5D7001BD" w14:textId="71AD10FC" w:rsidR="00A8385D" w:rsidRPr="00DB1D8E" w:rsidRDefault="00A8385D" w:rsidP="00DB1D8E">
            <w:pPr>
              <w:pStyle w:val="Institutionquisigne"/>
              <w:spacing w:before="0"/>
              <w:ind w:firstLine="743"/>
              <w:rPr>
                <w:i w:val="0"/>
                <w:iCs/>
                <w:lang w:val="lv-LV"/>
              </w:rPr>
            </w:pPr>
            <w:r w:rsidRPr="00DB1D8E">
              <w:rPr>
                <w:rFonts w:eastAsia="Times New Roman"/>
                <w:i w:val="0"/>
                <w:iCs/>
                <w:lang w:val="lv-LV" w:eastAsia="lv-LV"/>
              </w:rPr>
              <w:t xml:space="preserve">Lai radītu mācību vidi, kas nodrošinātu, ka cīņa pret visu veidu noziedzību un terorismu ir kvalitatīva un efektīva, VP sadarbībā ar NVA īsteno projektu, kā rezultātā tiks veikta </w:t>
            </w:r>
            <w:r w:rsidRPr="00DB1D8E">
              <w:rPr>
                <w:i w:val="0"/>
                <w:iCs/>
                <w:lang w:val="lv-LV"/>
              </w:rPr>
              <w:t xml:space="preserve">praktiskā mācību centra ar intervences objektu augstumā (alpīnisma sienu), taktiskā auto poligona un mācību centra operatīvā transporta stāvvietu izbūve un aprīkošana VP reaģēšanas mobilitātes un pretterorisma spēju stiprināšanai. </w:t>
            </w:r>
            <w:r w:rsidR="007B6CFB" w:rsidRPr="00DB1D8E">
              <w:rPr>
                <w:i w:val="0"/>
                <w:iCs/>
                <w:lang w:val="lv-LV"/>
              </w:rPr>
              <w:t xml:space="preserve">Tiks veikta praktisko mācību programmu izstrāde un to īstenošana </w:t>
            </w:r>
            <w:proofErr w:type="spellStart"/>
            <w:r w:rsidR="007B6CFB" w:rsidRPr="00DB1D8E">
              <w:rPr>
                <w:i w:val="0"/>
                <w:iCs/>
                <w:lang w:val="lv-LV"/>
              </w:rPr>
              <w:t>jaunuzbūvētajā</w:t>
            </w:r>
            <w:proofErr w:type="spellEnd"/>
            <w:r w:rsidR="007B6CFB" w:rsidRPr="00DB1D8E">
              <w:rPr>
                <w:i w:val="0"/>
                <w:iCs/>
                <w:lang w:val="lv-LV"/>
              </w:rPr>
              <w:t xml:space="preserve"> mācību centrā reaģējošo spēku un speciālo uzdevumu vienību sadarbības procesu pilnveidei, kā arī tiks veikta starptautiskās sadarbības stiprināšana un apmācību organizēšana izmeklēšanas un pretterorisma efektivitātes spēju veicināšanai. Grāmatvedības periodā nav panākts progress aktivitāšu īstenošanā. </w:t>
            </w:r>
          </w:p>
          <w:p w14:paraId="4A9F8B67" w14:textId="060424BA" w:rsidR="00BD38B4" w:rsidRPr="003A3A17" w:rsidRDefault="007B6CFB" w:rsidP="00DB1D8E">
            <w:pPr>
              <w:spacing w:line="276" w:lineRule="auto"/>
              <w:ind w:right="39" w:firstLine="743"/>
              <w:rPr>
                <w:rFonts w:eastAsia="Times New Roman"/>
                <w:lang w:val="lv-LV" w:eastAsia="lv-LV"/>
              </w:rPr>
            </w:pPr>
            <w:r w:rsidRPr="003A3A17">
              <w:rPr>
                <w:rFonts w:eastAsia="Times New Roman"/>
                <w:lang w:val="lv-LV" w:eastAsia="lv-LV"/>
              </w:rPr>
              <w:t xml:space="preserve">VP </w:t>
            </w:r>
            <w:r w:rsidR="00BD38B4" w:rsidRPr="003A3A17">
              <w:rPr>
                <w:rFonts w:eastAsia="Times New Roman"/>
                <w:lang w:val="lv-LV" w:eastAsia="lv-LV"/>
              </w:rPr>
              <w:t xml:space="preserve">uzsāka projekta īstenošanu </w:t>
            </w:r>
            <w:r w:rsidR="00543FEE" w:rsidRPr="003A3A17">
              <w:rPr>
                <w:rFonts w:eastAsia="Times New Roman"/>
                <w:lang w:val="lv-LV" w:eastAsia="lv-LV"/>
              </w:rPr>
              <w:t>par</w:t>
            </w:r>
            <w:r w:rsidR="00BD38B4" w:rsidRPr="003A3A17">
              <w:rPr>
                <w:rFonts w:eastAsia="Times New Roman"/>
                <w:lang w:val="lv-LV" w:eastAsia="lv-LV"/>
              </w:rPr>
              <w:t xml:space="preserve"> VP operatīvās vadības struktūrvienību materiāltehnisk</w:t>
            </w:r>
            <w:r w:rsidR="00543FEE" w:rsidRPr="003A3A17">
              <w:rPr>
                <w:rFonts w:eastAsia="Times New Roman"/>
                <w:lang w:val="lv-LV" w:eastAsia="lv-LV"/>
              </w:rPr>
              <w:t>ā</w:t>
            </w:r>
            <w:r w:rsidR="00BD38B4" w:rsidRPr="003A3A17">
              <w:rPr>
                <w:rFonts w:eastAsia="Times New Roman"/>
                <w:lang w:val="lv-LV" w:eastAsia="lv-LV"/>
              </w:rPr>
              <w:t xml:space="preserve"> nodrošinājum</w:t>
            </w:r>
            <w:r w:rsidR="00543FEE" w:rsidRPr="003A3A17">
              <w:rPr>
                <w:rFonts w:eastAsia="Times New Roman"/>
                <w:lang w:val="lv-LV" w:eastAsia="lv-LV"/>
              </w:rPr>
              <w:t>a uzlabošanu</w:t>
            </w:r>
            <w:r w:rsidR="00BD38B4" w:rsidRPr="003A3A17">
              <w:rPr>
                <w:rFonts w:eastAsia="Times New Roman"/>
                <w:lang w:val="lv-LV" w:eastAsia="lv-LV"/>
              </w:rPr>
              <w:t xml:space="preserve">, iegādājoties un pielāgojot pārvietojamo operatīvās vadības centru, lai pilnveidotu VP resursu koordināciju un situācijas pārvaldību lielu pasākumu, krīžu un operāciju gadījumos. Projekta rezultātā paredzēts – </w:t>
            </w:r>
          </w:p>
          <w:p w14:paraId="1E8029BF" w14:textId="533CD4DF" w:rsidR="00BD38B4" w:rsidRPr="003A3A17" w:rsidRDefault="00FC395E" w:rsidP="00DB1D8E">
            <w:pPr>
              <w:pStyle w:val="ListParagraph"/>
              <w:numPr>
                <w:ilvl w:val="0"/>
                <w:numId w:val="34"/>
              </w:numPr>
              <w:spacing w:line="276" w:lineRule="auto"/>
              <w:ind w:right="39"/>
              <w:rPr>
                <w:rFonts w:eastAsia="Times New Roman"/>
                <w:lang w:val="lv-LV" w:eastAsia="lv-LV"/>
              </w:rPr>
            </w:pPr>
            <w:r w:rsidRPr="003A3A17">
              <w:rPr>
                <w:rFonts w:eastAsia="Times New Roman"/>
                <w:lang w:val="lv-LV" w:eastAsia="lv-LV"/>
              </w:rPr>
              <w:t>i</w:t>
            </w:r>
            <w:r w:rsidR="00BD38B4" w:rsidRPr="003A3A17">
              <w:rPr>
                <w:rFonts w:eastAsia="Times New Roman"/>
                <w:lang w:val="lv-LV" w:eastAsia="lv-LV"/>
              </w:rPr>
              <w:t>egādāties un pielāgot pārvietojamo operatīvās vadības centru;</w:t>
            </w:r>
          </w:p>
          <w:p w14:paraId="3C6C5EEC" w14:textId="201C63EF" w:rsidR="00BD38B4" w:rsidRPr="003A3A17" w:rsidRDefault="00BD38B4" w:rsidP="00DB1D8E">
            <w:pPr>
              <w:pStyle w:val="ListParagraph"/>
              <w:numPr>
                <w:ilvl w:val="0"/>
                <w:numId w:val="34"/>
              </w:numPr>
              <w:spacing w:line="276" w:lineRule="auto"/>
              <w:ind w:right="39"/>
              <w:rPr>
                <w:rFonts w:eastAsia="Times New Roman"/>
                <w:lang w:val="lv-LV" w:eastAsia="lv-LV"/>
              </w:rPr>
            </w:pPr>
            <w:r w:rsidRPr="003A3A17">
              <w:rPr>
                <w:rFonts w:eastAsia="Times New Roman"/>
                <w:lang w:val="lv-LV" w:eastAsia="lv-LV"/>
              </w:rPr>
              <w:t>iegadāties un pielāgot transportlīdzekļus</w:t>
            </w:r>
            <w:r w:rsidR="00543FEE" w:rsidRPr="003A3A17">
              <w:rPr>
                <w:rFonts w:eastAsia="Times New Roman"/>
                <w:lang w:val="lv-LV" w:eastAsia="lv-LV"/>
              </w:rPr>
              <w:t xml:space="preserve"> </w:t>
            </w:r>
            <w:r w:rsidRPr="003A3A17">
              <w:rPr>
                <w:rFonts w:eastAsia="Times New Roman"/>
                <w:lang w:val="lv-LV" w:eastAsia="lv-LV"/>
              </w:rPr>
              <w:t>Speciālo uzdevumu vienības (turpmāk – SUB) vajadzībām;</w:t>
            </w:r>
          </w:p>
          <w:p w14:paraId="5829C76C" w14:textId="77777777" w:rsidR="00BD38B4" w:rsidRPr="003A3A17" w:rsidRDefault="00BD38B4" w:rsidP="00DB1D8E">
            <w:pPr>
              <w:pStyle w:val="ListParagraph"/>
              <w:numPr>
                <w:ilvl w:val="0"/>
                <w:numId w:val="34"/>
              </w:numPr>
              <w:spacing w:line="276" w:lineRule="auto"/>
              <w:ind w:right="39"/>
              <w:rPr>
                <w:rFonts w:eastAsia="Times New Roman"/>
                <w:lang w:val="lv-LV" w:eastAsia="lv-LV"/>
              </w:rPr>
            </w:pPr>
            <w:r w:rsidRPr="003A3A17">
              <w:rPr>
                <w:rFonts w:eastAsia="Times New Roman"/>
                <w:lang w:val="lv-LV" w:eastAsia="lv-LV"/>
              </w:rPr>
              <w:t>iegādāties specializētu aprīkojumu SUB kapacitātes stiprināšanai;</w:t>
            </w:r>
          </w:p>
          <w:p w14:paraId="688F8EA5" w14:textId="77777777" w:rsidR="00F268E8" w:rsidRPr="003A3A17" w:rsidRDefault="00BD38B4" w:rsidP="00DB1D8E">
            <w:pPr>
              <w:pStyle w:val="ListParagraph"/>
              <w:numPr>
                <w:ilvl w:val="0"/>
                <w:numId w:val="34"/>
              </w:numPr>
              <w:spacing w:line="276" w:lineRule="auto"/>
              <w:ind w:right="39"/>
              <w:rPr>
                <w:rFonts w:eastAsia="Times New Roman"/>
                <w:lang w:val="lv-LV" w:eastAsia="lv-LV"/>
              </w:rPr>
            </w:pPr>
            <w:r w:rsidRPr="003A3A17">
              <w:rPr>
                <w:rFonts w:eastAsia="Times New Roman"/>
                <w:lang w:val="lv-LV" w:eastAsia="lv-LV"/>
              </w:rPr>
              <w:t>organizēt plaša mēroga apmācības, tādējādi veicinot pārrobežu sadarbību.</w:t>
            </w:r>
          </w:p>
          <w:p w14:paraId="5DED4C92" w14:textId="77777777" w:rsidR="00F268E8" w:rsidRPr="003A3A17" w:rsidRDefault="00F268E8" w:rsidP="00DB1D8E">
            <w:pPr>
              <w:spacing w:line="276" w:lineRule="auto"/>
              <w:ind w:right="39" w:firstLine="743"/>
              <w:rPr>
                <w:rFonts w:eastAsia="Times New Roman"/>
                <w:lang w:val="lv-LV" w:eastAsia="lv-LV"/>
              </w:rPr>
            </w:pPr>
            <w:r w:rsidRPr="003A3A17">
              <w:rPr>
                <w:rFonts w:eastAsia="Times New Roman"/>
                <w:lang w:val="lv-LV" w:eastAsia="lv-LV"/>
              </w:rPr>
              <w:lastRenderedPageBreak/>
              <w:t>Grāmatvedības periodā tika panākts progress:</w:t>
            </w:r>
          </w:p>
          <w:p w14:paraId="352567E3" w14:textId="6830E4DB" w:rsidR="00F268E8" w:rsidRPr="003A3A17" w:rsidRDefault="00F268E8" w:rsidP="00DB1D8E">
            <w:pPr>
              <w:pStyle w:val="ListParagraph"/>
              <w:numPr>
                <w:ilvl w:val="0"/>
                <w:numId w:val="34"/>
              </w:numPr>
              <w:rPr>
                <w:rFonts w:eastAsia="Times New Roman"/>
                <w:lang w:val="lv-LV" w:eastAsia="lv-LV"/>
              </w:rPr>
            </w:pPr>
            <w:r w:rsidRPr="003A3A17">
              <w:rPr>
                <w:rFonts w:eastAsia="Times New Roman"/>
                <w:lang w:val="lv-LV" w:eastAsia="lv-LV"/>
              </w:rPr>
              <w:t xml:space="preserve">piegādāts operāciju vadības inventārs - interaktīvais displejs, statīvs displejam, </w:t>
            </w:r>
            <w:r w:rsidR="003A3A17" w:rsidRPr="003A3A17">
              <w:rPr>
                <w:rFonts w:eastAsia="Times New Roman"/>
                <w:lang w:val="lv-LV" w:eastAsia="lv-LV"/>
              </w:rPr>
              <w:t>videokonferenču</w:t>
            </w:r>
            <w:r w:rsidRPr="003A3A17">
              <w:rPr>
                <w:rFonts w:eastAsia="Times New Roman"/>
                <w:lang w:val="lv-LV" w:eastAsia="lv-LV"/>
              </w:rPr>
              <w:t xml:space="preserve"> iekārta, dators, iekārtu uzstādīšana, konfigurēšana un lietotāju apmācība, portatīvais dators, nepārtrauktās barošanas bloks, triecienizturīgas kastes datora un citas elektronikas pārvietošanai un strāvas ģenerators;</w:t>
            </w:r>
          </w:p>
          <w:p w14:paraId="115118AA" w14:textId="77777777" w:rsidR="00F268E8" w:rsidRPr="003A3A17" w:rsidRDefault="00F268E8" w:rsidP="00DB1D8E">
            <w:pPr>
              <w:pStyle w:val="ListParagraph"/>
              <w:numPr>
                <w:ilvl w:val="0"/>
                <w:numId w:val="34"/>
              </w:numPr>
              <w:spacing w:line="276" w:lineRule="auto"/>
              <w:ind w:right="39"/>
              <w:rPr>
                <w:rFonts w:eastAsia="Times New Roman"/>
                <w:lang w:val="lv-LV" w:eastAsia="lv-LV"/>
              </w:rPr>
            </w:pPr>
            <w:r w:rsidRPr="003A3A17">
              <w:rPr>
                <w:rFonts w:eastAsia="Times New Roman"/>
                <w:lang w:val="lv-LV" w:eastAsia="lv-LV"/>
              </w:rPr>
              <w:t>piegādāts operāciju un mācību vadības inventāra komplekts pirmās palīdzības sniegšanai.</w:t>
            </w:r>
          </w:p>
          <w:p w14:paraId="77469A8F" w14:textId="40C4951F" w:rsidR="00F268E8" w:rsidRPr="003A3A17" w:rsidRDefault="00F268E8" w:rsidP="00DB1D8E">
            <w:pPr>
              <w:spacing w:line="276" w:lineRule="auto"/>
              <w:ind w:right="39"/>
              <w:rPr>
                <w:lang w:val="lv-LV"/>
              </w:rPr>
            </w:pPr>
            <w:r w:rsidRPr="003A3A17">
              <w:rPr>
                <w:rFonts w:eastAsia="Times New Roman"/>
                <w:lang w:val="lv-LV" w:eastAsia="lv-LV"/>
              </w:rPr>
              <w:t xml:space="preserve">VP </w:t>
            </w:r>
            <w:r w:rsidR="003A3A17" w:rsidRPr="003A3A17">
              <w:rPr>
                <w:rFonts w:eastAsia="Times New Roman"/>
                <w:lang w:val="lv-LV" w:eastAsia="lv-LV"/>
              </w:rPr>
              <w:t>sadarbībā</w:t>
            </w:r>
            <w:r w:rsidRPr="003A3A17">
              <w:rPr>
                <w:rFonts w:eastAsia="Times New Roman"/>
                <w:lang w:val="lv-LV" w:eastAsia="lv-LV"/>
              </w:rPr>
              <w:t xml:space="preserve"> ar IeM IC uzsāka projekta par</w:t>
            </w:r>
            <w:r w:rsidR="00B8067B" w:rsidRPr="003A3A17">
              <w:rPr>
                <w:rFonts w:eastAsia="Times New Roman"/>
                <w:lang w:val="lv-LV" w:eastAsia="lv-LV"/>
              </w:rPr>
              <w:t xml:space="preserve"> nepilngadīgo cietušo interešu aizsargāšanu</w:t>
            </w:r>
            <w:r w:rsidRPr="003A3A17">
              <w:rPr>
                <w:rFonts w:eastAsia="Times New Roman"/>
                <w:lang w:val="lv-LV" w:eastAsia="lv-LV"/>
              </w:rPr>
              <w:t xml:space="preserve"> īstenošanu</w:t>
            </w:r>
            <w:r w:rsidR="00B8067B" w:rsidRPr="003A3A17">
              <w:rPr>
                <w:rFonts w:eastAsia="Times New Roman"/>
                <w:lang w:val="lv-LV" w:eastAsia="lv-LV"/>
              </w:rPr>
              <w:t xml:space="preserve">. Projekta mērķis ir </w:t>
            </w:r>
            <w:r w:rsidR="00B8067B" w:rsidRPr="003A3A17">
              <w:rPr>
                <w:lang w:val="lv-LV"/>
              </w:rPr>
              <w:t>aprīkot noziedzīgos nodarījumos cietušo nepilngadīgo un īpaši aizsargājamo personu pratināšanas telpas, palīdzības veicināšana</w:t>
            </w:r>
            <w:r w:rsidR="00FC395E" w:rsidRPr="003A3A17">
              <w:rPr>
                <w:lang w:val="lv-LV"/>
              </w:rPr>
              <w:t>i</w:t>
            </w:r>
            <w:r w:rsidR="00B8067B" w:rsidRPr="003A3A17">
              <w:rPr>
                <w:lang w:val="lv-LV"/>
              </w:rPr>
              <w:t xml:space="preserve"> kriminālprocesā noziegumos cietušajiem un īpaši neaizsargātām personām (jo īpaši bērniem). Lai sasniegtu mērķi, projekta ietvaros ir paredzētas šādas darbības – </w:t>
            </w:r>
          </w:p>
          <w:p w14:paraId="0826327F" w14:textId="77777777" w:rsidR="00B8067B" w:rsidRPr="003A3A17" w:rsidRDefault="00B8067B" w:rsidP="00DB1D8E">
            <w:pPr>
              <w:pStyle w:val="ListParagraph"/>
              <w:numPr>
                <w:ilvl w:val="0"/>
                <w:numId w:val="34"/>
              </w:numPr>
              <w:spacing w:line="276" w:lineRule="auto"/>
              <w:ind w:left="714" w:right="39" w:hanging="357"/>
              <w:rPr>
                <w:rFonts w:eastAsia="Times New Roman"/>
                <w:lang w:val="lv-LV" w:eastAsia="lv-LV"/>
              </w:rPr>
            </w:pPr>
            <w:r w:rsidRPr="003A3A17">
              <w:rPr>
                <w:lang w:val="lv-LV"/>
              </w:rPr>
              <w:t>noziedzīgos nodarījumos cietušo nepilngadīgo un īpaši aizsargājamo personu pratināšanas telpu aprīkošana ar tehniskajiem līdzekļiem skaņas un attēla ieraksta nodrošināšanai;</w:t>
            </w:r>
          </w:p>
          <w:p w14:paraId="130E143E" w14:textId="7124C337" w:rsidR="00B8067B" w:rsidRPr="003A3A17" w:rsidRDefault="00B8067B" w:rsidP="00DB1D8E">
            <w:pPr>
              <w:pStyle w:val="tv213"/>
              <w:numPr>
                <w:ilvl w:val="0"/>
                <w:numId w:val="34"/>
              </w:numPr>
              <w:spacing w:before="0" w:beforeAutospacing="0" w:after="0" w:afterAutospacing="0"/>
              <w:ind w:left="714" w:hanging="357"/>
              <w:jc w:val="both"/>
              <w:rPr>
                <w:sz w:val="22"/>
                <w:szCs w:val="22"/>
              </w:rPr>
            </w:pPr>
            <w:r w:rsidRPr="003A3A17">
              <w:rPr>
                <w:sz w:val="22"/>
                <w:szCs w:val="22"/>
              </w:rPr>
              <w:t>pārvietojamo skaņas un attēla ieraksta tehnisko līdzekļu iegāde VP iecirkņiem, kuros nav iespējams izveidot speciālas noziedzīgos nodarījumos cietušo nepilngadīgo un īpaši aizsargājamo personu pratināšanas telpas;</w:t>
            </w:r>
          </w:p>
          <w:p w14:paraId="5A21AA89" w14:textId="77777777" w:rsidR="00B8067B" w:rsidRPr="003A3A17" w:rsidRDefault="00B8067B" w:rsidP="00DB1D8E">
            <w:pPr>
              <w:pStyle w:val="ListParagraph"/>
              <w:numPr>
                <w:ilvl w:val="0"/>
                <w:numId w:val="34"/>
              </w:numPr>
              <w:spacing w:line="276" w:lineRule="auto"/>
              <w:ind w:left="714" w:right="39" w:hanging="357"/>
              <w:rPr>
                <w:rFonts w:eastAsia="Times New Roman"/>
                <w:lang w:val="lv-LV" w:eastAsia="lv-LV"/>
              </w:rPr>
            </w:pPr>
            <w:r w:rsidRPr="003A3A17">
              <w:rPr>
                <w:lang w:val="lv-LV"/>
              </w:rPr>
              <w:t>noziedzīgos nodarījumos cietušo nepilngadīgo un īpaši aizsargājamo personu nopratināšanas metodisko materiālu izstrāde un apmācību organizēšana VP amatpersonām.</w:t>
            </w:r>
          </w:p>
          <w:p w14:paraId="3BAA3BE8" w14:textId="77777777" w:rsidR="00DB1D8E" w:rsidRDefault="00B8067B" w:rsidP="00DB1D8E">
            <w:pPr>
              <w:spacing w:line="276" w:lineRule="auto"/>
              <w:ind w:right="39" w:firstLine="743"/>
              <w:rPr>
                <w:rFonts w:eastAsia="Times New Roman"/>
                <w:lang w:val="lv-LV" w:eastAsia="lv-LV"/>
              </w:rPr>
            </w:pPr>
            <w:r w:rsidRPr="003A3A17">
              <w:rPr>
                <w:rFonts w:eastAsia="Times New Roman"/>
                <w:lang w:val="lv-LV" w:eastAsia="lv-LV"/>
              </w:rPr>
              <w:t>Aktivitāšu īstenošanā šobrīd nav panākts progress</w:t>
            </w:r>
            <w:r w:rsidR="00371AD5" w:rsidRPr="003A3A17">
              <w:rPr>
                <w:rFonts w:eastAsia="Times New Roman"/>
                <w:lang w:val="lv-LV" w:eastAsia="lv-LV"/>
              </w:rPr>
              <w:t xml:space="preserve">, taču noris komunikācija ar ES valstu iestādēm, uz kurām bija paredzēts organizēt komandējumus, </w:t>
            </w:r>
            <w:r w:rsidR="003A3A17" w:rsidRPr="003A3A17">
              <w:rPr>
                <w:rFonts w:eastAsia="Times New Roman"/>
                <w:lang w:val="lv-LV" w:eastAsia="lv-LV"/>
              </w:rPr>
              <w:t>lai iegūtu</w:t>
            </w:r>
            <w:r w:rsidR="00371AD5" w:rsidRPr="003A3A17">
              <w:rPr>
                <w:rFonts w:eastAsia="Times New Roman"/>
                <w:lang w:val="lv-LV" w:eastAsia="lv-LV"/>
              </w:rPr>
              <w:t xml:space="preserve"> pozitīvus piemērus īpaši aizsargājamo cietušo pratināšanai un pratināšanas telpu aprīkošanā. Procesā ir arī 18 speciālu nopratināšanas telpu, kuras piemērotas nepilngadīgo cietušo nopratināšanai kriminālprocesā, apsekošana. </w:t>
            </w:r>
          </w:p>
          <w:p w14:paraId="76CCFD0A" w14:textId="591FFFEE" w:rsidR="00C74EBB" w:rsidRPr="003A3A17" w:rsidRDefault="00826444" w:rsidP="00DB1D8E">
            <w:pPr>
              <w:spacing w:line="276" w:lineRule="auto"/>
              <w:ind w:right="39" w:firstLine="743"/>
              <w:rPr>
                <w:rFonts w:eastAsia="Times New Roman"/>
                <w:lang w:val="lv-LV" w:eastAsia="lv-LV"/>
              </w:rPr>
            </w:pPr>
            <w:r w:rsidRPr="003A3A17">
              <w:rPr>
                <w:rFonts w:eastAsia="Times New Roman"/>
                <w:lang w:val="lv-LV" w:eastAsia="lv-LV"/>
              </w:rPr>
              <w:t xml:space="preserve">Pēc grāmatvedības perioda beigām ir plānota </w:t>
            </w:r>
            <w:r w:rsidR="00543FEE" w:rsidRPr="003A3A17">
              <w:rPr>
                <w:rFonts w:eastAsia="Times New Roman"/>
                <w:lang w:val="lv-LV" w:eastAsia="lv-LV"/>
              </w:rPr>
              <w:t>1</w:t>
            </w:r>
            <w:r w:rsidRPr="003A3A17">
              <w:rPr>
                <w:rFonts w:eastAsia="Times New Roman"/>
                <w:lang w:val="lv-LV" w:eastAsia="lv-LV"/>
              </w:rPr>
              <w:t xml:space="preserve"> </w:t>
            </w:r>
            <w:r w:rsidR="00543FEE" w:rsidRPr="003A3A17">
              <w:rPr>
                <w:rFonts w:eastAsia="Times New Roman"/>
                <w:lang w:val="lv-LV" w:eastAsia="lv-LV"/>
              </w:rPr>
              <w:t xml:space="preserve">VP </w:t>
            </w:r>
            <w:r w:rsidRPr="003A3A17">
              <w:rPr>
                <w:rFonts w:eastAsia="Times New Roman"/>
                <w:lang w:val="lv-LV" w:eastAsia="lv-LV"/>
              </w:rPr>
              <w:t>projekt</w:t>
            </w:r>
            <w:r w:rsidR="00543FEE" w:rsidRPr="003A3A17">
              <w:rPr>
                <w:rFonts w:eastAsia="Times New Roman"/>
                <w:lang w:val="lv-LV" w:eastAsia="lv-LV"/>
              </w:rPr>
              <w:t>a</w:t>
            </w:r>
            <w:r w:rsidRPr="003A3A17">
              <w:rPr>
                <w:rFonts w:eastAsia="Times New Roman"/>
                <w:lang w:val="lv-LV" w:eastAsia="lv-LV"/>
              </w:rPr>
              <w:t xml:space="preserve"> īstenošana</w:t>
            </w:r>
            <w:r w:rsidR="00C74EBB" w:rsidRPr="003A3A17">
              <w:rPr>
                <w:rFonts w:eastAsia="Times New Roman"/>
                <w:lang w:val="lv-LV" w:eastAsia="lv-LV"/>
              </w:rPr>
              <w:t xml:space="preserve"> par pretterorisma vienības “OMEGA” reaģēšanas kapacitātes un praktisko spēju stiprināšanu. Projektā paredzētas šādas aktivitātes:</w:t>
            </w:r>
          </w:p>
          <w:p w14:paraId="63A492F2" w14:textId="6F63F0FE" w:rsidR="00697942" w:rsidRPr="003A3A17" w:rsidRDefault="00C74EBB" w:rsidP="00DB1D8E">
            <w:pPr>
              <w:pStyle w:val="ListParagraph"/>
              <w:numPr>
                <w:ilvl w:val="0"/>
                <w:numId w:val="35"/>
              </w:numPr>
              <w:spacing w:line="276" w:lineRule="auto"/>
              <w:ind w:right="39"/>
              <w:rPr>
                <w:rFonts w:eastAsia="Times New Roman"/>
                <w:lang w:val="lv-LV" w:eastAsia="lv-LV"/>
              </w:rPr>
            </w:pPr>
            <w:r w:rsidRPr="003A3A17">
              <w:rPr>
                <w:rFonts w:eastAsia="Times New Roman"/>
                <w:lang w:val="lv-LV" w:eastAsia="lv-LV"/>
              </w:rPr>
              <w:t>materiāltehniskās bāzes uzlabošana</w:t>
            </w:r>
            <w:r w:rsidR="00697942" w:rsidRPr="003A3A17">
              <w:rPr>
                <w:rFonts w:eastAsia="Times New Roman"/>
                <w:lang w:val="lv-LV" w:eastAsia="lv-LV"/>
              </w:rPr>
              <w:t xml:space="preserve"> (Rezultātā tiks iegādāti </w:t>
            </w:r>
            <w:proofErr w:type="spellStart"/>
            <w:r w:rsidR="00697942" w:rsidRPr="003A3A17">
              <w:rPr>
                <w:lang w:val="lv-LV"/>
              </w:rPr>
              <w:t>multifunkcionālie</w:t>
            </w:r>
            <w:proofErr w:type="spellEnd"/>
            <w:r w:rsidR="00697942" w:rsidRPr="003A3A17">
              <w:rPr>
                <w:lang w:val="lv-LV"/>
              </w:rPr>
              <w:t xml:space="preserve"> transportlīdzekļi ar papildaprīkojumu, iegādāti paaugstinātas </w:t>
            </w:r>
            <w:proofErr w:type="spellStart"/>
            <w:r w:rsidR="00697942" w:rsidRPr="003A3A17">
              <w:rPr>
                <w:lang w:val="lv-LV"/>
              </w:rPr>
              <w:t>caurgājamības</w:t>
            </w:r>
            <w:proofErr w:type="spellEnd"/>
            <w:r w:rsidR="00697942" w:rsidRPr="003A3A17">
              <w:rPr>
                <w:lang w:val="lv-LV"/>
              </w:rPr>
              <w:t xml:space="preserve"> speciāli aprīkoti transportlīdzekļi, kas pielāgoti sprāgstvielu meklēšanas suņu pārvadāšanai, trenēšanai un dinamiskai reaģēšanai improvizēto </w:t>
            </w:r>
            <w:proofErr w:type="spellStart"/>
            <w:r w:rsidR="00697942" w:rsidRPr="003A3A17">
              <w:rPr>
                <w:lang w:val="lv-LV"/>
              </w:rPr>
              <w:t>sprādzienbīstamo</w:t>
            </w:r>
            <w:proofErr w:type="spellEnd"/>
            <w:r w:rsidR="00697942" w:rsidRPr="003A3A17">
              <w:rPr>
                <w:lang w:val="lv-LV"/>
              </w:rPr>
              <w:t xml:space="preserve"> priekšmetu atrašanai un neitralizēšanai speciālajās operācijās </w:t>
            </w:r>
            <w:r w:rsidR="00697942" w:rsidRPr="003A3A17">
              <w:rPr>
                <w:rFonts w:eastAsia="Times New Roman"/>
                <w:lang w:val="lv-LV" w:eastAsia="lv-LV"/>
              </w:rPr>
              <w:t xml:space="preserve">iegādāti improvizēto </w:t>
            </w:r>
            <w:proofErr w:type="spellStart"/>
            <w:r w:rsidR="00697942" w:rsidRPr="003A3A17">
              <w:rPr>
                <w:rFonts w:eastAsia="Times New Roman"/>
                <w:lang w:val="lv-LV" w:eastAsia="lv-LV"/>
              </w:rPr>
              <w:t>sprādzienbīstamo</w:t>
            </w:r>
            <w:proofErr w:type="spellEnd"/>
            <w:r w:rsidR="00697942" w:rsidRPr="003A3A17">
              <w:rPr>
                <w:rFonts w:eastAsia="Times New Roman"/>
                <w:lang w:val="lv-LV" w:eastAsia="lv-LV"/>
              </w:rPr>
              <w:t xml:space="preserve"> priekšmetu neitralizēšanas robotu komplekti, portatīva pārnēsājuma rentgena komplekti, </w:t>
            </w:r>
            <w:proofErr w:type="spellStart"/>
            <w:r w:rsidR="00697942" w:rsidRPr="003A3A17">
              <w:rPr>
                <w:rFonts w:eastAsia="Times New Roman"/>
                <w:lang w:val="lv-LV" w:eastAsia="lv-LV"/>
              </w:rPr>
              <w:t>sprādzienbīstamu</w:t>
            </w:r>
            <w:proofErr w:type="spellEnd"/>
            <w:r w:rsidR="00697942" w:rsidRPr="003A3A17">
              <w:rPr>
                <w:rFonts w:eastAsia="Times New Roman"/>
                <w:lang w:val="lv-LV" w:eastAsia="lv-LV"/>
              </w:rPr>
              <w:t xml:space="preserve"> priekšmetu neitralizēšanas bumbu tērps, 20 mm un 29 mm </w:t>
            </w:r>
            <w:r w:rsidR="003A3A17" w:rsidRPr="003A3A17">
              <w:rPr>
                <w:rFonts w:eastAsia="Times New Roman"/>
                <w:lang w:val="lv-LV" w:eastAsia="lv-LV"/>
              </w:rPr>
              <w:t>bezatgrūdes</w:t>
            </w:r>
            <w:r w:rsidR="00697942" w:rsidRPr="003A3A17">
              <w:rPr>
                <w:rFonts w:eastAsia="Times New Roman"/>
                <w:lang w:val="lv-LV" w:eastAsia="lv-LV"/>
              </w:rPr>
              <w:t xml:space="preserve"> ūdens lielgabalu komplekti, </w:t>
            </w:r>
            <w:proofErr w:type="spellStart"/>
            <w:r w:rsidR="00697942" w:rsidRPr="003A3A17">
              <w:rPr>
                <w:rFonts w:eastAsia="Times New Roman"/>
                <w:lang w:val="lv-LV" w:eastAsia="lv-LV"/>
              </w:rPr>
              <w:t>elektroviļņu</w:t>
            </w:r>
            <w:proofErr w:type="spellEnd"/>
            <w:r w:rsidR="00697942" w:rsidRPr="003A3A17">
              <w:rPr>
                <w:rFonts w:eastAsia="Times New Roman"/>
                <w:lang w:val="lv-LV" w:eastAsia="lv-LV"/>
              </w:rPr>
              <w:t xml:space="preserve"> slāpētāja komplekti, ķīmisko vielu analizators, improvizēto </w:t>
            </w:r>
            <w:proofErr w:type="spellStart"/>
            <w:r w:rsidR="00697942" w:rsidRPr="003A3A17">
              <w:rPr>
                <w:rFonts w:eastAsia="Times New Roman"/>
                <w:lang w:val="lv-LV" w:eastAsia="lv-LV"/>
              </w:rPr>
              <w:t>sprādzienbīstamo</w:t>
            </w:r>
            <w:proofErr w:type="spellEnd"/>
            <w:r w:rsidR="00697942" w:rsidRPr="003A3A17">
              <w:rPr>
                <w:rFonts w:eastAsia="Times New Roman"/>
                <w:lang w:val="lv-LV" w:eastAsia="lv-LV"/>
              </w:rPr>
              <w:t xml:space="preserve"> priekšmetu neitralizēšanas treniņu komplekti;</w:t>
            </w:r>
          </w:p>
          <w:p w14:paraId="15EFFE9C" w14:textId="77777777" w:rsidR="00C74EBB" w:rsidRPr="003A3A17" w:rsidRDefault="00697942" w:rsidP="00DB1D8E">
            <w:pPr>
              <w:pStyle w:val="ListParagraph"/>
              <w:numPr>
                <w:ilvl w:val="0"/>
                <w:numId w:val="35"/>
              </w:numPr>
              <w:spacing w:line="276" w:lineRule="auto"/>
              <w:ind w:right="39"/>
              <w:rPr>
                <w:rFonts w:eastAsia="Times New Roman"/>
                <w:lang w:val="lv-LV" w:eastAsia="lv-LV"/>
              </w:rPr>
            </w:pPr>
            <w:r w:rsidRPr="003A3A17">
              <w:rPr>
                <w:rFonts w:eastAsia="Times New Roman"/>
                <w:bCs/>
                <w:lang w:val="lv-LV" w:eastAsia="lv-LV"/>
              </w:rPr>
              <w:t xml:space="preserve">Starptautiska semināra "Improvizēto </w:t>
            </w:r>
            <w:proofErr w:type="spellStart"/>
            <w:r w:rsidRPr="003A3A17">
              <w:rPr>
                <w:rFonts w:eastAsia="Times New Roman"/>
                <w:bCs/>
                <w:lang w:val="lv-LV" w:eastAsia="lv-LV"/>
              </w:rPr>
              <w:t>sprādzienbīstamo</w:t>
            </w:r>
            <w:proofErr w:type="spellEnd"/>
            <w:r w:rsidRPr="003A3A17">
              <w:rPr>
                <w:rFonts w:eastAsia="Times New Roman"/>
                <w:bCs/>
                <w:lang w:val="lv-LV" w:eastAsia="lv-LV"/>
              </w:rPr>
              <w:t xml:space="preserve"> priekšmetu neitralizēšana speciālo operāciju taktikā" organizēšana, </w:t>
            </w:r>
            <w:r w:rsidRPr="003A3A17">
              <w:rPr>
                <w:lang w:val="lv-LV"/>
              </w:rPr>
              <w:t>izmantojot projekta ietvaros iegādātos transportlīdzekļus, robotus un specializēto aprīkojumu. Tiks pārstāvētas vismaz 3 ES valstis.</w:t>
            </w:r>
          </w:p>
          <w:p w14:paraId="7B0FEC52" w14:textId="77777777" w:rsidR="00F96B79" w:rsidRPr="003A3A17" w:rsidRDefault="00F96B79" w:rsidP="00DB1D8E">
            <w:pPr>
              <w:spacing w:line="276" w:lineRule="auto"/>
              <w:ind w:right="39"/>
              <w:rPr>
                <w:rFonts w:eastAsia="Times New Roman"/>
                <w:lang w:val="lv-LV" w:eastAsia="lv-LV"/>
              </w:rPr>
            </w:pPr>
          </w:p>
          <w:p w14:paraId="1D69C7F6" w14:textId="16880144" w:rsidR="000C30B0" w:rsidRPr="000C30B0" w:rsidRDefault="00C40454" w:rsidP="00DB1D8E">
            <w:pPr>
              <w:pStyle w:val="Institutionquisigne"/>
              <w:spacing w:before="0"/>
              <w:ind w:firstLine="743"/>
              <w:rPr>
                <w:i w:val="0"/>
                <w:iCs/>
                <w:lang w:val="lv-LV"/>
              </w:rPr>
            </w:pPr>
            <w:r w:rsidRPr="003A3A17">
              <w:rPr>
                <w:i w:val="0"/>
                <w:iCs/>
                <w:lang w:val="lv-LV"/>
              </w:rPr>
              <w:t>Faktisk</w:t>
            </w:r>
            <w:r>
              <w:rPr>
                <w:i w:val="0"/>
                <w:iCs/>
                <w:lang w:val="lv-LV"/>
              </w:rPr>
              <w:t>o</w:t>
            </w:r>
            <w:r w:rsidRPr="003A3A17">
              <w:rPr>
                <w:i w:val="0"/>
                <w:iCs/>
                <w:lang w:val="lv-LV"/>
              </w:rPr>
              <w:t xml:space="preserve"> iznākuma</w:t>
            </w:r>
            <w:r>
              <w:rPr>
                <w:i w:val="0"/>
                <w:iCs/>
                <w:lang w:val="lv-LV"/>
              </w:rPr>
              <w:t xml:space="preserve"> un rezultātu rādītāju izpildi skatīt</w:t>
            </w:r>
            <w:r w:rsidRPr="003A3A17">
              <w:rPr>
                <w:i w:val="0"/>
                <w:iCs/>
                <w:lang w:val="lv-LV"/>
              </w:rPr>
              <w:t xml:space="preserve"> </w:t>
            </w:r>
            <w:r>
              <w:rPr>
                <w:i w:val="0"/>
                <w:iCs/>
                <w:lang w:val="lv-LV"/>
              </w:rPr>
              <w:t>ziņojuma 1. pielikumā.</w:t>
            </w:r>
            <w:r w:rsidR="00DB1D8E">
              <w:rPr>
                <w:i w:val="0"/>
                <w:iCs/>
                <w:lang w:val="lv-LV"/>
              </w:rPr>
              <w:t xml:space="preserve"> </w:t>
            </w:r>
            <w:r w:rsidR="000C30B0" w:rsidRPr="003A3A17">
              <w:rPr>
                <w:i w:val="0"/>
                <w:iCs/>
                <w:lang w:val="lv-LV"/>
              </w:rPr>
              <w:t>Apstiprināto projektu finansiālais īpatsvars uz 30.06.2024 ir</w:t>
            </w:r>
            <w:r w:rsidR="00FF649B">
              <w:rPr>
                <w:i w:val="0"/>
                <w:iCs/>
                <w:lang w:val="lv-LV"/>
              </w:rPr>
              <w:t xml:space="preserve"> </w:t>
            </w:r>
            <w:r w:rsidR="001162EC">
              <w:rPr>
                <w:i w:val="0"/>
                <w:iCs/>
                <w:lang w:val="lv-LV"/>
              </w:rPr>
              <w:t>74</w:t>
            </w:r>
            <w:r w:rsidR="00FF649B">
              <w:rPr>
                <w:i w:val="0"/>
                <w:iCs/>
                <w:lang w:val="lv-LV"/>
              </w:rPr>
              <w:t>,</w:t>
            </w:r>
            <w:r w:rsidR="001162EC">
              <w:rPr>
                <w:i w:val="0"/>
                <w:iCs/>
                <w:lang w:val="lv-LV"/>
              </w:rPr>
              <w:t>0</w:t>
            </w:r>
            <w:r w:rsidR="006604CA">
              <w:rPr>
                <w:i w:val="0"/>
                <w:iCs/>
                <w:lang w:val="lv-LV"/>
              </w:rPr>
              <w:t>2</w:t>
            </w:r>
            <w:r w:rsidR="00FF649B">
              <w:rPr>
                <w:i w:val="0"/>
                <w:iCs/>
                <w:lang w:val="lv-LV"/>
              </w:rPr>
              <w:t>%</w:t>
            </w:r>
            <w:r w:rsidR="000C30B0" w:rsidRPr="003A3A17">
              <w:rPr>
                <w:i w:val="0"/>
                <w:iCs/>
                <w:lang w:val="lv-LV"/>
              </w:rPr>
              <w:t xml:space="preserve"> no </w:t>
            </w:r>
            <w:r w:rsidR="000C30B0">
              <w:rPr>
                <w:i w:val="0"/>
                <w:iCs/>
                <w:lang w:val="lv-LV"/>
              </w:rPr>
              <w:t>3</w:t>
            </w:r>
            <w:r w:rsidR="000C30B0" w:rsidRPr="003A3A17">
              <w:rPr>
                <w:i w:val="0"/>
                <w:iCs/>
                <w:lang w:val="lv-LV"/>
              </w:rPr>
              <w:t>. konkrētā mērķa apstiprinātā finansējuma</w:t>
            </w:r>
            <w:r w:rsidR="00FF649B">
              <w:rPr>
                <w:i w:val="0"/>
                <w:iCs/>
                <w:lang w:val="lv-LV"/>
              </w:rPr>
              <w:t>.</w:t>
            </w:r>
          </w:p>
          <w:p w14:paraId="0540E8B3" w14:textId="77777777" w:rsidR="000C30B0" w:rsidRPr="003A3A17" w:rsidRDefault="000C30B0" w:rsidP="00DB1D8E">
            <w:pPr>
              <w:spacing w:line="276" w:lineRule="auto"/>
              <w:ind w:right="39"/>
              <w:rPr>
                <w:rFonts w:eastAsia="Times New Roman"/>
                <w:lang w:val="lv-LV" w:eastAsia="lv-LV"/>
              </w:rPr>
            </w:pPr>
          </w:p>
          <w:p w14:paraId="77A54F59" w14:textId="77777777" w:rsidR="00813448" w:rsidRPr="003A3A17" w:rsidRDefault="00813448" w:rsidP="00DB1D8E">
            <w:pPr>
              <w:spacing w:line="276" w:lineRule="auto"/>
              <w:ind w:right="39" w:firstLine="743"/>
              <w:rPr>
                <w:rFonts w:eastAsia="Times New Roman"/>
                <w:u w:val="single"/>
                <w:lang w:val="lv-LV" w:eastAsia="lv-LV"/>
              </w:rPr>
            </w:pPr>
            <w:r w:rsidRPr="003A3A17">
              <w:rPr>
                <w:rFonts w:eastAsia="Times New Roman"/>
                <w:u w:val="single"/>
                <w:lang w:val="lv-LV" w:eastAsia="lv-LV"/>
              </w:rPr>
              <w:t>Partnerības īstenošana.</w:t>
            </w:r>
          </w:p>
          <w:p w14:paraId="2707CD99" w14:textId="605A3B88" w:rsidR="00813448" w:rsidRPr="003A3A17" w:rsidRDefault="00813448" w:rsidP="00DB1D8E">
            <w:pPr>
              <w:spacing w:line="276" w:lineRule="auto"/>
              <w:ind w:right="39" w:firstLine="743"/>
              <w:rPr>
                <w:rFonts w:eastAsia="Times New Roman"/>
                <w:lang w:val="lv-LV" w:eastAsia="lv-LV"/>
              </w:rPr>
            </w:pPr>
            <w:r w:rsidRPr="003A3A17">
              <w:rPr>
                <w:rFonts w:eastAsia="Times New Roman"/>
                <w:lang w:val="lv-LV" w:eastAsia="lv-LV"/>
              </w:rPr>
              <w:t xml:space="preserve">Regulas Nr.2021/1060 8. panta 2. punktā minētās partnerības īstenošanai fonds ir iekļauts Partnerības līgumā </w:t>
            </w:r>
            <w:proofErr w:type="spellStart"/>
            <w:r w:rsidR="003A5978">
              <w:rPr>
                <w:rFonts w:eastAsia="Times New Roman"/>
                <w:lang w:val="lv-LV" w:eastAsia="lv-LV"/>
              </w:rPr>
              <w:t>ES</w:t>
            </w:r>
            <w:r w:rsidRPr="003A3A17">
              <w:rPr>
                <w:rFonts w:eastAsia="Times New Roman"/>
                <w:lang w:val="lv-LV" w:eastAsia="lv-LV"/>
              </w:rPr>
              <w:t>investīciju</w:t>
            </w:r>
            <w:proofErr w:type="spellEnd"/>
            <w:r w:rsidRPr="003A3A17">
              <w:rPr>
                <w:rFonts w:eastAsia="Times New Roman"/>
                <w:lang w:val="lv-LV" w:eastAsia="lv-LV"/>
              </w:rPr>
              <w:t xml:space="preserve"> fondu 2021.–2027. gada plānošanas periodam. Nacionālās programmas īstenošanas uzraudzībai 2024. gada 4. maijā ar vadošās iestādes rīkojumu ir izveidota fonda Uzraudzības </w:t>
            </w:r>
            <w:r w:rsidR="00B67418">
              <w:rPr>
                <w:rFonts w:eastAsia="Times New Roman"/>
                <w:lang w:val="lv-LV" w:eastAsia="lv-LV"/>
              </w:rPr>
              <w:t>k</w:t>
            </w:r>
            <w:r w:rsidRPr="003A3A17">
              <w:rPr>
                <w:rFonts w:eastAsia="Times New Roman"/>
                <w:lang w:val="lv-LV" w:eastAsia="lv-LV"/>
              </w:rPr>
              <w:t xml:space="preserve">omiteja </w:t>
            </w:r>
            <w:r w:rsidR="00B67418">
              <w:rPr>
                <w:rFonts w:eastAsia="Times New Roman"/>
                <w:lang w:val="lv-LV" w:eastAsia="lv-LV"/>
              </w:rPr>
              <w:t xml:space="preserve">(turpmāk – UK), </w:t>
            </w:r>
            <w:r w:rsidRPr="003A3A17">
              <w:rPr>
                <w:rFonts w:eastAsia="Times New Roman"/>
                <w:lang w:val="lv-LV" w:eastAsia="lv-LV"/>
              </w:rPr>
              <w:t xml:space="preserve">iekļaujot tajā vadības līmeņa pārstāvjus no iestādēm, kuru kompetencē ir fonda jautājumi, kā arī sociālos partnerus un nevalstisko organizāciju pārstāvjus, </w:t>
            </w:r>
            <w:r w:rsidRPr="003A3A17">
              <w:rPr>
                <w:rFonts w:eastAsia="Times New Roman"/>
                <w:lang w:val="lv-LV" w:eastAsia="lv-LV"/>
              </w:rPr>
              <w:lastRenderedPageBreak/>
              <w:t xml:space="preserve">kas darbojas fonda jomā. 2024. gada 15. maijā notika pirmā </w:t>
            </w:r>
            <w:r w:rsidR="00B67418">
              <w:rPr>
                <w:rFonts w:eastAsia="Times New Roman"/>
                <w:lang w:val="lv-LV" w:eastAsia="lv-LV"/>
              </w:rPr>
              <w:t>UK</w:t>
            </w:r>
            <w:r w:rsidR="00B67418" w:rsidRPr="003A3A17">
              <w:rPr>
                <w:rFonts w:eastAsia="Times New Roman"/>
                <w:lang w:val="lv-LV" w:eastAsia="lv-LV"/>
              </w:rPr>
              <w:t xml:space="preserve"> </w:t>
            </w:r>
            <w:r w:rsidRPr="003A3A17">
              <w:rPr>
                <w:rFonts w:eastAsia="Times New Roman"/>
                <w:lang w:val="lv-LV" w:eastAsia="lv-LV"/>
              </w:rPr>
              <w:t xml:space="preserve">sēdē, kurā </w:t>
            </w:r>
            <w:r w:rsidR="00B67418">
              <w:rPr>
                <w:rFonts w:eastAsia="Times New Roman"/>
                <w:lang w:val="lv-LV" w:eastAsia="lv-LV"/>
              </w:rPr>
              <w:t>UK</w:t>
            </w:r>
            <w:r w:rsidR="00B67418" w:rsidRPr="003A3A17">
              <w:rPr>
                <w:rFonts w:eastAsia="Times New Roman"/>
                <w:lang w:val="lv-LV" w:eastAsia="lv-LV"/>
              </w:rPr>
              <w:t xml:space="preserve"> </w:t>
            </w:r>
            <w:r w:rsidRPr="003A3A17">
              <w:rPr>
                <w:rFonts w:eastAsia="Times New Roman"/>
                <w:lang w:val="lv-LV" w:eastAsia="lv-LV"/>
              </w:rPr>
              <w:t xml:space="preserve">apstiprināja </w:t>
            </w:r>
            <w:r w:rsidR="00B67418">
              <w:rPr>
                <w:rFonts w:eastAsia="Times New Roman"/>
                <w:lang w:val="lv-LV" w:eastAsia="lv-LV"/>
              </w:rPr>
              <w:t>UK</w:t>
            </w:r>
            <w:r w:rsidR="00B67418" w:rsidRPr="003A3A17">
              <w:rPr>
                <w:rFonts w:eastAsia="Times New Roman"/>
                <w:lang w:val="lv-LV" w:eastAsia="lv-LV"/>
              </w:rPr>
              <w:t xml:space="preserve"> </w:t>
            </w:r>
            <w:r w:rsidRPr="003A3A17">
              <w:rPr>
                <w:rFonts w:eastAsia="Times New Roman"/>
                <w:lang w:val="lv-LV" w:eastAsia="lv-LV"/>
              </w:rPr>
              <w:t xml:space="preserve">reglamentu. Pēc reglamenta apstiprināšanas, vadošā iestāde iepazīstināja </w:t>
            </w:r>
            <w:r w:rsidR="00B67418">
              <w:rPr>
                <w:rFonts w:eastAsia="Times New Roman"/>
                <w:lang w:val="lv-LV" w:eastAsia="lv-LV"/>
              </w:rPr>
              <w:t>UK</w:t>
            </w:r>
            <w:r w:rsidR="00B67418" w:rsidRPr="003A3A17">
              <w:rPr>
                <w:rFonts w:eastAsia="Times New Roman"/>
                <w:lang w:val="lv-LV" w:eastAsia="lv-LV"/>
              </w:rPr>
              <w:t xml:space="preserve"> </w:t>
            </w:r>
            <w:r w:rsidRPr="003A3A17">
              <w:rPr>
                <w:rFonts w:eastAsia="Times New Roman"/>
                <w:lang w:val="lv-LV" w:eastAsia="lv-LV"/>
              </w:rPr>
              <w:t xml:space="preserve">locekļus ar progresu nacionālās programmas mērķu sasniegšanā, kā arī atbildēja uz </w:t>
            </w:r>
            <w:r w:rsidR="00B67418">
              <w:rPr>
                <w:rFonts w:eastAsia="Times New Roman"/>
                <w:lang w:val="lv-LV" w:eastAsia="lv-LV"/>
              </w:rPr>
              <w:t>UK</w:t>
            </w:r>
            <w:r w:rsidR="00B67418" w:rsidRPr="003A3A17">
              <w:rPr>
                <w:rFonts w:eastAsia="Times New Roman"/>
                <w:lang w:val="lv-LV" w:eastAsia="lv-LV"/>
              </w:rPr>
              <w:t xml:space="preserve"> </w:t>
            </w:r>
            <w:r w:rsidRPr="003A3A17">
              <w:rPr>
                <w:rFonts w:eastAsia="Times New Roman"/>
                <w:lang w:val="lv-LV" w:eastAsia="lv-LV"/>
              </w:rPr>
              <w:t xml:space="preserve">locekļu jautājumiem. Labklājības ministrijas pārstāve klātesošajiem sniedza prezentāciju par horizontālo principu "Vienlīdzība, iekļaušana, </w:t>
            </w:r>
            <w:proofErr w:type="spellStart"/>
            <w:r w:rsidRPr="003A3A17">
              <w:rPr>
                <w:rFonts w:eastAsia="Times New Roman"/>
                <w:lang w:val="lv-LV" w:eastAsia="lv-LV"/>
              </w:rPr>
              <w:t>nediskriminācija</w:t>
            </w:r>
            <w:proofErr w:type="spellEnd"/>
            <w:r w:rsidRPr="003A3A17">
              <w:rPr>
                <w:rFonts w:eastAsia="Times New Roman"/>
                <w:lang w:val="lv-LV" w:eastAsia="lv-LV"/>
              </w:rPr>
              <w:t xml:space="preserve"> un </w:t>
            </w:r>
            <w:proofErr w:type="spellStart"/>
            <w:r w:rsidRPr="003A3A17">
              <w:rPr>
                <w:rFonts w:eastAsia="Times New Roman"/>
                <w:lang w:val="lv-LV" w:eastAsia="lv-LV"/>
              </w:rPr>
              <w:t>pamattiesību</w:t>
            </w:r>
            <w:proofErr w:type="spellEnd"/>
            <w:r w:rsidRPr="003A3A17">
              <w:rPr>
                <w:rFonts w:eastAsia="Times New Roman"/>
                <w:lang w:val="lv-LV" w:eastAsia="lv-LV"/>
              </w:rPr>
              <w:t xml:space="preserve"> ievērošana" – izskaidroja horizontālos veicinošos nosacījumus, kā arī informēja par horizontālā principa ieviešanas </w:t>
            </w:r>
            <w:r w:rsidR="003A3A17" w:rsidRPr="003A3A17">
              <w:rPr>
                <w:rFonts w:eastAsia="Times New Roman"/>
                <w:lang w:val="lv-LV" w:eastAsia="lv-LV"/>
              </w:rPr>
              <w:t>mehānismu</w:t>
            </w:r>
            <w:r w:rsidRPr="003A3A17">
              <w:rPr>
                <w:rFonts w:eastAsia="Times New Roman"/>
                <w:lang w:val="lv-LV" w:eastAsia="lv-LV"/>
              </w:rPr>
              <w:t xml:space="preserve"> fonda projektos.</w:t>
            </w:r>
          </w:p>
        </w:tc>
      </w:tr>
    </w:tbl>
    <w:p w14:paraId="1CFD7080" w14:textId="6575B8BA" w:rsidR="006A41E2" w:rsidRPr="003A3A17" w:rsidRDefault="00B32C89" w:rsidP="00B32C89">
      <w:pPr>
        <w:pStyle w:val="ManualHeading2"/>
        <w:rPr>
          <w:noProof/>
          <w:lang w:val="lv-LV"/>
        </w:rPr>
      </w:pPr>
      <w:r w:rsidRPr="003A3A17">
        <w:rPr>
          <w:lang w:val="lv-LV"/>
        </w:rPr>
        <w:lastRenderedPageBreak/>
        <w:t>1.2.</w:t>
      </w:r>
      <w:r w:rsidRPr="003A3A17">
        <w:rPr>
          <w:lang w:val="lv-LV"/>
        </w:rPr>
        <w:tab/>
      </w:r>
      <w:r w:rsidR="006A41E2" w:rsidRPr="003A3A17">
        <w:rPr>
          <w:noProof/>
          <w:lang w:val="lv-LV"/>
        </w:rPr>
        <w:t>Jautājumi, kas ietekmē sniegumu, – Regulas (ES) 2021/1149 30. panta 2. punkta b) apakšpunkts</w:t>
      </w:r>
    </w:p>
    <w:p w14:paraId="41D1A60F" w14:textId="77777777" w:rsidR="006A41E2" w:rsidRPr="003A3A17" w:rsidRDefault="006A41E2" w:rsidP="006A41E2">
      <w:pPr>
        <w:rPr>
          <w:noProof/>
          <w:lang w:val="lv-LV"/>
        </w:rPr>
      </w:pPr>
      <w:r w:rsidRPr="003A3A17">
        <w:rPr>
          <w:noProof/>
          <w:lang w:val="lv-LV"/>
        </w:rPr>
        <w:t xml:space="preserve">Attiecībā uz katru konkrēto mērķi aprakstiet visus jautājumus, kas ietekmē programmas sniegumu grāmatvedības gada laikā, un visas darbības, kas veiktas to risināšanai. </w:t>
      </w:r>
    </w:p>
    <w:p w14:paraId="22DC52D6" w14:textId="77777777" w:rsidR="006A41E2" w:rsidRPr="003A3A17" w:rsidRDefault="006A41E2" w:rsidP="006A41E2">
      <w:pPr>
        <w:rPr>
          <w:noProof/>
          <w:lang w:val="lv-LV"/>
        </w:rPr>
      </w:pPr>
      <w:r w:rsidRPr="003A3A17">
        <w:rPr>
          <w:noProof/>
          <w:lang w:val="lv-LV"/>
        </w:rPr>
        <w:t>Ja vien tas ir iespējams un atbilst jūsu situācijai, būtu jānošķir jautājumi, kas saistīti ar:</w:t>
      </w:r>
    </w:p>
    <w:p w14:paraId="796296DC" w14:textId="77777777" w:rsidR="006A41E2" w:rsidRPr="003A3A17" w:rsidRDefault="006A41E2" w:rsidP="007C6174">
      <w:pPr>
        <w:pStyle w:val="Tiret0"/>
        <w:numPr>
          <w:ilvl w:val="0"/>
          <w:numId w:val="10"/>
        </w:numPr>
        <w:rPr>
          <w:noProof/>
          <w:lang w:val="lv-LV"/>
        </w:rPr>
      </w:pPr>
      <w:r w:rsidRPr="003A3A17">
        <w:rPr>
          <w:noProof/>
          <w:lang w:val="lv-LV"/>
        </w:rPr>
        <w:t>nepilnībām sasniegumu paziņošanā</w:t>
      </w:r>
      <w:r w:rsidRPr="003A3A17">
        <w:rPr>
          <w:rStyle w:val="FootnoteReference"/>
          <w:noProof/>
          <w:lang w:val="lv-LV"/>
        </w:rPr>
        <w:footnoteReference w:id="2"/>
      </w:r>
      <w:r w:rsidRPr="003A3A17">
        <w:rPr>
          <w:noProof/>
          <w:lang w:val="lv-LV"/>
        </w:rPr>
        <w:t xml:space="preserve">, </w:t>
      </w:r>
    </w:p>
    <w:p w14:paraId="56425BD3" w14:textId="77777777" w:rsidR="006A41E2" w:rsidRPr="003A3A17" w:rsidRDefault="006A41E2" w:rsidP="007C6174">
      <w:pPr>
        <w:pStyle w:val="Tiret0"/>
        <w:numPr>
          <w:ilvl w:val="0"/>
          <w:numId w:val="10"/>
        </w:numPr>
        <w:rPr>
          <w:noProof/>
          <w:lang w:val="lv-LV"/>
        </w:rPr>
      </w:pPr>
      <w:r w:rsidRPr="003A3A17">
        <w:rPr>
          <w:noProof/>
          <w:lang w:val="lv-LV"/>
        </w:rPr>
        <w:t>mērķrādītāju noteikšanu</w:t>
      </w:r>
      <w:r w:rsidRPr="003A3A17">
        <w:rPr>
          <w:rStyle w:val="FootnoteReference"/>
          <w:noProof/>
          <w:lang w:val="lv-LV"/>
        </w:rPr>
        <w:footnoteReference w:id="3"/>
      </w:r>
      <w:r w:rsidRPr="003A3A17">
        <w:rPr>
          <w:noProof/>
          <w:lang w:val="lv-LV"/>
        </w:rPr>
        <w:t xml:space="preserve">, </w:t>
      </w:r>
    </w:p>
    <w:p w14:paraId="4AC988B1" w14:textId="77777777" w:rsidR="006A41E2" w:rsidRPr="003A3A17" w:rsidRDefault="006A41E2" w:rsidP="007C6174">
      <w:pPr>
        <w:pStyle w:val="Tiret0"/>
        <w:numPr>
          <w:ilvl w:val="0"/>
          <w:numId w:val="10"/>
        </w:numPr>
        <w:rPr>
          <w:noProof/>
          <w:lang w:val="lv-LV"/>
        </w:rPr>
      </w:pPr>
      <w:r w:rsidRPr="003A3A17">
        <w:rPr>
          <w:noProof/>
          <w:lang w:val="lv-LV"/>
        </w:rPr>
        <w:t>procedūras kavējumiem un administratīvajām spējām</w:t>
      </w:r>
      <w:r w:rsidRPr="003A3A17">
        <w:rPr>
          <w:rStyle w:val="FootnoteReference"/>
          <w:noProof/>
          <w:lang w:val="lv-LV"/>
        </w:rPr>
        <w:footnoteReference w:id="4"/>
      </w:r>
      <w:r w:rsidRPr="003A3A17">
        <w:rPr>
          <w:noProof/>
          <w:lang w:val="lv-LV"/>
        </w:rPr>
        <w:t xml:space="preserve">, </w:t>
      </w:r>
    </w:p>
    <w:p w14:paraId="308DBC61" w14:textId="77777777" w:rsidR="006A41E2" w:rsidRPr="003A3A17" w:rsidRDefault="006A41E2" w:rsidP="007C6174">
      <w:pPr>
        <w:pStyle w:val="Tiret0"/>
        <w:numPr>
          <w:ilvl w:val="0"/>
          <w:numId w:val="10"/>
        </w:numPr>
        <w:rPr>
          <w:noProof/>
          <w:lang w:val="lv-LV"/>
        </w:rPr>
      </w:pPr>
      <w:r w:rsidRPr="003A3A17">
        <w:rPr>
          <w:noProof/>
          <w:lang w:val="lv-LV"/>
        </w:rPr>
        <w:t>konteksta izmaiņām</w:t>
      </w:r>
      <w:r w:rsidRPr="003A3A17">
        <w:rPr>
          <w:rStyle w:val="FootnoteReference"/>
          <w:noProof/>
          <w:lang w:val="lv-LV"/>
        </w:rPr>
        <w:footnoteReference w:id="5"/>
      </w:r>
      <w:r w:rsidRPr="003A3A17">
        <w:rPr>
          <w:noProof/>
          <w:lang w:val="lv-LV"/>
        </w:rPr>
        <w:t>,</w:t>
      </w:r>
    </w:p>
    <w:p w14:paraId="4880930E" w14:textId="77777777" w:rsidR="006A41E2" w:rsidRPr="003A3A17" w:rsidRDefault="006A41E2" w:rsidP="007C6174">
      <w:pPr>
        <w:pStyle w:val="Tiret0"/>
        <w:numPr>
          <w:ilvl w:val="0"/>
          <w:numId w:val="10"/>
        </w:numPr>
        <w:rPr>
          <w:noProof/>
          <w:lang w:val="lv-LV"/>
        </w:rPr>
      </w:pPr>
      <w:r w:rsidRPr="003A3A17">
        <w:rPr>
          <w:noProof/>
          <w:lang w:val="lv-LV"/>
        </w:rPr>
        <w:t>operāciju izstrādi un/vai īstenošanu</w:t>
      </w:r>
      <w:r w:rsidRPr="003A3A17">
        <w:rPr>
          <w:rStyle w:val="FootnoteReference"/>
          <w:noProof/>
          <w:lang w:val="lv-LV"/>
        </w:rPr>
        <w:footnoteReference w:id="6"/>
      </w:r>
      <w:r w:rsidRPr="003A3A17">
        <w:rPr>
          <w:noProof/>
          <w:lang w:val="lv-LV"/>
        </w:rPr>
        <w:t>, un</w:t>
      </w:r>
    </w:p>
    <w:p w14:paraId="0796544F" w14:textId="77777777" w:rsidR="006A41E2" w:rsidRPr="003A3A17" w:rsidRDefault="006A41E2" w:rsidP="007C6174">
      <w:pPr>
        <w:pStyle w:val="Tiret0"/>
        <w:numPr>
          <w:ilvl w:val="0"/>
          <w:numId w:val="10"/>
        </w:numPr>
        <w:rPr>
          <w:noProof/>
          <w:lang w:val="lv-LV"/>
        </w:rPr>
      </w:pPr>
      <w:r w:rsidRPr="003A3A17">
        <w:rPr>
          <w:noProof/>
          <w:lang w:val="lv-LV"/>
        </w:rPr>
        <w:t xml:space="preserve">jebkuri citi jautājumi. </w:t>
      </w:r>
    </w:p>
    <w:p w14:paraId="2D2D1478" w14:textId="77777777" w:rsidR="000E45B7" w:rsidRPr="003A3A17" w:rsidRDefault="000E45B7" w:rsidP="006D7F5F">
      <w:pPr>
        <w:rPr>
          <w:i/>
          <w:noProof/>
          <w:lang w:val="lv-LV"/>
        </w:rPr>
      </w:pPr>
      <w:r w:rsidRPr="003A3A17">
        <w:rPr>
          <w:noProof/>
          <w:lang w:val="lv-LV"/>
        </w:rPr>
        <w:t>Aprakstiet izmaiņas stratēģijā vai valsts mērķos vai faktorus, kas var izraisīt izmaiņas nākotnē, kā arī to, kā minētās izmaiņas ir mainījušas mērķrādītājus, kas aplēsti pēc snieguma satvara izveides metodikas.</w:t>
      </w:r>
    </w:p>
    <w:p w14:paraId="35771B28" w14:textId="77777777" w:rsidR="006A41E2" w:rsidRPr="003A3A17" w:rsidRDefault="0060652B" w:rsidP="006A41E2">
      <w:pPr>
        <w:rPr>
          <w:noProof/>
          <w:lang w:val="lv-LV"/>
        </w:rPr>
      </w:pPr>
      <w:r w:rsidRPr="003A3A17">
        <w:rPr>
          <w:noProof/>
          <w:lang w:val="lv-LV"/>
        </w:rPr>
        <w:t>Iekļaujiet informāciju par visiem pamatotajiem atzinumiem, ko Komisija sniegusi pārkāpuma procedūrā saskaņā ar Līguma par Eiropas Savienības darbību (LESD) 258. pantu un kas ir saistīti ar fonda līdzekļu apguvi.</w:t>
      </w:r>
    </w:p>
    <w:tbl>
      <w:tblPr>
        <w:tblStyle w:val="TableGrid"/>
        <w:tblW w:w="0" w:type="auto"/>
        <w:tblLook w:val="04A0" w:firstRow="1" w:lastRow="0" w:firstColumn="1" w:lastColumn="0" w:noHBand="0" w:noVBand="1"/>
      </w:tblPr>
      <w:tblGrid>
        <w:gridCol w:w="9063"/>
      </w:tblGrid>
      <w:tr w:rsidR="003A3A17" w:rsidRPr="003A3A17" w14:paraId="4B42FB83" w14:textId="77777777" w:rsidTr="00E45665">
        <w:tc>
          <w:tcPr>
            <w:tcW w:w="9289" w:type="dxa"/>
          </w:tcPr>
          <w:p w14:paraId="26A8BB30" w14:textId="77777777" w:rsidR="006A41E2" w:rsidRPr="003A3A17" w:rsidRDefault="00EA1A2F" w:rsidP="009E5C5D">
            <w:pPr>
              <w:pStyle w:val="Personnequisigne"/>
              <w:rPr>
                <w:noProof/>
                <w:lang w:val="lv-LV"/>
              </w:rPr>
            </w:pPr>
            <w:r w:rsidRPr="003A3A17">
              <w:rPr>
                <w:noProof/>
                <w:lang w:val="lv-LV"/>
              </w:rPr>
              <w:t>Šeit ierakstiet tekstu. Ne vairāk kā 7000 rakstzīmes.</w:t>
            </w:r>
          </w:p>
          <w:p w14:paraId="3221D902" w14:textId="1E46C4D9" w:rsidR="00077A0B" w:rsidRPr="003A3A17" w:rsidRDefault="00077A0B" w:rsidP="00DB1D8E">
            <w:pPr>
              <w:keepNext/>
              <w:tabs>
                <w:tab w:val="left" w:pos="4252"/>
              </w:tabs>
              <w:ind w:firstLine="743"/>
              <w:rPr>
                <w:lang w:val="lv-LV"/>
              </w:rPr>
            </w:pPr>
            <w:r w:rsidRPr="003A3A17">
              <w:rPr>
                <w:lang w:val="lv-LV"/>
              </w:rPr>
              <w:t xml:space="preserve">Jautājumi, kas ietekmē IDF programmas sniegumu grāmatvedības </w:t>
            </w:r>
            <w:r w:rsidR="00A44041" w:rsidRPr="003A3A17">
              <w:rPr>
                <w:lang w:val="lv-LV"/>
              </w:rPr>
              <w:t>periodā:</w:t>
            </w:r>
          </w:p>
          <w:p w14:paraId="1BFA6963" w14:textId="77777777" w:rsidR="00F96B79" w:rsidRPr="003A3A17" w:rsidRDefault="00F96B79" w:rsidP="00077A0B">
            <w:pPr>
              <w:keepNext/>
              <w:tabs>
                <w:tab w:val="left" w:pos="4252"/>
              </w:tabs>
              <w:jc w:val="center"/>
              <w:rPr>
                <w:b/>
                <w:lang w:val="lv-LV"/>
              </w:rPr>
            </w:pPr>
          </w:p>
          <w:p w14:paraId="578F00E2" w14:textId="0DE12DCC" w:rsidR="00077A0B" w:rsidRPr="003A3A17" w:rsidRDefault="00077A0B" w:rsidP="00077A0B">
            <w:pPr>
              <w:keepNext/>
              <w:tabs>
                <w:tab w:val="left" w:pos="4252"/>
              </w:tabs>
              <w:jc w:val="center"/>
              <w:rPr>
                <w:u w:val="single"/>
                <w:lang w:val="lv-LV"/>
              </w:rPr>
            </w:pPr>
            <w:r w:rsidRPr="003A3A17">
              <w:rPr>
                <w:u w:val="single"/>
                <w:lang w:val="lv-LV"/>
              </w:rPr>
              <w:t>1. konkrēt</w:t>
            </w:r>
            <w:r w:rsidR="00A44041" w:rsidRPr="003A3A17">
              <w:rPr>
                <w:u w:val="single"/>
                <w:lang w:val="lv-LV"/>
              </w:rPr>
              <w:t>ais mērķis</w:t>
            </w:r>
          </w:p>
          <w:p w14:paraId="12A6A64E" w14:textId="77777777" w:rsidR="00F96B79" w:rsidRPr="003A3A17" w:rsidRDefault="00F96B79" w:rsidP="00077A0B">
            <w:pPr>
              <w:keepNext/>
              <w:tabs>
                <w:tab w:val="left" w:pos="4252"/>
              </w:tabs>
              <w:jc w:val="center"/>
              <w:rPr>
                <w:u w:val="single"/>
                <w:lang w:val="lv-LV"/>
              </w:rPr>
            </w:pPr>
          </w:p>
          <w:p w14:paraId="42E5206D" w14:textId="2F2471DB" w:rsidR="0099231A" w:rsidRPr="003A3A17" w:rsidRDefault="0099231A" w:rsidP="0099231A">
            <w:pPr>
              <w:numPr>
                <w:ilvl w:val="0"/>
                <w:numId w:val="27"/>
              </w:numPr>
              <w:tabs>
                <w:tab w:val="left" w:pos="4252"/>
              </w:tabs>
              <w:rPr>
                <w:lang w:val="lv-LV"/>
              </w:rPr>
            </w:pPr>
            <w:r w:rsidRPr="003A3A17">
              <w:rPr>
                <w:b/>
                <w:bCs/>
                <w:lang w:val="lv-LV"/>
              </w:rPr>
              <w:t>Nepilnības sasniegumu paziņošanā.</w:t>
            </w:r>
            <w:r w:rsidRPr="003A3A17">
              <w:rPr>
                <w:lang w:val="lv-LV"/>
              </w:rPr>
              <w:t xml:space="preserve"> Par </w:t>
            </w:r>
            <w:r w:rsidR="003A3A17" w:rsidRPr="003A3A17">
              <w:rPr>
                <w:lang w:val="lv-LV"/>
              </w:rPr>
              <w:t>iepriekš minētajiem</w:t>
            </w:r>
            <w:r w:rsidRPr="003A3A17">
              <w:rPr>
                <w:lang w:val="lv-LV"/>
              </w:rPr>
              <w:t xml:space="preserve"> iznākuma un rezultātu rādītājiem ir pieejama informācija un nav novērotu nepilnību to ziņošanā, tomēr VID īstenotajā projektā projekta rezultāti nav atspoguļoti pēc regulā noteiktajiem rādītājiem. Grāmatvedības periodā tika nodrošināts, ka finansējuma saņēmēji ziņos par attiecīgiem rādītājiem pa dzimumiem.</w:t>
            </w:r>
          </w:p>
          <w:p w14:paraId="4D54A259" w14:textId="77777777" w:rsidR="0099231A" w:rsidRPr="003A3A17" w:rsidRDefault="0099231A" w:rsidP="0099231A">
            <w:pPr>
              <w:tabs>
                <w:tab w:val="left" w:pos="4252"/>
              </w:tabs>
              <w:rPr>
                <w:lang w:val="lv-LV"/>
              </w:rPr>
            </w:pPr>
          </w:p>
          <w:p w14:paraId="40887CF5" w14:textId="03926EAC" w:rsidR="00077A0B" w:rsidRPr="003A3A17" w:rsidRDefault="00077A0B" w:rsidP="00F96B79">
            <w:pPr>
              <w:numPr>
                <w:ilvl w:val="0"/>
                <w:numId w:val="27"/>
              </w:numPr>
              <w:tabs>
                <w:tab w:val="left" w:pos="4252"/>
              </w:tabs>
              <w:rPr>
                <w:lang w:val="lv-LV"/>
              </w:rPr>
            </w:pPr>
            <w:proofErr w:type="spellStart"/>
            <w:r w:rsidRPr="003A3A17">
              <w:rPr>
                <w:b/>
                <w:bCs/>
                <w:lang w:val="lv-LV"/>
              </w:rPr>
              <w:t>Mērķrādītāju</w:t>
            </w:r>
            <w:proofErr w:type="spellEnd"/>
            <w:r w:rsidRPr="003A3A17">
              <w:rPr>
                <w:b/>
                <w:bCs/>
                <w:lang w:val="lv-LV"/>
              </w:rPr>
              <w:t xml:space="preserve"> noteikšanā</w:t>
            </w:r>
            <w:r w:rsidRPr="003A3A17">
              <w:rPr>
                <w:lang w:val="lv-LV"/>
              </w:rPr>
              <w:t xml:space="preserve">. </w:t>
            </w:r>
            <w:r w:rsidR="00B3367E" w:rsidRPr="003A3A17">
              <w:rPr>
                <w:lang w:val="lv-LV"/>
              </w:rPr>
              <w:t>I</w:t>
            </w:r>
            <w:r w:rsidR="00EB48FD" w:rsidRPr="003A3A17">
              <w:rPr>
                <w:lang w:val="lv-LV"/>
              </w:rPr>
              <w:t xml:space="preserve">zaicinājumu radīja IDF </w:t>
            </w:r>
            <w:r w:rsidR="00092F97" w:rsidRPr="003A3A17">
              <w:rPr>
                <w:lang w:val="lv-LV"/>
              </w:rPr>
              <w:t xml:space="preserve">programmas </w:t>
            </w:r>
            <w:r w:rsidR="00EB48FD" w:rsidRPr="003A3A17">
              <w:rPr>
                <w:lang w:val="lv-LV"/>
              </w:rPr>
              <w:t>rādītāju metodoloģijas izstrāde, ņemot vērā pieaugošo informācijas detalizāciju, salīdzinot ar iepriekšējo plānošanas period</w:t>
            </w:r>
            <w:r w:rsidR="00056D63" w:rsidRPr="003A3A17">
              <w:rPr>
                <w:lang w:val="lv-LV"/>
              </w:rPr>
              <w:t>u, un</w:t>
            </w:r>
            <w:r w:rsidR="00537BCF" w:rsidRPr="003A3A17">
              <w:rPr>
                <w:lang w:val="lv-LV"/>
              </w:rPr>
              <w:t xml:space="preserve"> vadošās iestādes</w:t>
            </w:r>
            <w:r w:rsidR="00056D63" w:rsidRPr="003A3A17">
              <w:rPr>
                <w:lang w:val="lv-LV"/>
              </w:rPr>
              <w:t xml:space="preserve"> personāla mainību</w:t>
            </w:r>
            <w:r w:rsidRPr="003A3A17">
              <w:rPr>
                <w:lang w:val="lv-LV"/>
              </w:rPr>
              <w:t>.</w:t>
            </w:r>
            <w:r w:rsidR="00132870" w:rsidRPr="003A3A17">
              <w:rPr>
                <w:lang w:val="lv-LV"/>
              </w:rPr>
              <w:t xml:space="preserve"> Arī konteksta izmaiņas (skat.</w:t>
            </w:r>
            <w:r w:rsidR="00A44041" w:rsidRPr="003A3A17">
              <w:rPr>
                <w:lang w:val="lv-LV"/>
              </w:rPr>
              <w:t xml:space="preserve"> </w:t>
            </w:r>
            <w:r w:rsidR="00132870" w:rsidRPr="003A3A17">
              <w:rPr>
                <w:lang w:val="lv-LV"/>
              </w:rPr>
              <w:t xml:space="preserve">tālāk) </w:t>
            </w:r>
            <w:r w:rsidR="00F2692D" w:rsidRPr="003A3A17">
              <w:rPr>
                <w:lang w:val="lv-LV"/>
              </w:rPr>
              <w:t xml:space="preserve">liek pārdomāt, vai iepriekš noteiktie </w:t>
            </w:r>
            <w:proofErr w:type="spellStart"/>
            <w:r w:rsidR="00F2692D" w:rsidRPr="003A3A17">
              <w:rPr>
                <w:lang w:val="lv-LV"/>
              </w:rPr>
              <w:t>mērķrādītāji</w:t>
            </w:r>
            <w:proofErr w:type="spellEnd"/>
            <w:r w:rsidR="00F2692D" w:rsidRPr="003A3A17">
              <w:rPr>
                <w:lang w:val="lv-LV"/>
              </w:rPr>
              <w:t xml:space="preserve"> un to vērtības ir un turpinās būt aktuālas. </w:t>
            </w:r>
          </w:p>
          <w:p w14:paraId="48A19E5A" w14:textId="77777777" w:rsidR="0010245F" w:rsidRPr="003A3A17" w:rsidRDefault="0010245F" w:rsidP="0010245F">
            <w:pPr>
              <w:tabs>
                <w:tab w:val="left" w:pos="4252"/>
              </w:tabs>
              <w:ind w:left="-45"/>
              <w:rPr>
                <w:lang w:val="lv-LV"/>
              </w:rPr>
            </w:pPr>
          </w:p>
          <w:p w14:paraId="4F2EABD4" w14:textId="3B83443C" w:rsidR="00077A0B" w:rsidRPr="003A3A17" w:rsidRDefault="00077A0B" w:rsidP="00F96B79">
            <w:pPr>
              <w:numPr>
                <w:ilvl w:val="0"/>
                <w:numId w:val="27"/>
              </w:numPr>
              <w:tabs>
                <w:tab w:val="left" w:pos="4252"/>
              </w:tabs>
              <w:rPr>
                <w:noProof/>
                <w:lang w:val="lv-LV"/>
              </w:rPr>
            </w:pPr>
            <w:r w:rsidRPr="003A3A17">
              <w:rPr>
                <w:b/>
                <w:lang w:val="lv-LV"/>
              </w:rPr>
              <w:t>P</w:t>
            </w:r>
            <w:r w:rsidRPr="003A3A17">
              <w:rPr>
                <w:b/>
                <w:noProof/>
                <w:lang w:val="lv-LV"/>
              </w:rPr>
              <w:t>rocedūras kavējumi un administratīvās spējas</w:t>
            </w:r>
            <w:r w:rsidRPr="003A3A17">
              <w:rPr>
                <w:noProof/>
                <w:lang w:val="lv-LV"/>
              </w:rPr>
              <w:t xml:space="preserve">. IDF programmas novēlota pieņemšana kavēja </w:t>
            </w:r>
            <w:r w:rsidR="00F2361F" w:rsidRPr="003A3A17">
              <w:rPr>
                <w:noProof/>
                <w:lang w:val="lv-LV"/>
              </w:rPr>
              <w:t xml:space="preserve">IDF </w:t>
            </w:r>
            <w:r w:rsidRPr="003A3A17">
              <w:rPr>
                <w:noProof/>
                <w:lang w:val="lv-LV"/>
              </w:rPr>
              <w:t>programmas īstenošanu un projektu uzsākšanu</w:t>
            </w:r>
            <w:r w:rsidR="00C65618" w:rsidRPr="003A3A17">
              <w:rPr>
                <w:noProof/>
                <w:lang w:val="lv-LV"/>
              </w:rPr>
              <w:t>. A</w:t>
            </w:r>
            <w:r w:rsidRPr="003A3A17">
              <w:rPr>
                <w:noProof/>
                <w:lang w:val="lv-LV"/>
              </w:rPr>
              <w:t>t</w:t>
            </w:r>
            <w:r w:rsidR="00537BCF" w:rsidRPr="003A3A17">
              <w:rPr>
                <w:noProof/>
                <w:lang w:val="lv-LV"/>
              </w:rPr>
              <w:t>se</w:t>
            </w:r>
            <w:r w:rsidRPr="003A3A17">
              <w:rPr>
                <w:noProof/>
                <w:lang w:val="lv-LV"/>
              </w:rPr>
              <w:t xml:space="preserve">višķi projekti tika </w:t>
            </w:r>
            <w:r w:rsidR="00C65618" w:rsidRPr="003A3A17">
              <w:rPr>
                <w:noProof/>
                <w:lang w:val="lv-LV"/>
              </w:rPr>
              <w:t>uz</w:t>
            </w:r>
            <w:r w:rsidRPr="003A3A17">
              <w:rPr>
                <w:noProof/>
                <w:lang w:val="lv-LV"/>
              </w:rPr>
              <w:t>sākti</w:t>
            </w:r>
            <w:r w:rsidR="00537BCF" w:rsidRPr="003A3A17">
              <w:rPr>
                <w:noProof/>
                <w:lang w:val="lv-LV"/>
              </w:rPr>
              <w:t xml:space="preserve"> pirms projektu līgumu noslēgšanas</w:t>
            </w:r>
            <w:r w:rsidRPr="003A3A17">
              <w:rPr>
                <w:noProof/>
                <w:lang w:val="lv-LV"/>
              </w:rPr>
              <w:t>, attiecinot jau veiktās izmaksas</w:t>
            </w:r>
            <w:r w:rsidR="00F96B79" w:rsidRPr="003A3A17">
              <w:rPr>
                <w:noProof/>
                <w:lang w:val="lv-LV"/>
              </w:rPr>
              <w:t>.</w:t>
            </w:r>
            <w:r w:rsidR="00537BCF" w:rsidRPr="003A3A17">
              <w:rPr>
                <w:noProof/>
                <w:lang w:val="lv-LV"/>
              </w:rPr>
              <w:t xml:space="preserve"> Iekšējo procedūru izstrādes aizkavēšanās</w:t>
            </w:r>
            <w:r w:rsidR="00C65618" w:rsidRPr="003A3A17">
              <w:rPr>
                <w:noProof/>
                <w:lang w:val="lv-LV"/>
              </w:rPr>
              <w:t xml:space="preserve"> ietekmēja Pārvaldības un kontroles sistēmas apraksta izstrādi un apstiprināšanu.</w:t>
            </w:r>
          </w:p>
          <w:p w14:paraId="35DD826C" w14:textId="77777777" w:rsidR="00F96B79" w:rsidRPr="003A3A17" w:rsidRDefault="00F96B79" w:rsidP="00F96B79">
            <w:pPr>
              <w:tabs>
                <w:tab w:val="left" w:pos="4252"/>
              </w:tabs>
              <w:ind w:left="-45"/>
              <w:rPr>
                <w:noProof/>
                <w:lang w:val="lv-LV"/>
              </w:rPr>
            </w:pPr>
          </w:p>
          <w:p w14:paraId="4C82C246" w14:textId="185FAD79" w:rsidR="00077A0B" w:rsidRPr="003A3A17" w:rsidRDefault="00077A0B" w:rsidP="00F96B79">
            <w:pPr>
              <w:numPr>
                <w:ilvl w:val="0"/>
                <w:numId w:val="27"/>
              </w:numPr>
              <w:tabs>
                <w:tab w:val="left" w:pos="4252"/>
              </w:tabs>
              <w:rPr>
                <w:noProof/>
                <w:lang w:val="lv-LV"/>
              </w:rPr>
            </w:pPr>
            <w:r w:rsidRPr="003A3A17">
              <w:rPr>
                <w:b/>
                <w:lang w:val="lv-LV"/>
              </w:rPr>
              <w:lastRenderedPageBreak/>
              <w:t>Konteksta izmaiņas</w:t>
            </w:r>
            <w:r w:rsidRPr="003A3A17">
              <w:rPr>
                <w:lang w:val="lv-LV"/>
              </w:rPr>
              <w:t xml:space="preserve">. Lai gan ir pastiprinājies migrācijas spiediens uz Latvijas-Baltkrievijas robežas, </w:t>
            </w:r>
            <w:r w:rsidR="001E0269" w:rsidRPr="003A3A17">
              <w:rPr>
                <w:lang w:val="lv-LV"/>
              </w:rPr>
              <w:t>strauji</w:t>
            </w:r>
            <w:r w:rsidRPr="003A3A17">
              <w:rPr>
                <w:lang w:val="lv-LV"/>
              </w:rPr>
              <w:t xml:space="preserve"> pieaugot ārējās robežas neregulāras šķērsošanas mēģinājumu skaitam no Baltkrievijas, kuru mērķtiecīgi veicina Baltkrievijas varasiestādes kā daļu no </w:t>
            </w:r>
            <w:proofErr w:type="spellStart"/>
            <w:r w:rsidRPr="003A3A17">
              <w:rPr>
                <w:lang w:val="lv-LV"/>
              </w:rPr>
              <w:t>hibrīduzbrukuma</w:t>
            </w:r>
            <w:proofErr w:type="spellEnd"/>
            <w:r w:rsidRPr="003A3A17">
              <w:rPr>
                <w:lang w:val="lv-LV"/>
              </w:rPr>
              <w:t xml:space="preserve"> pret</w:t>
            </w:r>
            <w:r w:rsidR="003A5978">
              <w:rPr>
                <w:lang w:val="lv-LV"/>
              </w:rPr>
              <w:t xml:space="preserve"> ES</w:t>
            </w:r>
            <w:r w:rsidRPr="003A3A17">
              <w:rPr>
                <w:lang w:val="lv-LV"/>
              </w:rPr>
              <w:t xml:space="preserve">, kā rezultātā </w:t>
            </w:r>
            <w:r w:rsidR="003A5978">
              <w:rPr>
                <w:lang w:val="lv-LV"/>
              </w:rPr>
              <w:t>TAI</w:t>
            </w:r>
            <w:r w:rsidR="003A5978" w:rsidRPr="003A3A17">
              <w:rPr>
                <w:lang w:val="lv-LV"/>
              </w:rPr>
              <w:t xml:space="preserve"> </w:t>
            </w:r>
            <w:r w:rsidRPr="003A3A17">
              <w:rPr>
                <w:lang w:val="lv-LV"/>
              </w:rPr>
              <w:t>strādā pastiprināta darba režīmā un tiek veikt</w:t>
            </w:r>
            <w:r w:rsidR="00F96B79" w:rsidRPr="003A3A17">
              <w:rPr>
                <w:lang w:val="lv-LV"/>
              </w:rPr>
              <w:t xml:space="preserve">as </w:t>
            </w:r>
            <w:r w:rsidR="001E0269" w:rsidRPr="003A3A17">
              <w:rPr>
                <w:lang w:val="lv-LV"/>
              </w:rPr>
              <w:t>dažādas izmaiņas</w:t>
            </w:r>
            <w:r w:rsidRPr="003A3A17">
              <w:rPr>
                <w:lang w:val="lv-LV"/>
              </w:rPr>
              <w:t xml:space="preserve"> nacionālajā tiesiskajā </w:t>
            </w:r>
            <w:r w:rsidR="001E0269" w:rsidRPr="003A3A17">
              <w:rPr>
                <w:lang w:val="lv-LV"/>
              </w:rPr>
              <w:t>regulējumā</w:t>
            </w:r>
            <w:r w:rsidRPr="003A3A17">
              <w:rPr>
                <w:lang w:val="lv-LV"/>
              </w:rPr>
              <w:t xml:space="preserve">, reaģējot uz šo situāciju, tomēr IDF programmu tas nav ietekmējis. </w:t>
            </w:r>
          </w:p>
          <w:p w14:paraId="4F63E499" w14:textId="1A2CDB2E" w:rsidR="00077A0B" w:rsidRPr="003A3A17" w:rsidRDefault="00077A0B" w:rsidP="00F96B79">
            <w:pPr>
              <w:numPr>
                <w:ilvl w:val="0"/>
                <w:numId w:val="27"/>
              </w:numPr>
              <w:tabs>
                <w:tab w:val="left" w:pos="4252"/>
              </w:tabs>
              <w:rPr>
                <w:noProof/>
                <w:lang w:val="lv-LV"/>
              </w:rPr>
            </w:pPr>
            <w:r w:rsidRPr="003A3A17">
              <w:rPr>
                <w:b/>
                <w:lang w:val="lv-LV"/>
              </w:rPr>
              <w:t>O</w:t>
            </w:r>
            <w:r w:rsidRPr="003A3A17">
              <w:rPr>
                <w:b/>
                <w:noProof/>
                <w:lang w:val="lv-LV"/>
              </w:rPr>
              <w:t>perāciju izstrāde un/vai īstenošana</w:t>
            </w:r>
            <w:r w:rsidRPr="003A3A17">
              <w:rPr>
                <w:lang w:val="lv-LV"/>
              </w:rPr>
              <w:t>. Nav attiecināms</w:t>
            </w:r>
          </w:p>
          <w:p w14:paraId="4645B45F" w14:textId="77777777" w:rsidR="00077A0B" w:rsidRPr="003A3A17" w:rsidRDefault="00077A0B" w:rsidP="00F96B79">
            <w:pPr>
              <w:keepNext/>
              <w:numPr>
                <w:ilvl w:val="0"/>
                <w:numId w:val="27"/>
              </w:numPr>
              <w:tabs>
                <w:tab w:val="left" w:pos="4252"/>
              </w:tabs>
              <w:rPr>
                <w:lang w:val="lv-LV"/>
              </w:rPr>
            </w:pPr>
            <w:r w:rsidRPr="003A3A17">
              <w:rPr>
                <w:b/>
                <w:lang w:val="lv-LV"/>
              </w:rPr>
              <w:t>Citi jautājumi</w:t>
            </w:r>
            <w:r w:rsidRPr="003A3A17">
              <w:rPr>
                <w:lang w:val="lv-LV"/>
              </w:rPr>
              <w:t>. Nav attiecināms.</w:t>
            </w:r>
          </w:p>
          <w:p w14:paraId="7B2584D6" w14:textId="344553FB" w:rsidR="00077A0B" w:rsidRPr="003A3A17" w:rsidRDefault="00077A0B" w:rsidP="00077A0B">
            <w:pPr>
              <w:keepNext/>
              <w:tabs>
                <w:tab w:val="left" w:pos="4252"/>
              </w:tabs>
              <w:jc w:val="center"/>
              <w:rPr>
                <w:u w:val="single"/>
                <w:lang w:val="lv-LV"/>
              </w:rPr>
            </w:pPr>
            <w:r w:rsidRPr="003A3A17">
              <w:rPr>
                <w:u w:val="single"/>
                <w:lang w:val="lv-LV"/>
              </w:rPr>
              <w:t>2. konkrēt</w:t>
            </w:r>
            <w:r w:rsidR="00A44041" w:rsidRPr="003A3A17">
              <w:rPr>
                <w:u w:val="single"/>
                <w:lang w:val="lv-LV"/>
              </w:rPr>
              <w:t>ais mērķis</w:t>
            </w:r>
          </w:p>
          <w:p w14:paraId="17D30F5B" w14:textId="77777777" w:rsidR="00F96B79" w:rsidRPr="003A3A17" w:rsidRDefault="00F96B79" w:rsidP="00F96B79">
            <w:pPr>
              <w:tabs>
                <w:tab w:val="left" w:pos="4252"/>
              </w:tabs>
              <w:rPr>
                <w:b/>
                <w:lang w:val="lv-LV"/>
              </w:rPr>
            </w:pPr>
          </w:p>
          <w:p w14:paraId="31CE6BEB" w14:textId="60B3CCF2" w:rsidR="00997390" w:rsidRPr="003A3A17" w:rsidRDefault="00997390" w:rsidP="00F248DA">
            <w:pPr>
              <w:pStyle w:val="ListParagraph"/>
              <w:numPr>
                <w:ilvl w:val="0"/>
                <w:numId w:val="36"/>
              </w:numPr>
              <w:tabs>
                <w:tab w:val="left" w:pos="4252"/>
              </w:tabs>
              <w:rPr>
                <w:b/>
                <w:bCs/>
                <w:lang w:val="lv-LV"/>
              </w:rPr>
            </w:pPr>
            <w:r w:rsidRPr="003A3A17">
              <w:rPr>
                <w:b/>
                <w:bCs/>
                <w:lang w:val="lv-LV"/>
              </w:rPr>
              <w:t xml:space="preserve">Nepilnības sasniegumu paziņošanā. </w:t>
            </w:r>
            <w:r w:rsidRPr="003A3A17">
              <w:rPr>
                <w:lang w:val="lv-LV"/>
              </w:rPr>
              <w:t xml:space="preserve">Par </w:t>
            </w:r>
            <w:r w:rsidR="003A3A17" w:rsidRPr="003A3A17">
              <w:rPr>
                <w:lang w:val="lv-LV"/>
              </w:rPr>
              <w:t>iepriekš minētajiem</w:t>
            </w:r>
            <w:r w:rsidRPr="003A3A17">
              <w:rPr>
                <w:lang w:val="lv-LV"/>
              </w:rPr>
              <w:t xml:space="preserve"> iznākuma un rezultātu rādītājiem ir pieejama informācija un nav novērotu nepilnību to ziņošanā.</w:t>
            </w:r>
          </w:p>
          <w:p w14:paraId="2D244B06" w14:textId="6959B700" w:rsidR="00F96B79" w:rsidRPr="003A3A17" w:rsidRDefault="00F96B79" w:rsidP="00F248DA">
            <w:pPr>
              <w:pStyle w:val="ListParagraph"/>
              <w:numPr>
                <w:ilvl w:val="0"/>
                <w:numId w:val="36"/>
              </w:numPr>
              <w:tabs>
                <w:tab w:val="left" w:pos="4252"/>
              </w:tabs>
              <w:rPr>
                <w:lang w:val="lv-LV"/>
              </w:rPr>
            </w:pPr>
            <w:proofErr w:type="spellStart"/>
            <w:r w:rsidRPr="003A3A17">
              <w:rPr>
                <w:b/>
                <w:lang w:val="lv-LV"/>
              </w:rPr>
              <w:t>Mērķrādītāju</w:t>
            </w:r>
            <w:proofErr w:type="spellEnd"/>
            <w:r w:rsidRPr="003A3A17">
              <w:rPr>
                <w:b/>
                <w:lang w:val="lv-LV"/>
              </w:rPr>
              <w:t xml:space="preserve"> noteikšanā</w:t>
            </w:r>
            <w:r w:rsidRPr="003A3A17">
              <w:rPr>
                <w:lang w:val="lv-LV"/>
              </w:rPr>
              <w:t>.</w:t>
            </w:r>
          </w:p>
          <w:p w14:paraId="7CA29B49" w14:textId="2F0EB4D5" w:rsidR="00F96B79" w:rsidRPr="003A3A17" w:rsidRDefault="00F96B79" w:rsidP="00F248DA">
            <w:pPr>
              <w:pStyle w:val="ListParagraph"/>
              <w:numPr>
                <w:ilvl w:val="0"/>
                <w:numId w:val="36"/>
              </w:numPr>
              <w:tabs>
                <w:tab w:val="left" w:pos="4252"/>
              </w:tabs>
              <w:rPr>
                <w:lang w:val="lv-LV"/>
              </w:rPr>
            </w:pPr>
            <w:r w:rsidRPr="003A3A17">
              <w:rPr>
                <w:b/>
                <w:lang w:val="lv-LV"/>
              </w:rPr>
              <w:t>P</w:t>
            </w:r>
            <w:r w:rsidRPr="003A3A17">
              <w:rPr>
                <w:b/>
                <w:noProof/>
                <w:lang w:val="lv-LV"/>
              </w:rPr>
              <w:t>rocedūras kavējumi un administratīvās spējas</w:t>
            </w:r>
            <w:r w:rsidRPr="003A3A17">
              <w:rPr>
                <w:noProof/>
                <w:lang w:val="lv-LV"/>
              </w:rPr>
              <w:t xml:space="preserve">. </w:t>
            </w:r>
          </w:p>
          <w:p w14:paraId="1D7FC3FF" w14:textId="4016357C" w:rsidR="00F96B79" w:rsidRPr="003A3A17" w:rsidRDefault="00F96B79" w:rsidP="00F248DA">
            <w:pPr>
              <w:pStyle w:val="ListParagraph"/>
              <w:numPr>
                <w:ilvl w:val="0"/>
                <w:numId w:val="36"/>
              </w:numPr>
              <w:tabs>
                <w:tab w:val="left" w:pos="4252"/>
              </w:tabs>
              <w:rPr>
                <w:lang w:val="lv-LV"/>
              </w:rPr>
            </w:pPr>
            <w:r w:rsidRPr="003A3A17">
              <w:rPr>
                <w:b/>
                <w:lang w:val="lv-LV"/>
              </w:rPr>
              <w:t>Konteksta izmaiņas</w:t>
            </w:r>
            <w:r w:rsidRPr="003A3A17">
              <w:rPr>
                <w:lang w:val="lv-LV"/>
              </w:rPr>
              <w:t xml:space="preserve"> </w:t>
            </w:r>
          </w:p>
          <w:p w14:paraId="3241A0CE" w14:textId="77777777" w:rsidR="00F96B79" w:rsidRPr="003A3A17" w:rsidRDefault="00F96B79" w:rsidP="00F248DA">
            <w:pPr>
              <w:pStyle w:val="ListParagraph"/>
              <w:numPr>
                <w:ilvl w:val="0"/>
                <w:numId w:val="36"/>
              </w:numPr>
              <w:tabs>
                <w:tab w:val="left" w:pos="4252"/>
              </w:tabs>
              <w:rPr>
                <w:lang w:val="lv-LV"/>
              </w:rPr>
            </w:pPr>
            <w:r w:rsidRPr="003A3A17">
              <w:rPr>
                <w:b/>
                <w:lang w:val="lv-LV"/>
              </w:rPr>
              <w:t>O</w:t>
            </w:r>
            <w:r w:rsidRPr="003A3A17">
              <w:rPr>
                <w:b/>
                <w:noProof/>
                <w:lang w:val="lv-LV"/>
              </w:rPr>
              <w:t>perāciju izstrāde un/vai īstenošana</w:t>
            </w:r>
            <w:r w:rsidRPr="003A3A17">
              <w:rPr>
                <w:lang w:val="lv-LV"/>
              </w:rPr>
              <w:t>. Nav attiecināms</w:t>
            </w:r>
          </w:p>
          <w:p w14:paraId="0918625F" w14:textId="1AC2D947" w:rsidR="00F96B79" w:rsidRPr="003A3A17" w:rsidRDefault="00F96B79" w:rsidP="00F248DA">
            <w:pPr>
              <w:pStyle w:val="ListParagraph"/>
              <w:numPr>
                <w:ilvl w:val="0"/>
                <w:numId w:val="36"/>
              </w:numPr>
              <w:tabs>
                <w:tab w:val="left" w:pos="4252"/>
              </w:tabs>
              <w:rPr>
                <w:lang w:val="lv-LV"/>
              </w:rPr>
            </w:pPr>
            <w:r w:rsidRPr="003A3A17">
              <w:rPr>
                <w:b/>
                <w:lang w:val="lv-LV"/>
              </w:rPr>
              <w:t>Citi jautājumi</w:t>
            </w:r>
            <w:r w:rsidRPr="003A3A17">
              <w:rPr>
                <w:lang w:val="lv-LV"/>
              </w:rPr>
              <w:t>. Nav attiecināms</w:t>
            </w:r>
          </w:p>
          <w:p w14:paraId="3CA0C82A" w14:textId="77777777" w:rsidR="00F96B79" w:rsidRPr="003A3A17" w:rsidRDefault="00F96B79" w:rsidP="00077A0B">
            <w:pPr>
              <w:keepNext/>
              <w:tabs>
                <w:tab w:val="left" w:pos="4252"/>
              </w:tabs>
              <w:jc w:val="center"/>
              <w:rPr>
                <w:u w:val="single"/>
                <w:lang w:val="lv-LV"/>
              </w:rPr>
            </w:pPr>
          </w:p>
          <w:p w14:paraId="4E290962" w14:textId="794C8E86" w:rsidR="00077A0B" w:rsidRPr="003A3A17" w:rsidRDefault="00077A0B" w:rsidP="00077A0B">
            <w:pPr>
              <w:keepNext/>
              <w:tabs>
                <w:tab w:val="left" w:pos="4252"/>
              </w:tabs>
              <w:jc w:val="center"/>
              <w:rPr>
                <w:u w:val="single"/>
                <w:lang w:val="lv-LV"/>
              </w:rPr>
            </w:pPr>
            <w:r w:rsidRPr="003A3A17">
              <w:rPr>
                <w:u w:val="single"/>
                <w:lang w:val="lv-LV"/>
              </w:rPr>
              <w:t>3. konkrēt</w:t>
            </w:r>
            <w:r w:rsidR="00A44041" w:rsidRPr="003A3A17">
              <w:rPr>
                <w:u w:val="single"/>
                <w:lang w:val="lv-LV"/>
              </w:rPr>
              <w:t>ais mērķis</w:t>
            </w:r>
          </w:p>
          <w:p w14:paraId="09049D8C" w14:textId="77777777" w:rsidR="00F96B79" w:rsidRPr="003A3A17" w:rsidRDefault="00F96B79" w:rsidP="00077A0B">
            <w:pPr>
              <w:keepNext/>
              <w:tabs>
                <w:tab w:val="left" w:pos="4252"/>
              </w:tabs>
              <w:jc w:val="center"/>
              <w:rPr>
                <w:u w:val="single"/>
                <w:lang w:val="lv-LV"/>
              </w:rPr>
            </w:pPr>
          </w:p>
          <w:p w14:paraId="6C7E0BE8" w14:textId="34E4BB80" w:rsidR="00997390" w:rsidRPr="003A3A17" w:rsidRDefault="00997390" w:rsidP="00F248DA">
            <w:pPr>
              <w:pStyle w:val="ListParagraph"/>
              <w:numPr>
                <w:ilvl w:val="0"/>
                <w:numId w:val="37"/>
              </w:numPr>
              <w:tabs>
                <w:tab w:val="left" w:pos="4252"/>
              </w:tabs>
              <w:rPr>
                <w:lang w:val="lv-LV"/>
              </w:rPr>
            </w:pPr>
            <w:r w:rsidRPr="003A3A17">
              <w:rPr>
                <w:b/>
                <w:bCs/>
                <w:lang w:val="lv-LV"/>
              </w:rPr>
              <w:t>Nepilnības sasniegumu paziņošanā</w:t>
            </w:r>
            <w:r w:rsidRPr="003A3A17">
              <w:rPr>
                <w:lang w:val="lv-LV"/>
              </w:rPr>
              <w:t xml:space="preserve">. Par </w:t>
            </w:r>
            <w:r w:rsidR="003A3A17" w:rsidRPr="003A3A17">
              <w:rPr>
                <w:lang w:val="lv-LV"/>
              </w:rPr>
              <w:t>iepriekš minētajiem</w:t>
            </w:r>
            <w:r w:rsidRPr="003A3A17">
              <w:rPr>
                <w:lang w:val="lv-LV"/>
              </w:rPr>
              <w:t xml:space="preserve"> iznākuma un rezultātu rādītājiem ir pieejama informācija un nav novērotu nepilnību to ziņošanā. Grāmatvedības periodā tika nodrošināts, ka finansējuma saņēmēji ziņos par attiecīgiem rādītājiem pa dzimumiem. </w:t>
            </w:r>
          </w:p>
          <w:p w14:paraId="0D74A579" w14:textId="7EC85D1C" w:rsidR="00997390" w:rsidRPr="003A3A17" w:rsidRDefault="00F96B79" w:rsidP="00F248DA">
            <w:pPr>
              <w:pStyle w:val="ListParagraph"/>
              <w:numPr>
                <w:ilvl w:val="0"/>
                <w:numId w:val="37"/>
              </w:numPr>
              <w:tabs>
                <w:tab w:val="left" w:pos="4252"/>
              </w:tabs>
              <w:rPr>
                <w:lang w:val="lv-LV"/>
              </w:rPr>
            </w:pPr>
            <w:proofErr w:type="spellStart"/>
            <w:r w:rsidRPr="003A3A17">
              <w:rPr>
                <w:b/>
                <w:lang w:val="lv-LV"/>
              </w:rPr>
              <w:t>Mērķrādītāju</w:t>
            </w:r>
            <w:proofErr w:type="spellEnd"/>
            <w:r w:rsidRPr="003A3A17">
              <w:rPr>
                <w:b/>
                <w:lang w:val="lv-LV"/>
              </w:rPr>
              <w:t xml:space="preserve"> noteikšanā</w:t>
            </w:r>
            <w:r w:rsidRPr="003A3A17">
              <w:rPr>
                <w:lang w:val="lv-LV"/>
              </w:rPr>
              <w:t>.</w:t>
            </w:r>
            <w:r w:rsidR="00CD26D4" w:rsidRPr="003A3A17">
              <w:rPr>
                <w:lang w:val="lv-LV"/>
              </w:rPr>
              <w:t xml:space="preserve"> </w:t>
            </w:r>
            <w:r w:rsidR="00CD26D4" w:rsidRPr="003A3A17">
              <w:rPr>
                <w:i/>
                <w:lang w:val="lv-LV"/>
              </w:rPr>
              <w:t xml:space="preserve">Skatīt informāciju par 1. konkrēto mērķi. </w:t>
            </w:r>
            <w:r w:rsidR="003A3A17" w:rsidRPr="003A3A17">
              <w:rPr>
                <w:lang w:val="lv-LV"/>
              </w:rPr>
              <w:t>Papildu izmaiņas</w:t>
            </w:r>
            <w:r w:rsidR="00CD26D4" w:rsidRPr="003A3A17">
              <w:rPr>
                <w:lang w:val="lv-LV"/>
              </w:rPr>
              <w:t xml:space="preserve"> konkrētajā mērķī sagaidāmas operāciju izstrādē un/vai īstenošanā – inflācijas dēļ nav iespējams pilnvērtīgi realizēt atsevišķus pasākumus, kas aprakstīti IDF programmā, piemēram, tikai daļēji varēs tikt īstenota programmā aprakstītā “Pretterorisma vienības (OMEGA) spēju stiprināšana, organizētās noziedzības un terorisma apkarošanas jomā, uzlabojot infrastruktūru un veicot mācības, kā arī ieviešot radiosignālu frekvenču kontroles sistēmu pretterorisma operācijās iesaistītajām valsts drošības iestādēm (VP/VDD), lai palīdzētu nodrošināt pretterorisma un speciālās operācijas”, kas negatīvi ietekmēs arī </w:t>
            </w:r>
            <w:proofErr w:type="spellStart"/>
            <w:r w:rsidR="00CD26D4" w:rsidRPr="003A3A17">
              <w:rPr>
                <w:lang w:val="lv-LV"/>
              </w:rPr>
              <w:t>mērķrādītāju</w:t>
            </w:r>
            <w:proofErr w:type="spellEnd"/>
            <w:r w:rsidR="00CD26D4" w:rsidRPr="003A3A17">
              <w:rPr>
                <w:lang w:val="lv-LV"/>
              </w:rPr>
              <w:t xml:space="preserve"> sasniegšanu. Tāpat mainīgās vajadzības un prioritātes nacionālā līmenī attiecībā uz nepieciešamību stiprināt kopējās valsts spējas izmeklēšanas jomā arī ietekmēs IDF programmu, paredzot papildu pasākumus tiesībaizsardzības augstākās izglītības attīstībā – Iekšējās drošības akadēmijas izveidei.</w:t>
            </w:r>
            <w:r w:rsidR="00997390" w:rsidRPr="003A3A17">
              <w:rPr>
                <w:lang w:val="lv-LV"/>
              </w:rPr>
              <w:t xml:space="preserve"> Izaicinājumu radīja IDF programmas rādītāju metodoloģijas izstrāde, ņemot vērā pieaugošo informācijas detalizāciju, salīdzinot ar iepriekšējo plānošanas periodu, un vadošās iestādes personāla mainību. Arī konteksta izmaiņas (skat. tālāk) liek pārdomāt, vai iepriekš noteiktie </w:t>
            </w:r>
            <w:proofErr w:type="spellStart"/>
            <w:r w:rsidR="00997390" w:rsidRPr="003A3A17">
              <w:rPr>
                <w:lang w:val="lv-LV"/>
              </w:rPr>
              <w:t>mērķrādītāji</w:t>
            </w:r>
            <w:proofErr w:type="spellEnd"/>
            <w:r w:rsidR="00997390" w:rsidRPr="003A3A17">
              <w:rPr>
                <w:lang w:val="lv-LV"/>
              </w:rPr>
              <w:t xml:space="preserve"> un to vērtības ir un turpinās būt aktuālas. Vienam iznākuma rādītājam (O.3.2 “Apmaiņas programmu/semināru/mācību apmeklējumu skaits”) ir pārsniegta ieplānotā starpposma un </w:t>
            </w:r>
            <w:proofErr w:type="spellStart"/>
            <w:r w:rsidR="00997390" w:rsidRPr="003A3A17">
              <w:rPr>
                <w:lang w:val="lv-LV"/>
              </w:rPr>
              <w:t>mērķrādītāja</w:t>
            </w:r>
            <w:proofErr w:type="spellEnd"/>
            <w:r w:rsidR="00997390" w:rsidRPr="003A3A17">
              <w:rPr>
                <w:lang w:val="lv-LV"/>
              </w:rPr>
              <w:t xml:space="preserve"> vērtība (skat. 1.1. apakšpunktu).</w:t>
            </w:r>
          </w:p>
          <w:p w14:paraId="417145D3" w14:textId="43C0C916" w:rsidR="00997390" w:rsidRPr="003A3A17" w:rsidRDefault="00F96B79" w:rsidP="00F248DA">
            <w:pPr>
              <w:pStyle w:val="ListParagraph"/>
              <w:numPr>
                <w:ilvl w:val="0"/>
                <w:numId w:val="37"/>
              </w:numPr>
              <w:tabs>
                <w:tab w:val="left" w:pos="4252"/>
              </w:tabs>
              <w:rPr>
                <w:lang w:val="lv-LV"/>
              </w:rPr>
            </w:pPr>
            <w:r w:rsidRPr="003A3A17">
              <w:rPr>
                <w:b/>
                <w:lang w:val="lv-LV"/>
              </w:rPr>
              <w:t>P</w:t>
            </w:r>
            <w:r w:rsidRPr="003A3A17">
              <w:rPr>
                <w:b/>
                <w:noProof/>
                <w:lang w:val="lv-LV"/>
              </w:rPr>
              <w:t>rocedūras kavējumi un administratīvās spējas</w:t>
            </w:r>
            <w:r w:rsidRPr="003A3A17">
              <w:rPr>
                <w:noProof/>
                <w:lang w:val="lv-LV"/>
              </w:rPr>
              <w:t xml:space="preserve">. </w:t>
            </w:r>
            <w:r w:rsidR="00DB1D8E">
              <w:rPr>
                <w:noProof/>
                <w:lang w:val="lv-LV"/>
              </w:rPr>
              <w:t>Nav attiecināms.</w:t>
            </w:r>
          </w:p>
          <w:p w14:paraId="0F2A13AC" w14:textId="46FF4992" w:rsidR="00997390" w:rsidRPr="003A3A17" w:rsidRDefault="00F96B79" w:rsidP="00F248DA">
            <w:pPr>
              <w:pStyle w:val="ListParagraph"/>
              <w:numPr>
                <w:ilvl w:val="0"/>
                <w:numId w:val="37"/>
              </w:numPr>
              <w:tabs>
                <w:tab w:val="left" w:pos="4252"/>
              </w:tabs>
              <w:rPr>
                <w:lang w:val="lv-LV"/>
              </w:rPr>
            </w:pPr>
            <w:r w:rsidRPr="003A3A17">
              <w:rPr>
                <w:b/>
                <w:lang w:val="lv-LV"/>
              </w:rPr>
              <w:t>Konteksta izmaiņas</w:t>
            </w:r>
            <w:r w:rsidR="00DB1D8E">
              <w:rPr>
                <w:b/>
                <w:lang w:val="lv-LV"/>
              </w:rPr>
              <w:t xml:space="preserve">. </w:t>
            </w:r>
            <w:r w:rsidR="00DB1D8E">
              <w:rPr>
                <w:bCs/>
                <w:lang w:val="lv-LV"/>
              </w:rPr>
              <w:t>Nav attiecināms</w:t>
            </w:r>
          </w:p>
          <w:p w14:paraId="3215F163" w14:textId="77777777" w:rsidR="00997390" w:rsidRPr="003A3A17" w:rsidRDefault="00F96B79" w:rsidP="00F248DA">
            <w:pPr>
              <w:pStyle w:val="ListParagraph"/>
              <w:numPr>
                <w:ilvl w:val="0"/>
                <w:numId w:val="37"/>
              </w:numPr>
              <w:tabs>
                <w:tab w:val="left" w:pos="4252"/>
              </w:tabs>
              <w:rPr>
                <w:lang w:val="lv-LV"/>
              </w:rPr>
            </w:pPr>
            <w:r w:rsidRPr="003A3A17">
              <w:rPr>
                <w:b/>
                <w:lang w:val="lv-LV"/>
              </w:rPr>
              <w:t>O</w:t>
            </w:r>
            <w:r w:rsidRPr="003A3A17">
              <w:rPr>
                <w:b/>
                <w:noProof/>
                <w:lang w:val="lv-LV"/>
              </w:rPr>
              <w:t>perāciju izstrāde un/vai īstenošana</w:t>
            </w:r>
            <w:r w:rsidRPr="003A3A17">
              <w:rPr>
                <w:lang w:val="lv-LV"/>
              </w:rPr>
              <w:t>. Nav attiecināms</w:t>
            </w:r>
          </w:p>
          <w:p w14:paraId="75D90450" w14:textId="3D2791EC" w:rsidR="00F96B79" w:rsidRPr="003A3A17" w:rsidRDefault="00F96B79" w:rsidP="00F248DA">
            <w:pPr>
              <w:pStyle w:val="ListParagraph"/>
              <w:numPr>
                <w:ilvl w:val="0"/>
                <w:numId w:val="37"/>
              </w:numPr>
              <w:tabs>
                <w:tab w:val="left" w:pos="4252"/>
              </w:tabs>
              <w:rPr>
                <w:lang w:val="lv-LV"/>
              </w:rPr>
            </w:pPr>
            <w:r w:rsidRPr="003A3A17">
              <w:rPr>
                <w:b/>
                <w:lang w:val="lv-LV"/>
              </w:rPr>
              <w:t>Citi jautājumi</w:t>
            </w:r>
            <w:r w:rsidRPr="003A3A17">
              <w:rPr>
                <w:lang w:val="lv-LV"/>
              </w:rPr>
              <w:t>. Nav attiecināms</w:t>
            </w:r>
          </w:p>
          <w:p w14:paraId="3559A606" w14:textId="3F15B645" w:rsidR="00077A0B" w:rsidRPr="003A3A17" w:rsidRDefault="00077A0B" w:rsidP="004063D5">
            <w:pPr>
              <w:keepNext/>
              <w:tabs>
                <w:tab w:val="left" w:pos="4252"/>
              </w:tabs>
              <w:rPr>
                <w:u w:val="single"/>
                <w:lang w:val="lv-LV"/>
              </w:rPr>
            </w:pPr>
          </w:p>
        </w:tc>
      </w:tr>
    </w:tbl>
    <w:p w14:paraId="63B7A76E" w14:textId="4E0308CE" w:rsidR="006A41E2" w:rsidRPr="003A3A17" w:rsidRDefault="00B32C89" w:rsidP="00B32C89">
      <w:pPr>
        <w:pStyle w:val="ManualHeading2"/>
        <w:rPr>
          <w:noProof/>
          <w:lang w:val="lv-LV"/>
        </w:rPr>
      </w:pPr>
      <w:r w:rsidRPr="003A3A17">
        <w:rPr>
          <w:lang w:val="lv-LV"/>
        </w:rPr>
        <w:lastRenderedPageBreak/>
        <w:t>1.3.</w:t>
      </w:r>
      <w:r w:rsidRPr="003A3A17">
        <w:rPr>
          <w:lang w:val="lv-LV"/>
        </w:rPr>
        <w:tab/>
      </w:r>
      <w:r w:rsidR="006A41E2" w:rsidRPr="003A3A17">
        <w:rPr>
          <w:noProof/>
          <w:lang w:val="lv-LV"/>
        </w:rPr>
        <w:t>Īpaši ietekmes mazināšanas pasākumi</w:t>
      </w:r>
    </w:p>
    <w:p w14:paraId="179F14CF" w14:textId="38FF5A59" w:rsidR="006A41E2" w:rsidRPr="003A3A17" w:rsidRDefault="006A41E2" w:rsidP="006A41E2">
      <w:pPr>
        <w:rPr>
          <w:noProof/>
          <w:lang w:val="lv-LV"/>
        </w:rPr>
      </w:pPr>
      <w:r w:rsidRPr="003A3A17">
        <w:rPr>
          <w:b/>
          <w:noProof/>
          <w:lang w:val="lv-LV"/>
        </w:rPr>
        <w:t>Attiecīgā gadījumā</w:t>
      </w:r>
      <w:r w:rsidRPr="003A3A17">
        <w:rPr>
          <w:noProof/>
          <w:lang w:val="lv-LV"/>
        </w:rPr>
        <w:t xml:space="preserve"> īsi aprakstiet, kā programmas aktivitātes palīdzējušas mazināt jebkādu būtisku un pēkšņu konteksta izmaiņu ietekmi, kas radīja neparedzētus drošības apdraudējumus. Ja iespējams, norādiet šim nolūkam pārdalīto resursu apjomu un saistītos iznākumus un rezultātus. </w:t>
      </w:r>
    </w:p>
    <w:p w14:paraId="4CEE079D" w14:textId="42839433" w:rsidR="006A41E2" w:rsidRPr="003A3A17" w:rsidRDefault="000E45B7" w:rsidP="006A41E2">
      <w:pPr>
        <w:rPr>
          <w:noProof/>
          <w:lang w:val="lv-LV"/>
        </w:rPr>
      </w:pPr>
      <w:r w:rsidRPr="003A3A17">
        <w:rPr>
          <w:noProof/>
          <w:lang w:val="lv-LV"/>
        </w:rPr>
        <w:t>Īpašu uzmanību pievērsiet aktivitātēm, kuras tiek veiktas neparedzētu drošības apdraudējumu mazināšanai un kurās gūtie sasniegumi var pilnībā neatspoguļoties kopējos iznākuma un rezultātu rādītājos.</w:t>
      </w:r>
    </w:p>
    <w:tbl>
      <w:tblPr>
        <w:tblStyle w:val="TableGrid"/>
        <w:tblW w:w="0" w:type="auto"/>
        <w:tblLook w:val="04A0" w:firstRow="1" w:lastRow="0" w:firstColumn="1" w:lastColumn="0" w:noHBand="0" w:noVBand="1"/>
      </w:tblPr>
      <w:tblGrid>
        <w:gridCol w:w="9063"/>
      </w:tblGrid>
      <w:tr w:rsidR="003A3A17" w:rsidRPr="00037FD2" w14:paraId="3A770DBE" w14:textId="77777777" w:rsidTr="00E45665">
        <w:tc>
          <w:tcPr>
            <w:tcW w:w="9289" w:type="dxa"/>
          </w:tcPr>
          <w:p w14:paraId="3BB0E605" w14:textId="77777777" w:rsidR="006A41E2" w:rsidRPr="003A3A17" w:rsidRDefault="00EA1A2F" w:rsidP="009E5C5D">
            <w:pPr>
              <w:pStyle w:val="Personnequisigne"/>
              <w:rPr>
                <w:noProof/>
                <w:lang w:val="lv-LV"/>
              </w:rPr>
            </w:pPr>
            <w:r w:rsidRPr="003A3A17">
              <w:rPr>
                <w:noProof/>
                <w:lang w:val="lv-LV"/>
              </w:rPr>
              <w:t>Šeit ierakstiet tekstu. Ne vairāk kā 4000 rakstzīmes.</w:t>
            </w:r>
          </w:p>
          <w:p w14:paraId="62A6F7A3" w14:textId="025EEDE1" w:rsidR="00A44041" w:rsidRPr="003A3A17" w:rsidRDefault="00A44041" w:rsidP="00A44041">
            <w:pPr>
              <w:pStyle w:val="Personnequisigne"/>
              <w:rPr>
                <w:lang w:val="lv-LV"/>
              </w:rPr>
            </w:pPr>
          </w:p>
        </w:tc>
      </w:tr>
    </w:tbl>
    <w:p w14:paraId="04571096" w14:textId="38AFDECC" w:rsidR="006A41E2" w:rsidRPr="003A3A17" w:rsidRDefault="00B32C89" w:rsidP="00B32C89">
      <w:pPr>
        <w:pStyle w:val="ManualHeading2"/>
        <w:rPr>
          <w:noProof/>
          <w:lang w:val="lv-LV"/>
        </w:rPr>
      </w:pPr>
      <w:r w:rsidRPr="003A3A17">
        <w:rPr>
          <w:lang w:val="lv-LV"/>
        </w:rPr>
        <w:lastRenderedPageBreak/>
        <w:t>1.4.</w:t>
      </w:r>
      <w:r w:rsidRPr="003A3A17">
        <w:rPr>
          <w:lang w:val="lv-LV"/>
        </w:rPr>
        <w:tab/>
      </w:r>
      <w:r w:rsidR="006A41E2" w:rsidRPr="003A3A17">
        <w:rPr>
          <w:noProof/>
          <w:lang w:val="lv-LV"/>
        </w:rPr>
        <w:t>Darbības atbalsts – Regulas (ES) 2021/1149 16. panta 3. punkts</w:t>
      </w:r>
    </w:p>
    <w:p w14:paraId="1B2406D0" w14:textId="7714FD12" w:rsidR="006A41E2" w:rsidRPr="003A3A17" w:rsidRDefault="00C62604" w:rsidP="006A41E2">
      <w:pPr>
        <w:rPr>
          <w:noProof/>
          <w:lang w:val="lv-LV"/>
        </w:rPr>
      </w:pPr>
      <w:r w:rsidRPr="003A3A17">
        <w:rPr>
          <w:noProof/>
          <w:lang w:val="lv-LV"/>
        </w:rPr>
        <w:t>Ja grāmatvedības gadā tika izmantots darbības atbalsts, aprakstiet, kā tas veicināja fonda mērķu sasniegšanu</w:t>
      </w:r>
      <w:r w:rsidRPr="003A3A17">
        <w:rPr>
          <w:rStyle w:val="FootnoteReference"/>
          <w:noProof/>
          <w:lang w:val="lv-LV"/>
        </w:rPr>
        <w:footnoteReference w:id="7"/>
      </w:r>
      <w:r w:rsidRPr="003A3A17">
        <w:rPr>
          <w:noProof/>
          <w:lang w:val="lv-LV"/>
        </w:rPr>
        <w:t xml:space="preserve">. </w:t>
      </w:r>
    </w:p>
    <w:p w14:paraId="50261581" w14:textId="535FD021" w:rsidR="006A41E2" w:rsidRPr="003A3A17" w:rsidRDefault="003A30A1" w:rsidP="006A41E2">
      <w:pPr>
        <w:rPr>
          <w:noProof/>
          <w:lang w:val="lv-LV"/>
        </w:rPr>
      </w:pPr>
      <w:r w:rsidRPr="003A3A17">
        <w:rPr>
          <w:noProof/>
          <w:lang w:val="lv-LV"/>
        </w:rPr>
        <w:t>Ja darbības atbalsta kopējās kumulatīvās attiecināmās izmaksas par operācijām, kas atlasītas atbalstam, grāmatvedības gada beigās pārsniedz 20 % no kopējā programmas piešķīruma, paskaidrojiet iemeslus. Turklāt, ja pastāv risks, ka līdz plānošanas perioda beigām robežvērtība tiks pārsniegta, aprakstiet pasākumus, kas paredzēti tā mazināšanai.</w:t>
      </w:r>
    </w:p>
    <w:tbl>
      <w:tblPr>
        <w:tblStyle w:val="TableGrid"/>
        <w:tblW w:w="0" w:type="auto"/>
        <w:tblLook w:val="04A0" w:firstRow="1" w:lastRow="0" w:firstColumn="1" w:lastColumn="0" w:noHBand="0" w:noVBand="1"/>
      </w:tblPr>
      <w:tblGrid>
        <w:gridCol w:w="9063"/>
      </w:tblGrid>
      <w:tr w:rsidR="003A3A17" w:rsidRPr="00037FD2" w14:paraId="74DFE95E" w14:textId="77777777" w:rsidTr="00E45665">
        <w:tc>
          <w:tcPr>
            <w:tcW w:w="9289" w:type="dxa"/>
          </w:tcPr>
          <w:p w14:paraId="6013DBB0" w14:textId="19DEA477" w:rsidR="00EC3F69" w:rsidRPr="003A3A17" w:rsidRDefault="00EA1A2F" w:rsidP="0010245F">
            <w:pPr>
              <w:pStyle w:val="Personnequisigne"/>
              <w:rPr>
                <w:noProof/>
                <w:lang w:val="lv-LV"/>
              </w:rPr>
            </w:pPr>
            <w:r w:rsidRPr="003A3A17">
              <w:rPr>
                <w:noProof/>
                <w:lang w:val="lv-LV"/>
              </w:rPr>
              <w:t>Šeit ierakstiet tekstu. Ne vairāk kā 4000 rakstzīmes.</w:t>
            </w:r>
          </w:p>
        </w:tc>
      </w:tr>
    </w:tbl>
    <w:p w14:paraId="4D08B3B5" w14:textId="76551267" w:rsidR="006A41E2" w:rsidRPr="003A3A17" w:rsidRDefault="00B32C89" w:rsidP="00B32C89">
      <w:pPr>
        <w:pStyle w:val="ManualHeading2"/>
        <w:rPr>
          <w:noProof/>
          <w:lang w:val="lv-LV"/>
        </w:rPr>
      </w:pPr>
      <w:r w:rsidRPr="003A3A17">
        <w:rPr>
          <w:lang w:val="lv-LV"/>
        </w:rPr>
        <w:t>1.5.</w:t>
      </w:r>
      <w:r w:rsidRPr="003A3A17">
        <w:rPr>
          <w:lang w:val="lv-LV"/>
        </w:rPr>
        <w:tab/>
      </w:r>
      <w:r w:rsidR="006A41E2" w:rsidRPr="003A3A17">
        <w:rPr>
          <w:noProof/>
          <w:lang w:val="lv-LV"/>
        </w:rPr>
        <w:t>Konkrētas darbības</w:t>
      </w:r>
      <w:r w:rsidR="006A41E2" w:rsidRPr="003A3A17">
        <w:rPr>
          <w:rStyle w:val="FootnoteReference"/>
          <w:noProof/>
          <w:lang w:val="lv-LV"/>
        </w:rPr>
        <w:footnoteReference w:id="8"/>
      </w:r>
      <w:r w:rsidR="006A41E2" w:rsidRPr="003A3A17">
        <w:rPr>
          <w:noProof/>
          <w:lang w:val="lv-LV"/>
        </w:rPr>
        <w:t xml:space="preserve"> </w:t>
      </w:r>
    </w:p>
    <w:p w14:paraId="61E30AA2" w14:textId="18CF7AE8" w:rsidR="00EA1A2F" w:rsidRPr="003A3A17" w:rsidRDefault="00EA1A2F" w:rsidP="00EA1A2F">
      <w:pPr>
        <w:rPr>
          <w:noProof/>
          <w:lang w:val="lv-LV"/>
        </w:rPr>
      </w:pPr>
      <w:r w:rsidRPr="003A3A17">
        <w:rPr>
          <w:noProof/>
          <w:lang w:val="lv-LV"/>
        </w:rPr>
        <w:t>Aprakstiet galvenos sasniegumus, kas gūti grāmatvedības gadā veiktajās konkrētajās darbībās, un to, kā tās ir veicinājušas programmas mērķu sasniegšanu un radījušas Savienības pievienoto vērtību</w:t>
      </w:r>
      <w:r w:rsidRPr="003A3A17">
        <w:rPr>
          <w:rStyle w:val="FootnoteReference"/>
          <w:noProof/>
          <w:lang w:val="lv-LV"/>
        </w:rPr>
        <w:footnoteReference w:id="9"/>
      </w:r>
      <w:r w:rsidRPr="003A3A17">
        <w:rPr>
          <w:noProof/>
          <w:lang w:val="lv-LV"/>
        </w:rPr>
        <w:t xml:space="preserve">. </w:t>
      </w:r>
    </w:p>
    <w:p w14:paraId="5E1BC78F" w14:textId="38698C31" w:rsidR="006A41E2" w:rsidRPr="003A3A17" w:rsidRDefault="00EA1A2F" w:rsidP="00EA1A2F">
      <w:pPr>
        <w:rPr>
          <w:noProof/>
          <w:lang w:val="lv-LV"/>
        </w:rPr>
      </w:pPr>
      <w:r w:rsidRPr="003A3A17">
        <w:rPr>
          <w:noProof/>
          <w:lang w:val="lv-LV"/>
        </w:rPr>
        <w:t>Aprakstiet, kā atsevišķās darbības ir pavirzījušās uz priekšu gan no procedūras</w:t>
      </w:r>
      <w:r w:rsidRPr="003A3A17">
        <w:rPr>
          <w:rStyle w:val="FootnoteReference"/>
          <w:noProof/>
          <w:lang w:val="lv-LV"/>
        </w:rPr>
        <w:footnoteReference w:id="10"/>
      </w:r>
      <w:r w:rsidRPr="003A3A17">
        <w:rPr>
          <w:noProof/>
          <w:lang w:val="lv-LV"/>
        </w:rPr>
        <w:t>, gan no operacionālā</w:t>
      </w:r>
      <w:r w:rsidRPr="003A3A17">
        <w:rPr>
          <w:rStyle w:val="FootnoteReference"/>
          <w:noProof/>
          <w:lang w:val="lv-LV"/>
        </w:rPr>
        <w:footnoteReference w:id="11"/>
      </w:r>
      <w:r w:rsidRPr="003A3A17">
        <w:rPr>
          <w:noProof/>
          <w:lang w:val="lv-LV"/>
        </w:rPr>
        <w:t xml:space="preserve"> viedokļa, un raksturojiet visas problēmas, kas ietekmē to sniegumu, jo īpaši līdzekļu nepietiekamas izmantošanas risku.</w:t>
      </w:r>
      <w:r w:rsidR="003A3A17">
        <w:rPr>
          <w:noProof/>
          <w:lang w:val="lv-LV"/>
        </w:rPr>
        <w:t xml:space="preserve"> </w:t>
      </w:r>
    </w:p>
    <w:p w14:paraId="6AC3A990" w14:textId="77777777" w:rsidR="006A41E2" w:rsidRPr="003A3A17" w:rsidRDefault="006A41E2" w:rsidP="006A41E2">
      <w:pPr>
        <w:rPr>
          <w:noProof/>
          <w:lang w:val="lv-LV"/>
        </w:rPr>
      </w:pPr>
      <w:r w:rsidRPr="003A3A17">
        <w:rPr>
          <w:noProof/>
          <w:lang w:val="lv-LV"/>
        </w:rPr>
        <w:t>Attiecīgā gadījumā sadaliet šo informāciju līdz projekta līmenim. Ja ir sagaidāma novirze no sākotnējā plāna, paskaidrojiet iemeslus, aprakstiet veiktos riska mazināšanas pasākumus un iesniedziet pārskatīto grafiku.</w:t>
      </w:r>
    </w:p>
    <w:tbl>
      <w:tblPr>
        <w:tblStyle w:val="TableGrid"/>
        <w:tblW w:w="0" w:type="auto"/>
        <w:tblLook w:val="04A0" w:firstRow="1" w:lastRow="0" w:firstColumn="1" w:lastColumn="0" w:noHBand="0" w:noVBand="1"/>
      </w:tblPr>
      <w:tblGrid>
        <w:gridCol w:w="9063"/>
      </w:tblGrid>
      <w:tr w:rsidR="003A3A17" w:rsidRPr="00037FD2" w14:paraId="7715AE3C" w14:textId="77777777" w:rsidTr="00E45665">
        <w:tc>
          <w:tcPr>
            <w:tcW w:w="9289" w:type="dxa"/>
          </w:tcPr>
          <w:p w14:paraId="4ADD1B20" w14:textId="77777777" w:rsidR="006A41E2" w:rsidRPr="003A3A17" w:rsidRDefault="00EA1A2F" w:rsidP="009E5C5D">
            <w:pPr>
              <w:pStyle w:val="Personnequisigne"/>
              <w:rPr>
                <w:noProof/>
                <w:lang w:val="lv-LV"/>
              </w:rPr>
            </w:pPr>
            <w:r w:rsidRPr="003A3A17">
              <w:rPr>
                <w:noProof/>
                <w:lang w:val="lv-LV"/>
              </w:rPr>
              <w:t>Šeit ierakstiet tekstu. Ne vairāk kā 5000 rakstzīmes.</w:t>
            </w:r>
          </w:p>
          <w:p w14:paraId="46DE3335" w14:textId="33E0E992" w:rsidR="00D069FF" w:rsidRPr="00DB1D8E" w:rsidRDefault="00B524AA" w:rsidP="00DB1D8E">
            <w:pPr>
              <w:pStyle w:val="Institutionquisigne"/>
              <w:spacing w:before="120" w:line="259" w:lineRule="auto"/>
              <w:ind w:firstLine="743"/>
              <w:rPr>
                <w:i w:val="0"/>
                <w:lang w:val="lv-LV"/>
              </w:rPr>
            </w:pPr>
            <w:r w:rsidRPr="003A3A17">
              <w:rPr>
                <w:i w:val="0"/>
                <w:lang w:val="lv-LV"/>
              </w:rPr>
              <w:t xml:space="preserve">2. konkrētā mērķa konkrētās darbības Nr. ISF/2022/SA/2.2.1 ietvaros grāmatvedības </w:t>
            </w:r>
            <w:r w:rsidR="00D069FF" w:rsidRPr="003A3A17">
              <w:rPr>
                <w:i w:val="0"/>
                <w:lang w:val="lv-LV"/>
              </w:rPr>
              <w:t>periodā</w:t>
            </w:r>
            <w:r w:rsidRPr="003A3A17">
              <w:rPr>
                <w:i w:val="0"/>
                <w:lang w:val="lv-LV"/>
              </w:rPr>
              <w:t xml:space="preserve"> </w:t>
            </w:r>
            <w:r w:rsidR="00D069FF" w:rsidRPr="003A3A17">
              <w:rPr>
                <w:i w:val="0"/>
                <w:lang w:val="lv-LV"/>
              </w:rPr>
              <w:t>tika īstenoti šādi projekti</w:t>
            </w:r>
            <w:r w:rsidR="00655A42" w:rsidRPr="003A3A17">
              <w:rPr>
                <w:i w:val="0"/>
                <w:lang w:val="lv-LV"/>
              </w:rPr>
              <w:t>:</w:t>
            </w:r>
          </w:p>
          <w:p w14:paraId="49A21304" w14:textId="3014BA3B" w:rsidR="00BC1BEF" w:rsidRPr="003A3A17" w:rsidRDefault="00BC1BEF" w:rsidP="00DB1D8E">
            <w:pPr>
              <w:pStyle w:val="Institutionquisigne"/>
              <w:spacing w:before="0" w:line="259" w:lineRule="auto"/>
              <w:ind w:firstLine="743"/>
              <w:rPr>
                <w:i w:val="0"/>
                <w:lang w:val="lv-LV"/>
              </w:rPr>
            </w:pPr>
            <w:r w:rsidRPr="003A3A17">
              <w:rPr>
                <w:i w:val="0"/>
                <w:lang w:val="lv-LV"/>
              </w:rPr>
              <w:t>1.</w:t>
            </w:r>
            <w:r w:rsidR="003A3A17">
              <w:rPr>
                <w:i w:val="0"/>
                <w:lang w:val="lv-LV"/>
              </w:rPr>
              <w:t xml:space="preserve"> </w:t>
            </w:r>
            <w:r w:rsidR="00DB1D8E">
              <w:rPr>
                <w:i w:val="0"/>
                <w:lang w:val="lv-LV"/>
              </w:rPr>
              <w:t>ti</w:t>
            </w:r>
            <w:r w:rsidR="00D069FF" w:rsidRPr="003A3A17">
              <w:rPr>
                <w:i w:val="0"/>
                <w:lang w:val="lv-LV"/>
              </w:rPr>
              <w:t>ka turpināts p</w:t>
            </w:r>
            <w:r w:rsidR="00371AD5" w:rsidRPr="003A3A17">
              <w:rPr>
                <w:i w:val="0"/>
                <w:lang w:val="lv-LV"/>
              </w:rPr>
              <w:t>rojekt</w:t>
            </w:r>
            <w:r w:rsidR="00D069FF" w:rsidRPr="003A3A17">
              <w:rPr>
                <w:i w:val="0"/>
                <w:lang w:val="lv-LV"/>
              </w:rPr>
              <w:t xml:space="preserve">s </w:t>
            </w:r>
            <w:r w:rsidR="00655A42" w:rsidRPr="003A3A17">
              <w:rPr>
                <w:i w:val="0"/>
                <w:lang w:val="lv-LV"/>
              </w:rPr>
              <w:t>“Akcīzes noziegumu apkarošana Baltijas reģionā”</w:t>
            </w:r>
            <w:r w:rsidR="00B524AA" w:rsidRPr="003A3A17">
              <w:rPr>
                <w:i w:val="0"/>
                <w:lang w:val="lv-LV"/>
              </w:rPr>
              <w:t>,</w:t>
            </w:r>
            <w:r w:rsidR="00655A42" w:rsidRPr="003A3A17">
              <w:rPr>
                <w:i w:val="0"/>
                <w:lang w:val="lv-LV"/>
              </w:rPr>
              <w:t xml:space="preserve"> </w:t>
            </w:r>
            <w:r w:rsidRPr="003A3A17">
              <w:rPr>
                <w:i w:val="0"/>
                <w:lang w:val="lv-LV"/>
              </w:rPr>
              <w:t xml:space="preserve">kuru īsteno Valsts ieņēmumu dienests ar mērķi mazināt nelegālo akcīzes preču apriti un akcīzes nodokļa plaisu Baltijas reģionā, paaugstinot </w:t>
            </w:r>
            <w:r w:rsidR="003A5978">
              <w:rPr>
                <w:i w:val="0"/>
                <w:lang w:val="lv-LV"/>
              </w:rPr>
              <w:t>TAI</w:t>
            </w:r>
            <w:r w:rsidR="003A5978" w:rsidRPr="003A3A17">
              <w:rPr>
                <w:i w:val="0"/>
                <w:lang w:val="lv-LV"/>
              </w:rPr>
              <w:t xml:space="preserve"> </w:t>
            </w:r>
            <w:r w:rsidRPr="003A3A17">
              <w:rPr>
                <w:i w:val="0"/>
                <w:lang w:val="lv-LV"/>
              </w:rPr>
              <w:t>darbības efektivitāti un tehniskās spējas cīņā pret ēnu ekonomiku, apkarojot nelegālo tabakas izstrādājumu, degvielas un alkohola kontrabandu Baltijas reģionā un ES</w:t>
            </w:r>
            <w:r w:rsidR="00D069FF" w:rsidRPr="003A3A17">
              <w:rPr>
                <w:i w:val="0"/>
                <w:lang w:val="lv-LV"/>
              </w:rPr>
              <w:t>.</w:t>
            </w:r>
          </w:p>
          <w:p w14:paraId="05C7A7EC" w14:textId="77777777" w:rsidR="00371AD5" w:rsidRPr="003A3A17" w:rsidRDefault="00371AD5" w:rsidP="00DB1D8E">
            <w:pPr>
              <w:pStyle w:val="Institutionquisigne"/>
              <w:spacing w:before="0"/>
              <w:ind w:firstLine="743"/>
              <w:rPr>
                <w:i w:val="0"/>
                <w:iCs/>
                <w:lang w:val="lv-LV" w:eastAsia="lv-LV"/>
              </w:rPr>
            </w:pPr>
            <w:r w:rsidRPr="003A3A17">
              <w:rPr>
                <w:i w:val="0"/>
                <w:iCs/>
                <w:lang w:val="lv-LV" w:eastAsia="lv-LV"/>
              </w:rPr>
              <w:t>Panāktais progress projekta ietvaros:</w:t>
            </w:r>
          </w:p>
          <w:p w14:paraId="5781C1E7" w14:textId="7578D209" w:rsidR="00371AD5" w:rsidRPr="003A3A17" w:rsidRDefault="00371AD5" w:rsidP="00F248DA">
            <w:pPr>
              <w:pStyle w:val="Personnequisigne"/>
              <w:numPr>
                <w:ilvl w:val="0"/>
                <w:numId w:val="34"/>
              </w:numPr>
              <w:jc w:val="both"/>
              <w:rPr>
                <w:i w:val="0"/>
                <w:iCs/>
                <w:lang w:val="lv-LV" w:eastAsia="lv-LV"/>
              </w:rPr>
            </w:pPr>
            <w:r w:rsidRPr="003A3A17">
              <w:rPr>
                <w:i w:val="0"/>
                <w:iCs/>
                <w:lang w:val="lv-LV" w:eastAsia="lv-LV"/>
              </w:rPr>
              <w:t xml:space="preserve">apmācīti 34 Latvijas </w:t>
            </w:r>
            <w:r w:rsidR="003A5978">
              <w:rPr>
                <w:i w:val="0"/>
                <w:iCs/>
                <w:lang w:val="lv-LV" w:eastAsia="lv-LV"/>
              </w:rPr>
              <w:t>TAI</w:t>
            </w:r>
            <w:r w:rsidR="003A5978" w:rsidRPr="003A3A17">
              <w:rPr>
                <w:i w:val="0"/>
                <w:iCs/>
                <w:lang w:val="lv-LV" w:eastAsia="lv-LV"/>
              </w:rPr>
              <w:t xml:space="preserve"> </w:t>
            </w:r>
            <w:r w:rsidRPr="003A3A17">
              <w:rPr>
                <w:i w:val="0"/>
                <w:iCs/>
                <w:lang w:val="lv-LV" w:eastAsia="lv-LV"/>
              </w:rPr>
              <w:t xml:space="preserve">darbinieki, kuri izmeklē </w:t>
            </w:r>
            <w:r w:rsidR="003A3A17" w:rsidRPr="003A3A17">
              <w:rPr>
                <w:i w:val="0"/>
                <w:iCs/>
                <w:lang w:val="lv-LV" w:eastAsia="lv-LV"/>
              </w:rPr>
              <w:t>noziedzīgus</w:t>
            </w:r>
            <w:r w:rsidRPr="003A3A17">
              <w:rPr>
                <w:i w:val="0"/>
                <w:iCs/>
                <w:lang w:val="lv-LV" w:eastAsia="lv-LV"/>
              </w:rPr>
              <w:t xml:space="preserve"> nodarījumus akcīzes preču aprites jomā;</w:t>
            </w:r>
          </w:p>
          <w:p w14:paraId="27F8AB76" w14:textId="77777777" w:rsidR="00371AD5" w:rsidRPr="003A3A17" w:rsidRDefault="00371AD5" w:rsidP="00F248DA">
            <w:pPr>
              <w:pStyle w:val="Personnequisigne"/>
              <w:numPr>
                <w:ilvl w:val="0"/>
                <w:numId w:val="34"/>
              </w:numPr>
              <w:jc w:val="both"/>
              <w:rPr>
                <w:i w:val="0"/>
                <w:iCs/>
                <w:lang w:val="lv-LV" w:eastAsia="lv-LV"/>
              </w:rPr>
            </w:pPr>
            <w:r w:rsidRPr="003A3A17">
              <w:rPr>
                <w:i w:val="0"/>
                <w:iCs/>
                <w:lang w:val="lv-LV" w:eastAsia="lv-LV"/>
              </w:rPr>
              <w:t xml:space="preserve">iegādāts tehniskais aprīkojums - iegādātas 12 termālās nakts redzamības iekārtas, viena </w:t>
            </w:r>
            <w:r w:rsidRPr="003A3A17">
              <w:rPr>
                <w:i w:val="0"/>
                <w:iCs/>
                <w:lang w:val="lv-LV"/>
              </w:rPr>
              <w:t>mazgabarīta skaņas un video ierakstīšanas (ar pārraidīšanas iespējām) aparatūra īstermiņa operatīvi-taktiskajām vajadzībām, viens sevišķā veidā veicamo pasākumu nodrošināšanai speciālā aprīkojuma programmatūras atjauninājums;</w:t>
            </w:r>
          </w:p>
          <w:p w14:paraId="09D6A0F7" w14:textId="77777777" w:rsidR="00371AD5" w:rsidRPr="003A3A17" w:rsidRDefault="00371AD5" w:rsidP="00F248DA">
            <w:pPr>
              <w:pStyle w:val="Institutionquisigne"/>
              <w:numPr>
                <w:ilvl w:val="0"/>
                <w:numId w:val="34"/>
              </w:numPr>
              <w:spacing w:before="0"/>
              <w:rPr>
                <w:i w:val="0"/>
                <w:iCs/>
                <w:lang w:val="lv-LV" w:eastAsia="lv-LV"/>
              </w:rPr>
            </w:pPr>
            <w:r w:rsidRPr="003A3A17">
              <w:rPr>
                <w:i w:val="0"/>
                <w:iCs/>
                <w:lang w:val="lv-LV" w:eastAsia="lv-LV"/>
              </w:rPr>
              <w:t>VID Nodokļu un muitas policijas pārvaldes (turpmāk – NMPP) darbinieki piedalījās 2 komandējumos – starptautiskās apmācībās Igaunijā un Pērnavā, lai apspriestu akcīzes noziegumu izmeklēšanas specifiku Igaunijā un Latvijā;</w:t>
            </w:r>
          </w:p>
          <w:p w14:paraId="09E9E812" w14:textId="77777777" w:rsidR="00371AD5" w:rsidRPr="003A3A17" w:rsidRDefault="00371AD5" w:rsidP="00F248DA">
            <w:pPr>
              <w:pStyle w:val="Personnequisigne"/>
              <w:numPr>
                <w:ilvl w:val="0"/>
                <w:numId w:val="34"/>
              </w:numPr>
              <w:jc w:val="both"/>
              <w:rPr>
                <w:i w:val="0"/>
                <w:iCs/>
                <w:lang w:val="lv-LV" w:eastAsia="lv-LV"/>
              </w:rPr>
            </w:pPr>
            <w:r w:rsidRPr="003A3A17">
              <w:rPr>
                <w:i w:val="0"/>
                <w:iCs/>
                <w:lang w:val="lv-LV" w:eastAsia="lv-LV"/>
              </w:rPr>
              <w:t>VID NMPP organizēju 1 starpinstitūciju sanāksmi Daugavpilī.</w:t>
            </w:r>
          </w:p>
          <w:p w14:paraId="6D9199D6" w14:textId="77777777" w:rsidR="00371AD5" w:rsidRPr="003A3A17" w:rsidRDefault="00371AD5" w:rsidP="00371AD5">
            <w:pPr>
              <w:pStyle w:val="Personnequisigne"/>
              <w:rPr>
                <w:lang w:val="lv-LV"/>
              </w:rPr>
            </w:pPr>
          </w:p>
          <w:p w14:paraId="354BF6BF" w14:textId="7B1665C8" w:rsidR="00371AD5" w:rsidRPr="003A3A17" w:rsidRDefault="00B524AA" w:rsidP="00DB1D8E">
            <w:pPr>
              <w:suppressAutoHyphens/>
              <w:spacing w:after="200"/>
              <w:ind w:firstLine="743"/>
              <w:textAlignment w:val="baseline"/>
              <w:rPr>
                <w:rFonts w:eastAsia="Times New Roman"/>
                <w:bCs/>
                <w:iCs/>
                <w:lang w:val="lv-LV"/>
              </w:rPr>
            </w:pPr>
            <w:r w:rsidRPr="003A3A17">
              <w:rPr>
                <w:bCs/>
                <w:lang w:val="lv-LV"/>
              </w:rPr>
              <w:t xml:space="preserve">2. </w:t>
            </w:r>
            <w:r w:rsidR="00DB1D8E">
              <w:rPr>
                <w:bCs/>
                <w:lang w:val="lv-LV"/>
              </w:rPr>
              <w:t>p</w:t>
            </w:r>
            <w:r w:rsidR="00371AD5" w:rsidRPr="003A3A17">
              <w:rPr>
                <w:bCs/>
                <w:lang w:val="lv-LV"/>
              </w:rPr>
              <w:t>rojektu</w:t>
            </w:r>
            <w:r w:rsidR="006A35F0" w:rsidRPr="003A3A17">
              <w:rPr>
                <w:bCs/>
                <w:lang w:val="lv-LV"/>
              </w:rPr>
              <w:t xml:space="preserve"> </w:t>
            </w:r>
            <w:r w:rsidRPr="003A3A17">
              <w:rPr>
                <w:bCs/>
                <w:lang w:val="lv-LV"/>
              </w:rPr>
              <w:t>“Eiropas Operatīvā Komanda”</w:t>
            </w:r>
            <w:r w:rsidR="00371AD5" w:rsidRPr="003A3A17">
              <w:rPr>
                <w:bCs/>
                <w:lang w:val="lv-LV"/>
              </w:rPr>
              <w:t xml:space="preserve"> </w:t>
            </w:r>
            <w:r w:rsidRPr="003A3A17">
              <w:rPr>
                <w:bCs/>
                <w:lang w:val="lv-LV"/>
              </w:rPr>
              <w:t>īsteno</w:t>
            </w:r>
            <w:r w:rsidRPr="003A3A17">
              <w:rPr>
                <w:lang w:val="lv-LV"/>
              </w:rPr>
              <w:t xml:space="preserve"> </w:t>
            </w:r>
            <w:r w:rsidR="009B18E0">
              <w:rPr>
                <w:lang w:val="lv-LV"/>
              </w:rPr>
              <w:t>VP</w:t>
            </w:r>
            <w:r w:rsidR="009B18E0" w:rsidRPr="003A3A17">
              <w:rPr>
                <w:lang w:val="lv-LV"/>
              </w:rPr>
              <w:t xml:space="preserve"> </w:t>
            </w:r>
            <w:r w:rsidRPr="003A3A17">
              <w:rPr>
                <w:lang w:val="lv-LV"/>
              </w:rPr>
              <w:t xml:space="preserve">ar mērķi stiprināt starptautisko sadarbību starp ES dalībvalstīm un trešajām pusēm, kuru mērķis ir augsta riska noziedznieku tīklu </w:t>
            </w:r>
            <w:r w:rsidRPr="003A3A17">
              <w:rPr>
                <w:lang w:val="lv-LV"/>
              </w:rPr>
              <w:lastRenderedPageBreak/>
              <w:t xml:space="preserve">atklāšana, kas uzturas Kosta </w:t>
            </w:r>
            <w:proofErr w:type="spellStart"/>
            <w:r w:rsidRPr="003A3A17">
              <w:rPr>
                <w:lang w:val="lv-LV"/>
              </w:rPr>
              <w:t>del</w:t>
            </w:r>
            <w:proofErr w:type="spellEnd"/>
            <w:r w:rsidRPr="003A3A17">
              <w:rPr>
                <w:lang w:val="lv-LV"/>
              </w:rPr>
              <w:t xml:space="preserve"> Solā, Spānijā un/vai to noziedznieku tīklu atklāšanu, kuri darbojas no šīs vietas un ietekmē ES un pārrobežu narkotiku tirgu</w:t>
            </w:r>
            <w:r w:rsidR="00371AD5" w:rsidRPr="003A3A17">
              <w:rPr>
                <w:i/>
                <w:lang w:val="lv-LV"/>
              </w:rPr>
              <w:t xml:space="preserve">. </w:t>
            </w:r>
            <w:r w:rsidR="00371AD5" w:rsidRPr="003A3A17">
              <w:rPr>
                <w:iCs/>
                <w:lang w:val="lv-LV"/>
              </w:rPr>
              <w:t xml:space="preserve">Projekta ievaros tiks </w:t>
            </w:r>
            <w:r w:rsidR="00371AD5" w:rsidRPr="003A3A17">
              <w:rPr>
                <w:rFonts w:eastAsia="Times New Roman"/>
                <w:bCs/>
                <w:iCs/>
                <w:lang w:val="lv-LV"/>
              </w:rPr>
              <w:t>izstrādāta un īstenota kopīga izmeklēšanas un operatīvā stratēģija pret galvenajām noziedzīgajām organizācijām un ar tām saistītajām darbībām, kas ietekmē arī citas ES dalībvalstis.</w:t>
            </w:r>
          </w:p>
          <w:p w14:paraId="3E45C338" w14:textId="77777777" w:rsidR="00371AD5" w:rsidRPr="003A3A17" w:rsidRDefault="00371AD5" w:rsidP="00DB1D8E">
            <w:pPr>
              <w:suppressAutoHyphens/>
              <w:spacing w:after="200"/>
              <w:ind w:firstLine="743"/>
              <w:textAlignment w:val="baseline"/>
              <w:rPr>
                <w:rFonts w:eastAsia="Times New Roman"/>
                <w:bCs/>
                <w:iCs/>
                <w:lang w:val="lv-LV"/>
              </w:rPr>
            </w:pPr>
            <w:r w:rsidRPr="003A3A17">
              <w:rPr>
                <w:rFonts w:eastAsia="Times New Roman"/>
                <w:bCs/>
                <w:iCs/>
                <w:lang w:val="lv-LV"/>
              </w:rPr>
              <w:t>Projekta ietvaros plānots:</w:t>
            </w:r>
          </w:p>
          <w:p w14:paraId="155F2046" w14:textId="2C6C9666" w:rsidR="00371AD5" w:rsidRPr="003A3A17" w:rsidRDefault="00371AD5" w:rsidP="00F248DA">
            <w:pPr>
              <w:pStyle w:val="ListParagraph"/>
              <w:numPr>
                <w:ilvl w:val="0"/>
                <w:numId w:val="34"/>
              </w:numPr>
              <w:ind w:right="-58"/>
              <w:rPr>
                <w:lang w:val="lv-LV"/>
              </w:rPr>
            </w:pPr>
            <w:r w:rsidRPr="003A3A17">
              <w:rPr>
                <w:lang w:val="lv-LV"/>
              </w:rPr>
              <w:t xml:space="preserve">atklāt un identificēt </w:t>
            </w:r>
            <w:proofErr w:type="spellStart"/>
            <w:r w:rsidRPr="003A3A17">
              <w:rPr>
                <w:i/>
                <w:lang w:val="lv-LV"/>
              </w:rPr>
              <w:t>High</w:t>
            </w:r>
            <w:proofErr w:type="spellEnd"/>
            <w:r w:rsidRPr="003A3A17">
              <w:rPr>
                <w:i/>
                <w:lang w:val="lv-LV"/>
              </w:rPr>
              <w:t xml:space="preserve"> </w:t>
            </w:r>
            <w:proofErr w:type="spellStart"/>
            <w:r w:rsidRPr="003A3A17">
              <w:rPr>
                <w:i/>
                <w:lang w:val="lv-LV"/>
              </w:rPr>
              <w:t>Value</w:t>
            </w:r>
            <w:proofErr w:type="spellEnd"/>
            <w:r w:rsidRPr="003A3A17">
              <w:rPr>
                <w:i/>
                <w:lang w:val="lv-LV"/>
              </w:rPr>
              <w:t xml:space="preserve"> Target </w:t>
            </w:r>
            <w:r w:rsidRPr="003A3A17">
              <w:rPr>
                <w:lang w:val="lv-LV"/>
              </w:rPr>
              <w:t xml:space="preserve">(turpmāk - HVT) organizēto noziedzības grupu dalībniekus un ar tiem saistītās personas, kuri noziedzīgus nodarījumus veic Spānijā, Costa </w:t>
            </w:r>
            <w:proofErr w:type="spellStart"/>
            <w:r w:rsidRPr="003A3A17">
              <w:rPr>
                <w:lang w:val="lv-LV"/>
              </w:rPr>
              <w:t>del</w:t>
            </w:r>
            <w:proofErr w:type="spellEnd"/>
            <w:r w:rsidRPr="003A3A17">
              <w:rPr>
                <w:lang w:val="lv-LV"/>
              </w:rPr>
              <w:t xml:space="preserve"> Sol reģionā, kā arī citur </w:t>
            </w:r>
            <w:r w:rsidR="003A5978">
              <w:rPr>
                <w:lang w:val="lv-LV"/>
              </w:rPr>
              <w:t>ES</w:t>
            </w:r>
            <w:r w:rsidR="003A5978" w:rsidRPr="003A3A17">
              <w:rPr>
                <w:lang w:val="lv-LV"/>
              </w:rPr>
              <w:t xml:space="preserve"> </w:t>
            </w:r>
            <w:r w:rsidRPr="003A3A17">
              <w:rPr>
                <w:lang w:val="lv-LV"/>
              </w:rPr>
              <w:t>teritorijā;</w:t>
            </w:r>
          </w:p>
          <w:p w14:paraId="7D65EA9A" w14:textId="77777777" w:rsidR="00371AD5" w:rsidRPr="003A3A17" w:rsidRDefault="00371AD5" w:rsidP="00F248DA">
            <w:pPr>
              <w:pStyle w:val="ListParagraph"/>
              <w:numPr>
                <w:ilvl w:val="0"/>
                <w:numId w:val="34"/>
              </w:numPr>
              <w:ind w:right="-58"/>
              <w:rPr>
                <w:lang w:val="lv-LV"/>
              </w:rPr>
            </w:pPr>
            <w:r w:rsidRPr="003A3A17">
              <w:rPr>
                <w:lang w:val="lv-LV"/>
              </w:rPr>
              <w:t>iegūt izlūkošanas informāciju par HVT veicot Spānijas likumos paredzētas operatīvās un izmeklēšanas darbības;</w:t>
            </w:r>
          </w:p>
          <w:p w14:paraId="49E61998" w14:textId="5CD297D3" w:rsidR="00371AD5" w:rsidRPr="003A3A17" w:rsidRDefault="00371AD5" w:rsidP="00F248DA">
            <w:pPr>
              <w:pStyle w:val="ListParagraph"/>
              <w:numPr>
                <w:ilvl w:val="0"/>
                <w:numId w:val="34"/>
              </w:numPr>
              <w:ind w:right="-58"/>
              <w:rPr>
                <w:lang w:val="lv-LV"/>
              </w:rPr>
            </w:pPr>
            <w:r w:rsidRPr="003A3A17">
              <w:rPr>
                <w:lang w:val="lv-LV"/>
              </w:rPr>
              <w:t xml:space="preserve">sniegt atbalstu izmeklēšanas darbību veikšanai Spānijas </w:t>
            </w:r>
            <w:r w:rsidR="003A5978">
              <w:rPr>
                <w:lang w:val="lv-LV"/>
              </w:rPr>
              <w:t>TAI</w:t>
            </w:r>
            <w:r w:rsidR="003A5978" w:rsidRPr="003A3A17">
              <w:rPr>
                <w:lang w:val="lv-LV"/>
              </w:rPr>
              <w:t xml:space="preserve"> </w:t>
            </w:r>
            <w:r w:rsidRPr="003A3A17">
              <w:rPr>
                <w:lang w:val="lv-LV"/>
              </w:rPr>
              <w:t>savas kompetences ietvaros;</w:t>
            </w:r>
          </w:p>
          <w:p w14:paraId="1B70BB9B" w14:textId="5CCF3130" w:rsidR="00371AD5" w:rsidRPr="003A3A17" w:rsidRDefault="00371AD5" w:rsidP="00F248DA">
            <w:pPr>
              <w:pStyle w:val="ListParagraph"/>
              <w:numPr>
                <w:ilvl w:val="0"/>
                <w:numId w:val="34"/>
              </w:numPr>
              <w:ind w:right="-58"/>
              <w:rPr>
                <w:lang w:val="lv-LV"/>
              </w:rPr>
            </w:pPr>
            <w:r w:rsidRPr="003A3A17">
              <w:rPr>
                <w:lang w:val="lv-LV"/>
              </w:rPr>
              <w:t xml:space="preserve">veikt </w:t>
            </w:r>
            <w:r w:rsidR="003A3A17" w:rsidRPr="003A3A17">
              <w:rPr>
                <w:lang w:val="lv-LV"/>
              </w:rPr>
              <w:t>citas operatīvās darba grupas</w:t>
            </w:r>
            <w:r w:rsidRPr="003A3A17">
              <w:rPr>
                <w:rFonts w:eastAsia="Times New Roman"/>
                <w:bCs/>
                <w:lang w:val="lv-LV"/>
              </w:rPr>
              <w:t xml:space="preserve"> (turpmāk - </w:t>
            </w:r>
            <w:r w:rsidRPr="003A3A17">
              <w:rPr>
                <w:lang w:val="lv-LV"/>
              </w:rPr>
              <w:t>OTF) EOT darbības plānā noteiktos uzdevumus.</w:t>
            </w:r>
          </w:p>
          <w:p w14:paraId="4ED9E58D" w14:textId="77777777" w:rsidR="00371AD5" w:rsidRPr="003A3A17" w:rsidRDefault="00371AD5" w:rsidP="00371AD5">
            <w:pPr>
              <w:pStyle w:val="Institutionquisigne"/>
              <w:spacing w:before="0"/>
              <w:rPr>
                <w:i w:val="0"/>
                <w:iCs/>
                <w:sz w:val="20"/>
                <w:szCs w:val="20"/>
                <w:lang w:val="lv-LV"/>
              </w:rPr>
            </w:pPr>
          </w:p>
          <w:p w14:paraId="2C64C854" w14:textId="16177284" w:rsidR="00655A42" w:rsidRPr="003A3A17" w:rsidRDefault="00371AD5" w:rsidP="00DB1D8E">
            <w:pPr>
              <w:pStyle w:val="Personnequisigne"/>
              <w:ind w:firstLine="743"/>
              <w:jc w:val="both"/>
              <w:rPr>
                <w:rFonts w:eastAsia="Times New Roman"/>
                <w:bCs/>
                <w:i w:val="0"/>
                <w:iCs/>
                <w:lang w:val="lv-LV" w:eastAsia="lv-LV"/>
              </w:rPr>
            </w:pPr>
            <w:r w:rsidRPr="003A3A17">
              <w:rPr>
                <w:i w:val="0"/>
                <w:iCs/>
                <w:szCs w:val="20"/>
                <w:lang w:val="lv-LV"/>
              </w:rPr>
              <w:t xml:space="preserve">Panāktais progress grāmatvedības periodā – Projekts noslēdzās. </w:t>
            </w:r>
            <w:r w:rsidRPr="003A3A17">
              <w:rPr>
                <w:rFonts w:eastAsia="Times New Roman"/>
                <w:bCs/>
                <w:i w:val="0"/>
                <w:iCs/>
                <w:lang w:val="lv-LV" w:eastAsia="lv-LV"/>
              </w:rPr>
              <w:t xml:space="preserve">Spānijas </w:t>
            </w:r>
            <w:r w:rsidR="009B18E0">
              <w:rPr>
                <w:rFonts w:eastAsia="Times New Roman"/>
                <w:bCs/>
                <w:i w:val="0"/>
                <w:iCs/>
                <w:lang w:val="lv-LV" w:eastAsia="lv-LV"/>
              </w:rPr>
              <w:t>VP</w:t>
            </w:r>
            <w:r w:rsidR="009B18E0" w:rsidRPr="003A3A17">
              <w:rPr>
                <w:rFonts w:eastAsia="Times New Roman"/>
                <w:bCs/>
                <w:i w:val="0"/>
                <w:iCs/>
                <w:lang w:val="lv-LV" w:eastAsia="lv-LV"/>
              </w:rPr>
              <w:t xml:space="preserve"> </w:t>
            </w:r>
            <w:r w:rsidRPr="003A3A17">
              <w:rPr>
                <w:rFonts w:eastAsia="Times New Roman"/>
                <w:bCs/>
                <w:i w:val="0"/>
                <w:iCs/>
                <w:lang w:val="lv-LV" w:eastAsia="lv-LV"/>
              </w:rPr>
              <w:t>vadībā ir bijusi dalība</w:t>
            </w:r>
            <w:r w:rsidRPr="003A3A17">
              <w:rPr>
                <w:rFonts w:eastAsia="Times New Roman"/>
                <w:b/>
                <w:bCs/>
                <w:i w:val="0"/>
                <w:iCs/>
                <w:lang w:val="lv-LV" w:eastAsia="lv-LV"/>
              </w:rPr>
              <w:t xml:space="preserve"> </w:t>
            </w:r>
            <w:r w:rsidRPr="003A3A17">
              <w:rPr>
                <w:rFonts w:eastAsia="Times New Roman"/>
                <w:bCs/>
                <w:i w:val="0"/>
                <w:iCs/>
                <w:lang w:val="lv-LV" w:eastAsia="lv-LV"/>
              </w:rPr>
              <w:t>29 izmeklēšan</w:t>
            </w:r>
            <w:r w:rsidR="008F0A35" w:rsidRPr="003A3A17">
              <w:rPr>
                <w:rFonts w:eastAsia="Times New Roman"/>
                <w:bCs/>
                <w:i w:val="0"/>
                <w:iCs/>
                <w:lang w:val="lv-LV" w:eastAsia="lv-LV"/>
              </w:rPr>
              <w:t>a</w:t>
            </w:r>
            <w:r w:rsidRPr="003A3A17">
              <w:rPr>
                <w:rFonts w:eastAsia="Times New Roman"/>
                <w:bCs/>
                <w:i w:val="0"/>
                <w:iCs/>
                <w:lang w:val="lv-LV" w:eastAsia="lv-LV"/>
              </w:rPr>
              <w:t xml:space="preserve">s, </w:t>
            </w:r>
            <w:r w:rsidR="003A3A17" w:rsidRPr="003A3A17">
              <w:rPr>
                <w:rFonts w:eastAsia="Times New Roman"/>
                <w:bCs/>
                <w:i w:val="0"/>
                <w:iCs/>
                <w:lang w:val="lv-LV" w:eastAsia="lv-LV"/>
              </w:rPr>
              <w:t>kurās kopumā tika veikti 232,</w:t>
            </w:r>
            <w:r w:rsidRPr="003A3A17">
              <w:rPr>
                <w:rFonts w:eastAsia="Times New Roman"/>
                <w:bCs/>
                <w:i w:val="0"/>
                <w:iCs/>
                <w:lang w:val="lv-LV" w:eastAsia="lv-LV"/>
              </w:rPr>
              <w:t xml:space="preserve"> aizdomās turēto aresti, 34 tautību noziedzīgo organizāciju dalībniekiem, tostarp 6 augsta ranga noziedzīgo tīku dalībnieki, veiktas 114 kratīšanas dzīves vietās un vairākas konfiskācijas, kurās kopumā tika izņemtas 5 tonnas kokaīna, 1,873 tonnas marihuānas, 7,3 tonnas hašiša, 1,73 kilogrami heroīna, 34 šaujamieroči, 66 </w:t>
            </w:r>
            <w:r w:rsidR="003A3A17" w:rsidRPr="003A3A17">
              <w:rPr>
                <w:rFonts w:eastAsia="Times New Roman"/>
                <w:bCs/>
                <w:i w:val="0"/>
                <w:iCs/>
                <w:lang w:val="lv-LV" w:eastAsia="lv-LV"/>
              </w:rPr>
              <w:t>transportlīdzekļi</w:t>
            </w:r>
            <w:r w:rsidRPr="003A3A17">
              <w:rPr>
                <w:rFonts w:eastAsia="Times New Roman"/>
                <w:bCs/>
                <w:i w:val="0"/>
                <w:iCs/>
                <w:lang w:val="lv-LV" w:eastAsia="lv-LV"/>
              </w:rPr>
              <w:t xml:space="preserve">, vairāk kā 5,2 miljoni </w:t>
            </w:r>
            <w:proofErr w:type="spellStart"/>
            <w:r w:rsidRPr="003A3A17">
              <w:rPr>
                <w:rFonts w:eastAsia="Times New Roman"/>
                <w:bCs/>
                <w:lang w:val="lv-LV" w:eastAsia="lv-LV"/>
              </w:rPr>
              <w:t>euro</w:t>
            </w:r>
            <w:proofErr w:type="spellEnd"/>
            <w:r w:rsidRPr="003A3A17">
              <w:rPr>
                <w:rFonts w:eastAsia="Times New Roman"/>
                <w:bCs/>
                <w:i w:val="0"/>
                <w:iCs/>
                <w:lang w:val="lv-LV" w:eastAsia="lv-LV"/>
              </w:rPr>
              <w:t xml:space="preserve"> skaidrā naudā, īpašumi, kuru aptuvenā vērtība sasniedz 11 miljonus </w:t>
            </w:r>
            <w:proofErr w:type="spellStart"/>
            <w:r w:rsidRPr="003A3A17">
              <w:rPr>
                <w:rFonts w:eastAsia="Times New Roman"/>
                <w:bCs/>
                <w:lang w:val="lv-LV" w:eastAsia="lv-LV"/>
              </w:rPr>
              <w:t>euro</w:t>
            </w:r>
            <w:proofErr w:type="spellEnd"/>
            <w:r w:rsidRPr="003A3A17">
              <w:rPr>
                <w:rFonts w:eastAsia="Times New Roman"/>
                <w:bCs/>
                <w:i w:val="0"/>
                <w:iCs/>
                <w:lang w:val="lv-LV" w:eastAsia="lv-LV"/>
              </w:rPr>
              <w:t xml:space="preserve"> un 10 miljoni </w:t>
            </w:r>
            <w:proofErr w:type="spellStart"/>
            <w:r w:rsidRPr="003A3A17">
              <w:rPr>
                <w:rFonts w:eastAsia="Times New Roman"/>
                <w:bCs/>
                <w:lang w:val="lv-LV" w:eastAsia="lv-LV"/>
              </w:rPr>
              <w:t>euro</w:t>
            </w:r>
            <w:proofErr w:type="spellEnd"/>
            <w:r w:rsidRPr="003A3A17">
              <w:rPr>
                <w:rFonts w:eastAsia="Times New Roman"/>
                <w:bCs/>
                <w:i w:val="0"/>
                <w:iCs/>
                <w:lang w:val="lv-LV" w:eastAsia="lv-LV"/>
              </w:rPr>
              <w:t xml:space="preserve"> iesaldēti bankas kontos</w:t>
            </w:r>
            <w:r w:rsidR="00D069FF" w:rsidRPr="003A3A17">
              <w:rPr>
                <w:rFonts w:eastAsia="Times New Roman"/>
                <w:bCs/>
                <w:i w:val="0"/>
                <w:iCs/>
                <w:lang w:val="lv-LV" w:eastAsia="lv-LV"/>
              </w:rPr>
              <w:t>.</w:t>
            </w:r>
          </w:p>
          <w:p w14:paraId="6F4CF9BD" w14:textId="12D26476" w:rsidR="00371AD5" w:rsidRPr="003A3A17" w:rsidRDefault="00371AD5" w:rsidP="00371AD5">
            <w:pPr>
              <w:pStyle w:val="Personnequisigne"/>
              <w:rPr>
                <w:lang w:val="lv-LV"/>
              </w:rPr>
            </w:pPr>
          </w:p>
        </w:tc>
      </w:tr>
    </w:tbl>
    <w:p w14:paraId="15CA2744" w14:textId="77777777" w:rsidR="006A41E2" w:rsidRPr="003A3A17" w:rsidRDefault="00544E72" w:rsidP="00930AD9">
      <w:pPr>
        <w:rPr>
          <w:noProof/>
          <w:lang w:val="lv-LV"/>
        </w:rPr>
      </w:pPr>
      <w:r w:rsidRPr="003A3A17">
        <w:rPr>
          <w:noProof/>
          <w:lang w:val="lv-LV"/>
        </w:rPr>
        <w:lastRenderedPageBreak/>
        <w:t>Tālāk sniegtajā tabulā ievadiet sīkākas ziņas par visām konkrētajām valsts darbībām, kas īstenotas programmā. Ziņošanai par konkrētām transnacionālām darbībām būtu jāatbilst izvēlētajam ziņošanas risinājumam</w:t>
      </w:r>
      <w:r w:rsidRPr="003A3A17">
        <w:rPr>
          <w:rStyle w:val="FootnoteReference"/>
          <w:noProof/>
          <w:lang w:val="lv-LV"/>
        </w:rPr>
        <w:footnoteReference w:id="12"/>
      </w:r>
      <w:r w:rsidRPr="003A3A17">
        <w:rPr>
          <w:noProof/>
          <w:lang w:val="lv-LV"/>
        </w:rPr>
        <w:t xml:space="preserve">. </w:t>
      </w:r>
    </w:p>
    <w:tbl>
      <w:tblPr>
        <w:tblStyle w:val="TableGrid"/>
        <w:tblW w:w="9242" w:type="dxa"/>
        <w:tblLayout w:type="fixed"/>
        <w:tblCellMar>
          <w:left w:w="28" w:type="dxa"/>
          <w:right w:w="28" w:type="dxa"/>
        </w:tblCellMar>
        <w:tblLook w:val="04A0" w:firstRow="1" w:lastRow="0" w:firstColumn="1" w:lastColumn="0" w:noHBand="0" w:noVBand="1"/>
      </w:tblPr>
      <w:tblGrid>
        <w:gridCol w:w="879"/>
        <w:gridCol w:w="992"/>
        <w:gridCol w:w="992"/>
        <w:gridCol w:w="1276"/>
        <w:gridCol w:w="1101"/>
        <w:gridCol w:w="1134"/>
        <w:gridCol w:w="1255"/>
        <w:gridCol w:w="1613"/>
      </w:tblGrid>
      <w:tr w:rsidR="003A3A17" w:rsidRPr="003A3A17" w14:paraId="6F748BB7" w14:textId="77777777" w:rsidTr="006F1BF7">
        <w:trPr>
          <w:trHeight w:val="431"/>
        </w:trPr>
        <w:tc>
          <w:tcPr>
            <w:tcW w:w="879" w:type="dxa"/>
            <w:vMerge w:val="restart"/>
            <w:vAlign w:val="center"/>
          </w:tcPr>
          <w:p w14:paraId="07510BBC" w14:textId="77777777" w:rsidR="006A41E2" w:rsidRPr="003A3A17" w:rsidRDefault="006A41E2" w:rsidP="00E45665">
            <w:pPr>
              <w:pStyle w:val="Institutionquisigne"/>
              <w:spacing w:before="0"/>
              <w:jc w:val="center"/>
              <w:rPr>
                <w:b/>
                <w:i w:val="0"/>
                <w:noProof/>
                <w:sz w:val="20"/>
                <w:lang w:val="lv-LV"/>
              </w:rPr>
            </w:pPr>
            <w:r w:rsidRPr="003A3A17">
              <w:rPr>
                <w:b/>
                <w:i w:val="0"/>
                <w:noProof/>
                <w:sz w:val="20"/>
                <w:lang w:val="lv-LV"/>
              </w:rPr>
              <w:t>Konkrētais mērķis</w:t>
            </w:r>
          </w:p>
        </w:tc>
        <w:tc>
          <w:tcPr>
            <w:tcW w:w="992" w:type="dxa"/>
            <w:vMerge w:val="restart"/>
            <w:vAlign w:val="center"/>
          </w:tcPr>
          <w:p w14:paraId="4B3BEF55" w14:textId="77777777" w:rsidR="006A41E2" w:rsidRPr="003A3A17" w:rsidRDefault="006A41E2" w:rsidP="00E45665">
            <w:pPr>
              <w:pStyle w:val="Institutionquisigne"/>
              <w:spacing w:before="0"/>
              <w:jc w:val="center"/>
              <w:rPr>
                <w:b/>
                <w:i w:val="0"/>
                <w:noProof/>
                <w:sz w:val="20"/>
                <w:lang w:val="lv-LV"/>
              </w:rPr>
            </w:pPr>
            <w:r w:rsidRPr="003A3A17">
              <w:rPr>
                <w:b/>
                <w:i w:val="0"/>
                <w:noProof/>
                <w:sz w:val="20"/>
                <w:lang w:val="lv-LV"/>
              </w:rPr>
              <w:t>Darbības nosaukums/ atsauces numurs</w:t>
            </w:r>
          </w:p>
        </w:tc>
        <w:tc>
          <w:tcPr>
            <w:tcW w:w="992" w:type="dxa"/>
            <w:vMerge w:val="restart"/>
            <w:vAlign w:val="center"/>
          </w:tcPr>
          <w:p w14:paraId="55596705" w14:textId="77777777" w:rsidR="006A41E2" w:rsidRPr="003A3A17" w:rsidRDefault="006A41E2" w:rsidP="00E45665">
            <w:pPr>
              <w:pStyle w:val="Institutionquisigne"/>
              <w:spacing w:before="0"/>
              <w:jc w:val="center"/>
              <w:rPr>
                <w:b/>
                <w:i w:val="0"/>
                <w:noProof/>
                <w:sz w:val="20"/>
                <w:lang w:val="lv-LV"/>
              </w:rPr>
            </w:pPr>
            <w:r w:rsidRPr="003A3A17">
              <w:rPr>
                <w:b/>
                <w:i w:val="0"/>
                <w:noProof/>
                <w:sz w:val="20"/>
                <w:lang w:val="lv-LV"/>
              </w:rPr>
              <w:t>Saņēmējs</w:t>
            </w:r>
          </w:p>
        </w:tc>
        <w:tc>
          <w:tcPr>
            <w:tcW w:w="1276" w:type="dxa"/>
            <w:vMerge w:val="restart"/>
            <w:vAlign w:val="center"/>
          </w:tcPr>
          <w:p w14:paraId="61D20E2B" w14:textId="77777777" w:rsidR="006A41E2" w:rsidRPr="003A3A17" w:rsidRDefault="006A41E2" w:rsidP="00E45665">
            <w:pPr>
              <w:pStyle w:val="Institutionquisigne"/>
              <w:spacing w:before="0"/>
              <w:jc w:val="center"/>
              <w:rPr>
                <w:b/>
                <w:i w:val="0"/>
                <w:noProof/>
                <w:sz w:val="20"/>
                <w:lang w:val="lv-LV"/>
              </w:rPr>
            </w:pPr>
            <w:r w:rsidRPr="003A3A17">
              <w:rPr>
                <w:b/>
                <w:i w:val="0"/>
                <w:noProof/>
                <w:sz w:val="20"/>
                <w:lang w:val="lv-LV"/>
              </w:rPr>
              <w:t>Īstenošanas periods</w:t>
            </w:r>
          </w:p>
        </w:tc>
        <w:tc>
          <w:tcPr>
            <w:tcW w:w="1101" w:type="dxa"/>
            <w:vMerge w:val="restart"/>
            <w:vAlign w:val="center"/>
          </w:tcPr>
          <w:p w14:paraId="52768247" w14:textId="7BC630A1" w:rsidR="006A41E2" w:rsidRPr="00C85B28" w:rsidRDefault="006A41E2" w:rsidP="006A41E2">
            <w:pPr>
              <w:pStyle w:val="Institutionquisigne"/>
              <w:spacing w:before="0"/>
              <w:jc w:val="center"/>
              <w:rPr>
                <w:b/>
                <w:i w:val="0"/>
                <w:noProof/>
                <w:sz w:val="20"/>
                <w:lang w:val="lv-LV"/>
              </w:rPr>
            </w:pPr>
            <w:r w:rsidRPr="00C85B28">
              <w:rPr>
                <w:b/>
                <w:i w:val="0"/>
                <w:noProof/>
                <w:sz w:val="20"/>
                <w:lang w:val="lv-LV"/>
              </w:rPr>
              <w:t>Attiecināmās izmaksas</w:t>
            </w:r>
            <w:r w:rsidR="006F1BF7">
              <w:rPr>
                <w:b/>
                <w:i w:val="0"/>
                <w:noProof/>
                <w:sz w:val="20"/>
                <w:lang w:val="lv-LV"/>
              </w:rPr>
              <w:t xml:space="preserve"> uz 30.06.2024</w:t>
            </w:r>
            <w:r w:rsidR="001E7E11" w:rsidRPr="00C85B28">
              <w:rPr>
                <w:b/>
                <w:i w:val="0"/>
                <w:noProof/>
                <w:sz w:val="20"/>
                <w:lang w:val="lv-LV"/>
              </w:rPr>
              <w:t xml:space="preserve">, </w:t>
            </w:r>
            <w:r w:rsidR="001E7E11" w:rsidRPr="00C85B28">
              <w:rPr>
                <w:b/>
                <w:iCs/>
                <w:noProof/>
                <w:sz w:val="20"/>
                <w:lang w:val="lv-LV"/>
              </w:rPr>
              <w:t>euro</w:t>
            </w:r>
            <w:r w:rsidRPr="00C85B28">
              <w:rPr>
                <w:rStyle w:val="FootnoteReference"/>
                <w:b/>
                <w:i w:val="0"/>
                <w:noProof/>
                <w:sz w:val="20"/>
                <w:lang w:val="lv-LV"/>
              </w:rPr>
              <w:footnoteReference w:id="13"/>
            </w:r>
          </w:p>
        </w:tc>
        <w:tc>
          <w:tcPr>
            <w:tcW w:w="1134" w:type="dxa"/>
            <w:vMerge w:val="restart"/>
            <w:vAlign w:val="center"/>
          </w:tcPr>
          <w:p w14:paraId="2770C4E5" w14:textId="4575AF53" w:rsidR="006A41E2" w:rsidRPr="00C85B28" w:rsidRDefault="006A41E2" w:rsidP="006A41E2">
            <w:pPr>
              <w:pStyle w:val="Institutionquisigne"/>
              <w:spacing w:before="0"/>
              <w:jc w:val="center"/>
              <w:rPr>
                <w:b/>
                <w:i w:val="0"/>
                <w:noProof/>
                <w:sz w:val="20"/>
                <w:lang w:val="lv-LV"/>
              </w:rPr>
            </w:pPr>
            <w:r w:rsidRPr="00C85B28">
              <w:rPr>
                <w:b/>
                <w:i w:val="0"/>
                <w:noProof/>
                <w:sz w:val="20"/>
                <w:lang w:val="lv-LV"/>
              </w:rPr>
              <w:t>Attiecināmie izdevumi</w:t>
            </w:r>
            <w:r w:rsidR="006F1BF7">
              <w:rPr>
                <w:b/>
                <w:i w:val="0"/>
                <w:noProof/>
                <w:sz w:val="20"/>
                <w:lang w:val="lv-LV"/>
              </w:rPr>
              <w:t xml:space="preserve"> uz 30.06.2024</w:t>
            </w:r>
            <w:r w:rsidR="001E7E11" w:rsidRPr="00C85B28">
              <w:rPr>
                <w:b/>
                <w:i w:val="0"/>
                <w:noProof/>
                <w:sz w:val="20"/>
                <w:lang w:val="lv-LV"/>
              </w:rPr>
              <w:t xml:space="preserve">, </w:t>
            </w:r>
            <w:r w:rsidR="001E7E11" w:rsidRPr="00C85B28">
              <w:rPr>
                <w:b/>
                <w:iCs/>
                <w:noProof/>
                <w:sz w:val="20"/>
                <w:lang w:val="lv-LV"/>
              </w:rPr>
              <w:t>euro</w:t>
            </w:r>
            <w:r w:rsidRPr="00C85B28">
              <w:rPr>
                <w:rStyle w:val="FootnoteReference"/>
                <w:b/>
                <w:i w:val="0"/>
                <w:noProof/>
                <w:sz w:val="20"/>
                <w:szCs w:val="20"/>
                <w:lang w:val="lv-LV"/>
              </w:rPr>
              <w:footnoteReference w:id="14"/>
            </w:r>
          </w:p>
        </w:tc>
        <w:tc>
          <w:tcPr>
            <w:tcW w:w="2868" w:type="dxa"/>
            <w:gridSpan w:val="2"/>
            <w:vAlign w:val="center"/>
          </w:tcPr>
          <w:p w14:paraId="2C3E5CA2" w14:textId="77777777" w:rsidR="006A41E2" w:rsidRPr="003A3A17" w:rsidRDefault="006A41E2" w:rsidP="006A41E2">
            <w:pPr>
              <w:pStyle w:val="Institutionquisigne"/>
              <w:spacing w:before="0"/>
              <w:jc w:val="center"/>
              <w:rPr>
                <w:b/>
                <w:i w:val="0"/>
                <w:noProof/>
                <w:sz w:val="20"/>
                <w:lang w:val="lv-LV"/>
              </w:rPr>
            </w:pPr>
            <w:r w:rsidRPr="003A3A17">
              <w:rPr>
                <w:b/>
                <w:i w:val="0"/>
                <w:noProof/>
                <w:sz w:val="20"/>
                <w:lang w:val="lv-LV"/>
              </w:rPr>
              <w:t>Progress attiecīgo kopīgo un/vai konkrēto programmas rādītāju sasniegšanā</w:t>
            </w:r>
            <w:r w:rsidRPr="003A3A17">
              <w:rPr>
                <w:rStyle w:val="FootnoteReference"/>
                <w:b/>
                <w:i w:val="0"/>
                <w:noProof/>
                <w:sz w:val="20"/>
                <w:lang w:val="lv-LV"/>
              </w:rPr>
              <w:footnoteReference w:id="15"/>
            </w:r>
          </w:p>
        </w:tc>
      </w:tr>
      <w:tr w:rsidR="003A3A17" w:rsidRPr="003A3A17" w14:paraId="3FD169D8" w14:textId="77777777" w:rsidTr="006F1BF7">
        <w:tc>
          <w:tcPr>
            <w:tcW w:w="879" w:type="dxa"/>
            <w:vMerge/>
            <w:vAlign w:val="center"/>
          </w:tcPr>
          <w:p w14:paraId="6520D5A7" w14:textId="77777777" w:rsidR="006A41E2" w:rsidRPr="003A3A17" w:rsidRDefault="006A41E2" w:rsidP="00E45665">
            <w:pPr>
              <w:pStyle w:val="Institutionquisigne"/>
              <w:spacing w:before="0"/>
              <w:jc w:val="center"/>
              <w:rPr>
                <w:b/>
                <w:i w:val="0"/>
                <w:noProof/>
                <w:lang w:val="lv-LV"/>
              </w:rPr>
            </w:pPr>
          </w:p>
        </w:tc>
        <w:tc>
          <w:tcPr>
            <w:tcW w:w="992" w:type="dxa"/>
            <w:vMerge/>
            <w:vAlign w:val="center"/>
          </w:tcPr>
          <w:p w14:paraId="37B15058" w14:textId="77777777" w:rsidR="006A41E2" w:rsidRPr="003A3A17" w:rsidRDefault="006A41E2" w:rsidP="00E45665">
            <w:pPr>
              <w:pStyle w:val="Institutionquisigne"/>
              <w:spacing w:before="0"/>
              <w:jc w:val="center"/>
              <w:rPr>
                <w:b/>
                <w:noProof/>
                <w:lang w:val="lv-LV"/>
              </w:rPr>
            </w:pPr>
          </w:p>
        </w:tc>
        <w:tc>
          <w:tcPr>
            <w:tcW w:w="992" w:type="dxa"/>
            <w:vMerge/>
            <w:vAlign w:val="center"/>
          </w:tcPr>
          <w:p w14:paraId="2864104B" w14:textId="77777777" w:rsidR="006A41E2" w:rsidRPr="003A3A17" w:rsidRDefault="006A41E2" w:rsidP="00E45665">
            <w:pPr>
              <w:pStyle w:val="Institutionquisigne"/>
              <w:spacing w:before="0"/>
              <w:jc w:val="center"/>
              <w:rPr>
                <w:b/>
                <w:noProof/>
                <w:lang w:val="lv-LV"/>
              </w:rPr>
            </w:pPr>
          </w:p>
        </w:tc>
        <w:tc>
          <w:tcPr>
            <w:tcW w:w="1276" w:type="dxa"/>
            <w:vMerge/>
            <w:vAlign w:val="center"/>
          </w:tcPr>
          <w:p w14:paraId="21D1DC4C" w14:textId="77777777" w:rsidR="006A41E2" w:rsidRPr="003A3A17" w:rsidRDefault="006A41E2" w:rsidP="00E45665">
            <w:pPr>
              <w:pStyle w:val="Institutionquisigne"/>
              <w:spacing w:before="0"/>
              <w:jc w:val="center"/>
              <w:rPr>
                <w:b/>
                <w:noProof/>
                <w:lang w:val="lv-LV"/>
              </w:rPr>
            </w:pPr>
          </w:p>
        </w:tc>
        <w:tc>
          <w:tcPr>
            <w:tcW w:w="1101" w:type="dxa"/>
            <w:vMerge/>
            <w:vAlign w:val="center"/>
          </w:tcPr>
          <w:p w14:paraId="0AFD1B4A" w14:textId="77777777" w:rsidR="006A41E2" w:rsidRPr="003A3A17" w:rsidRDefault="006A41E2" w:rsidP="00E45665">
            <w:pPr>
              <w:pStyle w:val="Institutionquisigne"/>
              <w:spacing w:before="0"/>
              <w:jc w:val="center"/>
              <w:rPr>
                <w:b/>
                <w:noProof/>
                <w:lang w:val="lv-LV"/>
              </w:rPr>
            </w:pPr>
          </w:p>
        </w:tc>
        <w:tc>
          <w:tcPr>
            <w:tcW w:w="1134" w:type="dxa"/>
            <w:vMerge/>
            <w:vAlign w:val="center"/>
          </w:tcPr>
          <w:p w14:paraId="2B0CAAE5" w14:textId="77777777" w:rsidR="006A41E2" w:rsidRPr="003A3A17" w:rsidRDefault="006A41E2" w:rsidP="00E45665">
            <w:pPr>
              <w:pStyle w:val="Institutionquisigne"/>
              <w:spacing w:before="0"/>
              <w:jc w:val="center"/>
              <w:rPr>
                <w:b/>
                <w:noProof/>
                <w:lang w:val="lv-LV"/>
              </w:rPr>
            </w:pPr>
          </w:p>
        </w:tc>
        <w:tc>
          <w:tcPr>
            <w:tcW w:w="1255" w:type="dxa"/>
            <w:vAlign w:val="center"/>
          </w:tcPr>
          <w:p w14:paraId="2004D1D5" w14:textId="77777777" w:rsidR="006A41E2" w:rsidRPr="003A3A17" w:rsidRDefault="006A41E2" w:rsidP="00E45665">
            <w:pPr>
              <w:pStyle w:val="Institutionquisigne"/>
              <w:spacing w:before="0"/>
              <w:jc w:val="center"/>
              <w:rPr>
                <w:b/>
                <w:i w:val="0"/>
                <w:noProof/>
                <w:sz w:val="20"/>
                <w:lang w:val="lv-LV"/>
              </w:rPr>
            </w:pPr>
            <w:r w:rsidRPr="003A3A17">
              <w:rPr>
                <w:b/>
                <w:i w:val="0"/>
                <w:noProof/>
                <w:sz w:val="20"/>
                <w:lang w:val="lv-LV"/>
              </w:rPr>
              <w:t>Iznākums</w:t>
            </w:r>
          </w:p>
        </w:tc>
        <w:tc>
          <w:tcPr>
            <w:tcW w:w="1613" w:type="dxa"/>
            <w:vAlign w:val="center"/>
          </w:tcPr>
          <w:p w14:paraId="73F2AC85" w14:textId="77777777" w:rsidR="006A41E2" w:rsidRPr="003A3A17" w:rsidRDefault="006A41E2" w:rsidP="00E45665">
            <w:pPr>
              <w:pStyle w:val="Institutionquisigne"/>
              <w:spacing w:before="0"/>
              <w:jc w:val="center"/>
              <w:rPr>
                <w:b/>
                <w:i w:val="0"/>
                <w:noProof/>
                <w:sz w:val="20"/>
                <w:lang w:val="lv-LV"/>
              </w:rPr>
            </w:pPr>
            <w:r w:rsidRPr="003A3A17">
              <w:rPr>
                <w:b/>
                <w:i w:val="0"/>
                <w:noProof/>
                <w:sz w:val="20"/>
                <w:lang w:val="lv-LV"/>
              </w:rPr>
              <w:t>Rezultāts</w:t>
            </w:r>
          </w:p>
        </w:tc>
      </w:tr>
      <w:tr w:rsidR="003A3A17" w:rsidRPr="003A3A17" w14:paraId="3114EAEF" w14:textId="77777777" w:rsidTr="006F1BF7">
        <w:tc>
          <w:tcPr>
            <w:tcW w:w="879" w:type="dxa"/>
            <w:vAlign w:val="center"/>
          </w:tcPr>
          <w:p w14:paraId="5FD6634D" w14:textId="3688E1EF" w:rsidR="006A41E2" w:rsidRPr="003A3A17" w:rsidRDefault="005B2FA1" w:rsidP="00CD2BC1">
            <w:pPr>
              <w:pStyle w:val="Institutionquisigne"/>
              <w:spacing w:before="0"/>
              <w:jc w:val="center"/>
              <w:rPr>
                <w:i w:val="0"/>
                <w:noProof/>
                <w:sz w:val="20"/>
                <w:szCs w:val="20"/>
                <w:lang w:val="lv-LV"/>
              </w:rPr>
            </w:pPr>
            <w:r w:rsidRPr="003A3A17">
              <w:rPr>
                <w:rFonts w:eastAsia="Times New Roman"/>
                <w:i w:val="0"/>
                <w:sz w:val="20"/>
                <w:szCs w:val="20"/>
                <w:lang w:val="lv-LV" w:eastAsia="lv-LV"/>
              </w:rPr>
              <w:t>Pārrobežu sadarbība</w:t>
            </w:r>
          </w:p>
        </w:tc>
        <w:tc>
          <w:tcPr>
            <w:tcW w:w="992" w:type="dxa"/>
            <w:vAlign w:val="center"/>
          </w:tcPr>
          <w:p w14:paraId="3EAC6707" w14:textId="005F18D0" w:rsidR="006A41E2" w:rsidRPr="003A3A17" w:rsidRDefault="005B2FA1" w:rsidP="00CD2BC1">
            <w:pPr>
              <w:pStyle w:val="Institutionquisigne"/>
              <w:spacing w:before="0"/>
              <w:jc w:val="center"/>
              <w:rPr>
                <w:i w:val="0"/>
                <w:noProof/>
                <w:sz w:val="20"/>
                <w:szCs w:val="20"/>
                <w:lang w:val="lv-LV"/>
              </w:rPr>
            </w:pPr>
            <w:r w:rsidRPr="003A3A17">
              <w:rPr>
                <w:rFonts w:eastAsia="Times New Roman"/>
                <w:i w:val="0"/>
                <w:sz w:val="20"/>
                <w:szCs w:val="20"/>
                <w:lang w:val="lv-LV" w:eastAsia="lv-LV"/>
              </w:rPr>
              <w:t>ISF/2022/SA/2.2.1/012</w:t>
            </w:r>
          </w:p>
        </w:tc>
        <w:tc>
          <w:tcPr>
            <w:tcW w:w="992" w:type="dxa"/>
            <w:vAlign w:val="center"/>
          </w:tcPr>
          <w:p w14:paraId="76F93A27" w14:textId="1C90E4E8" w:rsidR="006A41E2" w:rsidRPr="003A3A17" w:rsidRDefault="009B18E0" w:rsidP="00CD2BC1">
            <w:pPr>
              <w:pStyle w:val="Institutionquisigne"/>
              <w:spacing w:before="0"/>
              <w:jc w:val="center"/>
              <w:rPr>
                <w:i w:val="0"/>
                <w:noProof/>
                <w:sz w:val="20"/>
                <w:szCs w:val="20"/>
                <w:lang w:val="lv-LV"/>
              </w:rPr>
            </w:pPr>
            <w:r>
              <w:rPr>
                <w:i w:val="0"/>
                <w:noProof/>
                <w:sz w:val="20"/>
                <w:szCs w:val="20"/>
                <w:lang w:val="lv-LV"/>
              </w:rPr>
              <w:t>VP</w:t>
            </w:r>
          </w:p>
        </w:tc>
        <w:tc>
          <w:tcPr>
            <w:tcW w:w="1276" w:type="dxa"/>
            <w:vAlign w:val="center"/>
          </w:tcPr>
          <w:p w14:paraId="15047366" w14:textId="0C200103" w:rsidR="006A41E2" w:rsidRPr="003A3A17" w:rsidRDefault="005B2FA1" w:rsidP="00CD2BC1">
            <w:pPr>
              <w:pStyle w:val="Institutionquisigne"/>
              <w:spacing w:before="0"/>
              <w:jc w:val="center"/>
              <w:rPr>
                <w:i w:val="0"/>
                <w:noProof/>
                <w:sz w:val="20"/>
                <w:szCs w:val="20"/>
                <w:lang w:val="lv-LV"/>
              </w:rPr>
            </w:pPr>
            <w:r w:rsidRPr="003A3A17">
              <w:rPr>
                <w:i w:val="0"/>
                <w:sz w:val="20"/>
                <w:szCs w:val="20"/>
                <w:lang w:val="lv-LV"/>
              </w:rPr>
              <w:t>01.01.2023 – 31.12.2023</w:t>
            </w:r>
          </w:p>
        </w:tc>
        <w:tc>
          <w:tcPr>
            <w:tcW w:w="1101" w:type="dxa"/>
            <w:vAlign w:val="center"/>
          </w:tcPr>
          <w:p w14:paraId="698492B6" w14:textId="44A571C4" w:rsidR="006A41E2" w:rsidRPr="003A3A17" w:rsidRDefault="00A95791" w:rsidP="00CD2BC1">
            <w:pPr>
              <w:pStyle w:val="Institutionquisigne"/>
              <w:spacing w:before="0"/>
              <w:jc w:val="center"/>
              <w:rPr>
                <w:i w:val="0"/>
                <w:noProof/>
                <w:sz w:val="20"/>
                <w:szCs w:val="20"/>
                <w:lang w:val="lv-LV"/>
              </w:rPr>
            </w:pPr>
            <w:r>
              <w:rPr>
                <w:i w:val="0"/>
                <w:noProof/>
                <w:sz w:val="20"/>
                <w:szCs w:val="20"/>
                <w:lang w:val="lv-LV"/>
              </w:rPr>
              <w:t>60 000</w:t>
            </w:r>
          </w:p>
        </w:tc>
        <w:tc>
          <w:tcPr>
            <w:tcW w:w="1134" w:type="dxa"/>
            <w:vAlign w:val="center"/>
          </w:tcPr>
          <w:p w14:paraId="1DFD43A9" w14:textId="58A39470" w:rsidR="006A41E2" w:rsidRPr="003A3A17" w:rsidRDefault="00A95791" w:rsidP="00CD2BC1">
            <w:pPr>
              <w:pStyle w:val="Institutionquisigne"/>
              <w:spacing w:before="0"/>
              <w:jc w:val="center"/>
              <w:rPr>
                <w:i w:val="0"/>
                <w:noProof/>
                <w:sz w:val="20"/>
                <w:szCs w:val="20"/>
                <w:lang w:val="lv-LV"/>
              </w:rPr>
            </w:pPr>
            <w:r w:rsidRPr="00A95791">
              <w:rPr>
                <w:i w:val="0"/>
                <w:noProof/>
                <w:sz w:val="20"/>
                <w:szCs w:val="20"/>
                <w:lang w:val="lv-LV"/>
              </w:rPr>
              <w:t>54</w:t>
            </w:r>
            <w:r>
              <w:rPr>
                <w:i w:val="0"/>
                <w:noProof/>
                <w:sz w:val="20"/>
                <w:szCs w:val="20"/>
                <w:lang w:val="lv-LV"/>
              </w:rPr>
              <w:t xml:space="preserve"> </w:t>
            </w:r>
            <w:r w:rsidRPr="00A95791">
              <w:rPr>
                <w:i w:val="0"/>
                <w:noProof/>
                <w:sz w:val="20"/>
                <w:szCs w:val="20"/>
                <w:lang w:val="lv-LV"/>
              </w:rPr>
              <w:t>662,17</w:t>
            </w:r>
          </w:p>
        </w:tc>
        <w:tc>
          <w:tcPr>
            <w:tcW w:w="1255" w:type="dxa"/>
            <w:vAlign w:val="center"/>
          </w:tcPr>
          <w:p w14:paraId="18196152" w14:textId="3A005B3A" w:rsidR="006A41E2" w:rsidRPr="003A3A17" w:rsidRDefault="00C85B28" w:rsidP="00CD2BC1">
            <w:pPr>
              <w:pStyle w:val="Institutionquisigne"/>
              <w:spacing w:before="0"/>
              <w:jc w:val="center"/>
              <w:rPr>
                <w:i w:val="0"/>
                <w:noProof/>
                <w:sz w:val="20"/>
                <w:szCs w:val="20"/>
                <w:lang w:val="lv-LV"/>
              </w:rPr>
            </w:pPr>
            <w:r>
              <w:rPr>
                <w:i w:val="0"/>
                <w:sz w:val="20"/>
                <w:szCs w:val="20"/>
                <w:lang w:val="lv-LV" w:eastAsia="lv-LV"/>
              </w:rPr>
              <w:t>1</w:t>
            </w:r>
          </w:p>
        </w:tc>
        <w:tc>
          <w:tcPr>
            <w:tcW w:w="1613" w:type="dxa"/>
            <w:vAlign w:val="center"/>
          </w:tcPr>
          <w:p w14:paraId="20B73FBD" w14:textId="1DA34853" w:rsidR="006A41E2" w:rsidRPr="003A3A17" w:rsidRDefault="00C85B28" w:rsidP="00CD2BC1">
            <w:pPr>
              <w:pStyle w:val="Institutionquisigne"/>
              <w:spacing w:before="0"/>
              <w:jc w:val="center"/>
              <w:rPr>
                <w:i w:val="0"/>
                <w:noProof/>
                <w:sz w:val="20"/>
                <w:szCs w:val="20"/>
                <w:lang w:val="lv-LV"/>
              </w:rPr>
            </w:pPr>
            <w:r>
              <w:rPr>
                <w:i w:val="0"/>
                <w:noProof/>
                <w:sz w:val="20"/>
                <w:szCs w:val="20"/>
                <w:lang w:val="lv-LV"/>
              </w:rPr>
              <w:t>1</w:t>
            </w:r>
          </w:p>
        </w:tc>
      </w:tr>
      <w:tr w:rsidR="003A3A17" w:rsidRPr="003A3A17" w14:paraId="1CEE8C09" w14:textId="77777777" w:rsidTr="006F1BF7">
        <w:tc>
          <w:tcPr>
            <w:tcW w:w="879" w:type="dxa"/>
            <w:vAlign w:val="center"/>
          </w:tcPr>
          <w:p w14:paraId="34599DCD" w14:textId="5ED3A53F" w:rsidR="005B2FA1" w:rsidRPr="003A3A17" w:rsidRDefault="005B2FA1" w:rsidP="00CD2BC1">
            <w:pPr>
              <w:pStyle w:val="Institutionquisigne"/>
              <w:spacing w:before="0"/>
              <w:jc w:val="center"/>
              <w:rPr>
                <w:rFonts w:eastAsia="Times New Roman"/>
                <w:i w:val="0"/>
                <w:sz w:val="20"/>
                <w:szCs w:val="20"/>
                <w:lang w:val="lv-LV" w:eastAsia="lv-LV"/>
              </w:rPr>
            </w:pPr>
            <w:r w:rsidRPr="003A3A17">
              <w:rPr>
                <w:rFonts w:eastAsia="Times New Roman"/>
                <w:i w:val="0"/>
                <w:sz w:val="20"/>
                <w:szCs w:val="20"/>
                <w:lang w:val="lv-LV" w:eastAsia="lv-LV"/>
              </w:rPr>
              <w:t>Pārrobežu sadarbība</w:t>
            </w:r>
          </w:p>
        </w:tc>
        <w:tc>
          <w:tcPr>
            <w:tcW w:w="992" w:type="dxa"/>
            <w:vAlign w:val="center"/>
          </w:tcPr>
          <w:p w14:paraId="6D07A3ED" w14:textId="6985B518" w:rsidR="005B2FA1" w:rsidRPr="003A3A17" w:rsidRDefault="005B2FA1" w:rsidP="00CD2BC1">
            <w:pPr>
              <w:pStyle w:val="Institutionquisigne"/>
              <w:spacing w:before="0"/>
              <w:jc w:val="center"/>
              <w:rPr>
                <w:rFonts w:eastAsia="Times New Roman"/>
                <w:i w:val="0"/>
                <w:sz w:val="20"/>
                <w:szCs w:val="20"/>
                <w:lang w:val="lv-LV" w:eastAsia="lv-LV"/>
              </w:rPr>
            </w:pPr>
            <w:r w:rsidRPr="003A3A17">
              <w:rPr>
                <w:rFonts w:eastAsia="Times New Roman"/>
                <w:i w:val="0"/>
                <w:sz w:val="20"/>
                <w:szCs w:val="20"/>
                <w:lang w:val="lv-LV" w:eastAsia="lv-LV"/>
              </w:rPr>
              <w:t>ISF/2022/SA/2.2.1/001</w:t>
            </w:r>
          </w:p>
        </w:tc>
        <w:tc>
          <w:tcPr>
            <w:tcW w:w="992" w:type="dxa"/>
            <w:vAlign w:val="center"/>
          </w:tcPr>
          <w:p w14:paraId="5928AEDC" w14:textId="42D3757B" w:rsidR="005B2FA1" w:rsidRPr="003A3A17" w:rsidRDefault="009B18E0" w:rsidP="00CD2BC1">
            <w:pPr>
              <w:pStyle w:val="Institutionquisigne"/>
              <w:spacing w:before="0"/>
              <w:jc w:val="center"/>
              <w:rPr>
                <w:i w:val="0"/>
                <w:noProof/>
                <w:sz w:val="20"/>
                <w:szCs w:val="20"/>
                <w:lang w:val="lv-LV"/>
              </w:rPr>
            </w:pPr>
            <w:r>
              <w:rPr>
                <w:rFonts w:eastAsia="Times New Roman"/>
                <w:i w:val="0"/>
                <w:sz w:val="20"/>
                <w:szCs w:val="20"/>
                <w:lang w:val="lv-LV" w:eastAsia="lv-LV"/>
              </w:rPr>
              <w:t>VID</w:t>
            </w:r>
          </w:p>
        </w:tc>
        <w:tc>
          <w:tcPr>
            <w:tcW w:w="1276" w:type="dxa"/>
            <w:vAlign w:val="center"/>
          </w:tcPr>
          <w:p w14:paraId="08C92031" w14:textId="78822346" w:rsidR="005B2FA1" w:rsidRPr="003A3A17" w:rsidRDefault="005B2FA1" w:rsidP="00CD2BC1">
            <w:pPr>
              <w:pStyle w:val="Institutionquisigne"/>
              <w:spacing w:before="0"/>
              <w:jc w:val="center"/>
              <w:rPr>
                <w:i w:val="0"/>
                <w:sz w:val="20"/>
                <w:szCs w:val="20"/>
                <w:lang w:val="lv-LV"/>
              </w:rPr>
            </w:pPr>
            <w:r w:rsidRPr="003A3A17">
              <w:rPr>
                <w:rFonts w:eastAsia="Times New Roman"/>
                <w:i w:val="0"/>
                <w:sz w:val="20"/>
                <w:szCs w:val="20"/>
                <w:lang w:val="lv-LV" w:eastAsia="lv-LV"/>
              </w:rPr>
              <w:t>01.01.2023 - 31.12.2025</w:t>
            </w:r>
          </w:p>
        </w:tc>
        <w:tc>
          <w:tcPr>
            <w:tcW w:w="1101" w:type="dxa"/>
            <w:vAlign w:val="center"/>
          </w:tcPr>
          <w:p w14:paraId="26E4AB5A" w14:textId="2B80F3A7" w:rsidR="005B2FA1" w:rsidRPr="003A3A17" w:rsidRDefault="00A95791" w:rsidP="00CD2BC1">
            <w:pPr>
              <w:pStyle w:val="Institutionquisigne"/>
              <w:spacing w:before="0"/>
              <w:jc w:val="center"/>
              <w:rPr>
                <w:rFonts w:eastAsia="Times New Roman"/>
                <w:i w:val="0"/>
                <w:sz w:val="20"/>
                <w:szCs w:val="20"/>
                <w:lang w:val="lv-LV" w:eastAsia="lv-LV"/>
              </w:rPr>
            </w:pPr>
            <w:r>
              <w:rPr>
                <w:rFonts w:eastAsia="Times New Roman"/>
                <w:i w:val="0"/>
                <w:sz w:val="20"/>
                <w:szCs w:val="20"/>
                <w:lang w:val="lv-LV" w:eastAsia="lv-LV"/>
              </w:rPr>
              <w:t>267 666</w:t>
            </w:r>
          </w:p>
        </w:tc>
        <w:tc>
          <w:tcPr>
            <w:tcW w:w="1134" w:type="dxa"/>
            <w:vAlign w:val="center"/>
          </w:tcPr>
          <w:p w14:paraId="2D8E7456" w14:textId="563D9306" w:rsidR="005B2FA1" w:rsidRPr="003A3A17" w:rsidRDefault="00A95791" w:rsidP="00CD2BC1">
            <w:pPr>
              <w:pStyle w:val="Institutionquisigne"/>
              <w:spacing w:before="0"/>
              <w:jc w:val="center"/>
              <w:rPr>
                <w:i w:val="0"/>
                <w:noProof/>
                <w:sz w:val="20"/>
                <w:szCs w:val="20"/>
                <w:lang w:val="lv-LV"/>
              </w:rPr>
            </w:pPr>
            <w:r w:rsidRPr="00A95791">
              <w:rPr>
                <w:i w:val="0"/>
                <w:noProof/>
                <w:sz w:val="20"/>
                <w:szCs w:val="20"/>
                <w:lang w:val="lv-LV"/>
              </w:rPr>
              <w:t>44</w:t>
            </w:r>
            <w:r>
              <w:rPr>
                <w:i w:val="0"/>
                <w:noProof/>
                <w:sz w:val="20"/>
                <w:szCs w:val="20"/>
                <w:lang w:val="lv-LV"/>
              </w:rPr>
              <w:t xml:space="preserve"> </w:t>
            </w:r>
            <w:r w:rsidRPr="00A95791">
              <w:rPr>
                <w:i w:val="0"/>
                <w:noProof/>
                <w:sz w:val="20"/>
                <w:szCs w:val="20"/>
                <w:lang w:val="lv-LV"/>
              </w:rPr>
              <w:t>619,52</w:t>
            </w:r>
          </w:p>
        </w:tc>
        <w:tc>
          <w:tcPr>
            <w:tcW w:w="1255" w:type="dxa"/>
            <w:vAlign w:val="center"/>
          </w:tcPr>
          <w:p w14:paraId="4D11DC83" w14:textId="5D03ED5D" w:rsidR="005B2FA1" w:rsidRPr="003A3A17" w:rsidRDefault="00FD70E4" w:rsidP="00CD2BC1">
            <w:pPr>
              <w:pStyle w:val="Institutionquisigne"/>
              <w:spacing w:before="0"/>
              <w:jc w:val="center"/>
              <w:rPr>
                <w:i w:val="0"/>
                <w:sz w:val="20"/>
                <w:szCs w:val="20"/>
                <w:lang w:val="lv-LV" w:eastAsia="lv-LV"/>
              </w:rPr>
            </w:pPr>
            <w:r w:rsidRPr="003A3A17">
              <w:rPr>
                <w:i w:val="0"/>
                <w:sz w:val="20"/>
                <w:szCs w:val="20"/>
                <w:lang w:val="lv-LV" w:eastAsia="lv-LV"/>
              </w:rPr>
              <w:t>nav</w:t>
            </w:r>
          </w:p>
        </w:tc>
        <w:tc>
          <w:tcPr>
            <w:tcW w:w="1613" w:type="dxa"/>
            <w:vAlign w:val="center"/>
          </w:tcPr>
          <w:p w14:paraId="41455C31" w14:textId="790DBE4E" w:rsidR="005B2FA1" w:rsidRPr="003A3A17" w:rsidRDefault="00FD70E4" w:rsidP="00CD2BC1">
            <w:pPr>
              <w:pStyle w:val="Institutionquisigne"/>
              <w:spacing w:before="0"/>
              <w:jc w:val="center"/>
              <w:rPr>
                <w:i w:val="0"/>
                <w:sz w:val="20"/>
                <w:szCs w:val="20"/>
                <w:lang w:val="lv-LV" w:eastAsia="lv-LV"/>
              </w:rPr>
            </w:pPr>
            <w:r w:rsidRPr="003A3A17">
              <w:rPr>
                <w:i w:val="0"/>
                <w:sz w:val="20"/>
                <w:szCs w:val="20"/>
                <w:lang w:val="lv-LV" w:eastAsia="lv-LV"/>
              </w:rPr>
              <w:t>nav</w:t>
            </w:r>
          </w:p>
        </w:tc>
      </w:tr>
      <w:tr w:rsidR="003A3A17" w:rsidRPr="003A3A17" w14:paraId="1597925D" w14:textId="77777777" w:rsidTr="00A95791">
        <w:tc>
          <w:tcPr>
            <w:tcW w:w="879" w:type="dxa"/>
            <w:vAlign w:val="center"/>
          </w:tcPr>
          <w:p w14:paraId="1684D9E8" w14:textId="698B2051" w:rsidR="005B2FA1" w:rsidRPr="00A95791" w:rsidRDefault="005B2FA1" w:rsidP="00A95791">
            <w:pPr>
              <w:pStyle w:val="Institutionquisigne"/>
              <w:spacing w:before="0"/>
              <w:jc w:val="center"/>
              <w:rPr>
                <w:rFonts w:eastAsia="Times New Roman"/>
                <w:b/>
                <w:bCs/>
                <w:i w:val="0"/>
                <w:sz w:val="20"/>
                <w:szCs w:val="20"/>
                <w:lang w:val="lv-LV" w:eastAsia="lv-LV"/>
              </w:rPr>
            </w:pPr>
            <w:r w:rsidRPr="00A95791">
              <w:rPr>
                <w:rFonts w:eastAsia="Times New Roman"/>
                <w:b/>
                <w:bCs/>
                <w:i w:val="0"/>
                <w:sz w:val="20"/>
                <w:szCs w:val="20"/>
                <w:lang w:val="lv-LV" w:eastAsia="lv-LV"/>
              </w:rPr>
              <w:t>Kopā</w:t>
            </w:r>
          </w:p>
        </w:tc>
        <w:tc>
          <w:tcPr>
            <w:tcW w:w="992" w:type="dxa"/>
            <w:vAlign w:val="center"/>
          </w:tcPr>
          <w:p w14:paraId="01A8548E" w14:textId="476D530A" w:rsidR="005B2FA1" w:rsidRPr="00A95791" w:rsidRDefault="00CD2BC1" w:rsidP="00A95791">
            <w:pPr>
              <w:pStyle w:val="Institutionquisigne"/>
              <w:spacing w:before="0"/>
              <w:jc w:val="center"/>
              <w:rPr>
                <w:rFonts w:eastAsia="Times New Roman"/>
                <w:b/>
                <w:bCs/>
                <w:i w:val="0"/>
                <w:sz w:val="20"/>
                <w:szCs w:val="20"/>
                <w:lang w:val="lv-LV" w:eastAsia="lv-LV"/>
              </w:rPr>
            </w:pPr>
            <w:r w:rsidRPr="00A95791">
              <w:rPr>
                <w:rFonts w:eastAsia="Times New Roman"/>
                <w:b/>
                <w:bCs/>
                <w:i w:val="0"/>
                <w:sz w:val="20"/>
                <w:szCs w:val="20"/>
                <w:lang w:val="lv-LV" w:eastAsia="lv-LV"/>
              </w:rPr>
              <w:t>ISF/2022/SA/2.2.1</w:t>
            </w:r>
          </w:p>
        </w:tc>
        <w:tc>
          <w:tcPr>
            <w:tcW w:w="992" w:type="dxa"/>
            <w:vAlign w:val="center"/>
          </w:tcPr>
          <w:p w14:paraId="31C072B3" w14:textId="0BDA3A24" w:rsidR="005B2FA1" w:rsidRPr="00A95791" w:rsidRDefault="00D27C44" w:rsidP="00A95791">
            <w:pPr>
              <w:pStyle w:val="Institutionquisigne"/>
              <w:spacing w:before="0"/>
              <w:jc w:val="center"/>
              <w:rPr>
                <w:b/>
                <w:bCs/>
                <w:i w:val="0"/>
                <w:noProof/>
                <w:sz w:val="20"/>
                <w:szCs w:val="20"/>
                <w:lang w:val="lv-LV"/>
              </w:rPr>
            </w:pPr>
            <w:r w:rsidRPr="00A95791">
              <w:rPr>
                <w:b/>
                <w:bCs/>
                <w:i w:val="0"/>
                <w:noProof/>
                <w:sz w:val="20"/>
                <w:szCs w:val="20"/>
                <w:lang w:val="lv-LV"/>
              </w:rPr>
              <w:t>-</w:t>
            </w:r>
          </w:p>
        </w:tc>
        <w:tc>
          <w:tcPr>
            <w:tcW w:w="1276" w:type="dxa"/>
            <w:vAlign w:val="center"/>
          </w:tcPr>
          <w:p w14:paraId="3EFD0FD3" w14:textId="4DF51F2A" w:rsidR="005B2FA1" w:rsidRPr="00A95791" w:rsidRDefault="00D27C44" w:rsidP="00A95791">
            <w:pPr>
              <w:pStyle w:val="Institutionquisigne"/>
              <w:spacing w:before="0"/>
              <w:jc w:val="center"/>
              <w:rPr>
                <w:b/>
                <w:bCs/>
                <w:i w:val="0"/>
                <w:sz w:val="20"/>
                <w:szCs w:val="20"/>
                <w:lang w:val="lv-LV"/>
              </w:rPr>
            </w:pPr>
            <w:r w:rsidRPr="00A95791">
              <w:rPr>
                <w:b/>
                <w:bCs/>
                <w:i w:val="0"/>
                <w:sz w:val="20"/>
                <w:szCs w:val="20"/>
                <w:lang w:val="lv-LV"/>
              </w:rPr>
              <w:t>-</w:t>
            </w:r>
          </w:p>
        </w:tc>
        <w:tc>
          <w:tcPr>
            <w:tcW w:w="1101" w:type="dxa"/>
            <w:vAlign w:val="center"/>
          </w:tcPr>
          <w:p w14:paraId="0D54EBFB" w14:textId="3EB5728F" w:rsidR="005B2FA1" w:rsidRPr="00A95791" w:rsidRDefault="00A95791" w:rsidP="00A95791">
            <w:pPr>
              <w:pStyle w:val="Institutionquisigne"/>
              <w:spacing w:before="0"/>
              <w:jc w:val="center"/>
              <w:rPr>
                <w:rFonts w:eastAsia="Times New Roman"/>
                <w:b/>
                <w:bCs/>
                <w:i w:val="0"/>
                <w:sz w:val="20"/>
                <w:szCs w:val="20"/>
                <w:lang w:val="lv-LV" w:eastAsia="lv-LV"/>
              </w:rPr>
            </w:pPr>
            <w:r w:rsidRPr="00A95791">
              <w:rPr>
                <w:rFonts w:eastAsia="Times New Roman"/>
                <w:b/>
                <w:bCs/>
                <w:i w:val="0"/>
                <w:sz w:val="20"/>
                <w:szCs w:val="20"/>
                <w:lang w:val="lv-LV" w:eastAsia="lv-LV"/>
              </w:rPr>
              <w:t>327 666</w:t>
            </w:r>
          </w:p>
        </w:tc>
        <w:tc>
          <w:tcPr>
            <w:tcW w:w="1134" w:type="dxa"/>
            <w:vAlign w:val="center"/>
          </w:tcPr>
          <w:p w14:paraId="0DEDC192" w14:textId="335B7252" w:rsidR="005B2FA1" w:rsidRPr="00A95791" w:rsidRDefault="00A95791" w:rsidP="00A95791">
            <w:pPr>
              <w:pStyle w:val="Institutionquisigne"/>
              <w:spacing w:before="0"/>
              <w:jc w:val="center"/>
              <w:rPr>
                <w:b/>
                <w:bCs/>
                <w:i w:val="0"/>
                <w:noProof/>
                <w:sz w:val="20"/>
                <w:szCs w:val="20"/>
                <w:lang w:val="lv-LV"/>
              </w:rPr>
            </w:pPr>
            <w:r w:rsidRPr="00A95791">
              <w:rPr>
                <w:b/>
                <w:bCs/>
                <w:i w:val="0"/>
                <w:noProof/>
                <w:sz w:val="20"/>
                <w:szCs w:val="20"/>
                <w:lang w:val="lv-LV"/>
              </w:rPr>
              <w:t>99 281,69</w:t>
            </w:r>
          </w:p>
        </w:tc>
        <w:tc>
          <w:tcPr>
            <w:tcW w:w="1255" w:type="dxa"/>
            <w:vAlign w:val="center"/>
          </w:tcPr>
          <w:p w14:paraId="7527B928" w14:textId="51A56569" w:rsidR="005B2FA1" w:rsidRPr="00A95791" w:rsidRDefault="00A95791" w:rsidP="00A95791">
            <w:pPr>
              <w:pStyle w:val="Institutionquisigne"/>
              <w:spacing w:before="0"/>
              <w:jc w:val="center"/>
              <w:rPr>
                <w:b/>
                <w:bCs/>
                <w:i w:val="0"/>
                <w:sz w:val="20"/>
                <w:szCs w:val="20"/>
                <w:lang w:val="lv-LV" w:eastAsia="lv-LV"/>
              </w:rPr>
            </w:pPr>
            <w:r>
              <w:rPr>
                <w:b/>
                <w:bCs/>
                <w:i w:val="0"/>
                <w:sz w:val="20"/>
                <w:szCs w:val="20"/>
                <w:lang w:val="lv-LV" w:eastAsia="lv-LV"/>
              </w:rPr>
              <w:t>1</w:t>
            </w:r>
          </w:p>
        </w:tc>
        <w:tc>
          <w:tcPr>
            <w:tcW w:w="1613" w:type="dxa"/>
            <w:vAlign w:val="center"/>
          </w:tcPr>
          <w:p w14:paraId="0FF71970" w14:textId="466D48B5" w:rsidR="005B2FA1" w:rsidRPr="00A95791" w:rsidRDefault="00A95791" w:rsidP="00A95791">
            <w:pPr>
              <w:pStyle w:val="Institutionquisigne"/>
              <w:spacing w:before="0"/>
              <w:jc w:val="center"/>
              <w:rPr>
                <w:b/>
                <w:bCs/>
                <w:i w:val="0"/>
                <w:sz w:val="20"/>
                <w:szCs w:val="20"/>
                <w:lang w:val="lv-LV" w:eastAsia="lv-LV"/>
              </w:rPr>
            </w:pPr>
            <w:r>
              <w:rPr>
                <w:b/>
                <w:bCs/>
                <w:i w:val="0"/>
                <w:sz w:val="20"/>
                <w:szCs w:val="20"/>
                <w:lang w:val="lv-LV" w:eastAsia="lv-LV"/>
              </w:rPr>
              <w:t>1</w:t>
            </w:r>
          </w:p>
        </w:tc>
      </w:tr>
    </w:tbl>
    <w:p w14:paraId="0A85B249" w14:textId="3B98F754" w:rsidR="006A41E2" w:rsidRPr="003A3A17" w:rsidRDefault="00B32C89" w:rsidP="00B32C89">
      <w:pPr>
        <w:pStyle w:val="ManualHeading2"/>
        <w:rPr>
          <w:noProof/>
          <w:lang w:val="lv-LV"/>
        </w:rPr>
      </w:pPr>
      <w:r w:rsidRPr="00D74E7A">
        <w:rPr>
          <w:lang w:val="lv-LV"/>
        </w:rPr>
        <w:t>1.6.</w:t>
      </w:r>
      <w:r w:rsidRPr="00D74E7A">
        <w:rPr>
          <w:lang w:val="lv-LV"/>
        </w:rPr>
        <w:tab/>
      </w:r>
      <w:r w:rsidR="0001528B" w:rsidRPr="00D74E7A">
        <w:rPr>
          <w:noProof/>
          <w:lang w:val="lv-LV"/>
        </w:rPr>
        <w:t>Atbilstība Regulas (ES) 2021/1149 13. panta 7. punktam</w:t>
      </w:r>
    </w:p>
    <w:p w14:paraId="5B17165D" w14:textId="118EDCF2" w:rsidR="00E76930" w:rsidRPr="003A3A17" w:rsidRDefault="00352119" w:rsidP="006A41E2">
      <w:pPr>
        <w:rPr>
          <w:noProof/>
          <w:lang w:val="lv-LV"/>
        </w:rPr>
      </w:pPr>
      <w:r w:rsidRPr="003A3A17">
        <w:rPr>
          <w:noProof/>
          <w:lang w:val="lv-LV"/>
        </w:rPr>
        <w:t xml:space="preserve">Norādiet to izdevumu kumulatīvo kopsummu, kas radušies un samaksāti par Regulas (ES) 2021/1149 13. panta 7. punktā minēto aprīkojuma un transportlīdzekļu iegādi vai ar drošību saistīto iekārtu būvniecību, atbilstoši elektroniski uzglabājamajiem datiem Regulas (ES) 2021/1060 XVII pielikuma 142. laukā. </w:t>
      </w:r>
    </w:p>
    <w:tbl>
      <w:tblPr>
        <w:tblStyle w:val="TableGrid"/>
        <w:tblW w:w="0" w:type="auto"/>
        <w:tblLook w:val="04A0" w:firstRow="1" w:lastRow="0" w:firstColumn="1" w:lastColumn="0" w:noHBand="0" w:noVBand="1"/>
      </w:tblPr>
      <w:tblGrid>
        <w:gridCol w:w="9063"/>
      </w:tblGrid>
      <w:tr w:rsidR="003A3A17" w:rsidRPr="003A3A17" w14:paraId="17D1C819" w14:textId="77777777" w:rsidTr="00586750">
        <w:tc>
          <w:tcPr>
            <w:tcW w:w="9289" w:type="dxa"/>
          </w:tcPr>
          <w:p w14:paraId="578A93A6" w14:textId="77777777" w:rsidR="00352119" w:rsidRPr="003A3A17" w:rsidRDefault="00352119" w:rsidP="00352119">
            <w:pPr>
              <w:pStyle w:val="Personnequisigne"/>
              <w:rPr>
                <w:noProof/>
                <w:lang w:val="lv-LV"/>
              </w:rPr>
            </w:pPr>
            <w:r w:rsidRPr="003A3A17">
              <w:rPr>
                <w:noProof/>
                <w:lang w:val="lv-LV"/>
              </w:rPr>
              <w:t>Ierakstiet summu.</w:t>
            </w:r>
          </w:p>
          <w:p w14:paraId="74FFE3C4" w14:textId="0708DD29" w:rsidR="00FD70E4" w:rsidRPr="003A3A17" w:rsidRDefault="00D74E7A" w:rsidP="004063D5">
            <w:pPr>
              <w:pStyle w:val="Institutionquisigne"/>
              <w:spacing w:before="120"/>
              <w:rPr>
                <w:iCs/>
                <w:lang w:val="lv-LV"/>
              </w:rPr>
            </w:pPr>
            <w:r>
              <w:rPr>
                <w:i w:val="0"/>
                <w:lang w:val="lv-LV"/>
              </w:rPr>
              <w:t xml:space="preserve">389 360,15 </w:t>
            </w:r>
            <w:proofErr w:type="spellStart"/>
            <w:r w:rsidR="001E7E11" w:rsidRPr="003A3A17">
              <w:rPr>
                <w:iCs/>
                <w:lang w:val="lv-LV"/>
              </w:rPr>
              <w:t>euro</w:t>
            </w:r>
            <w:proofErr w:type="spellEnd"/>
          </w:p>
        </w:tc>
      </w:tr>
    </w:tbl>
    <w:p w14:paraId="46155DBB" w14:textId="6A116A07" w:rsidR="006A41E2" w:rsidRPr="003A3A17" w:rsidRDefault="00BB3C0E" w:rsidP="009E5C5D">
      <w:pPr>
        <w:rPr>
          <w:noProof/>
          <w:lang w:val="lv-LV"/>
        </w:rPr>
      </w:pPr>
      <w:r w:rsidRPr="003A3A17">
        <w:rPr>
          <w:noProof/>
          <w:lang w:val="lv-LV"/>
        </w:rPr>
        <w:t xml:space="preserve">Apstipriniet, ka to darbību kumulatīvo attiecināmo izmaksu kopsumma, kas atlasītas atbalstam par aprīkojumu, transportlīdzekļiem vai ar drošību saistītu iekārtu būvniecību, kā minēts Regulas </w:t>
      </w:r>
      <w:r w:rsidRPr="003A3A17">
        <w:rPr>
          <w:noProof/>
          <w:lang w:val="lv-LV"/>
        </w:rPr>
        <w:lastRenderedPageBreak/>
        <w:t xml:space="preserve">(ES) 2021/1149 13. panta 7. punktā, līdz grāmatvedības gada beigām nepārsniedz 35 % no kopējā programmas piešķīruma, vai paskaidrojiet iemeslus, kāpēc pārsniedz. Turklāt, ja pastāv risks, ka līdz plānošanas perioda beigām robežvērtība tiks pārsniegta, aprakstiet pasākumus, kas paredzēti tā mazināšanai, vai norādiet pamatotus iemeslus, kāpēc robežvērtība tiks pārsniegta. </w:t>
      </w:r>
    </w:p>
    <w:tbl>
      <w:tblPr>
        <w:tblStyle w:val="TableGrid"/>
        <w:tblW w:w="0" w:type="auto"/>
        <w:tblLook w:val="04A0" w:firstRow="1" w:lastRow="0" w:firstColumn="1" w:lastColumn="0" w:noHBand="0" w:noVBand="1"/>
      </w:tblPr>
      <w:tblGrid>
        <w:gridCol w:w="9063"/>
      </w:tblGrid>
      <w:tr w:rsidR="003A3A17" w:rsidRPr="00037FD2" w14:paraId="3927EA21" w14:textId="77777777" w:rsidTr="00E45665">
        <w:tc>
          <w:tcPr>
            <w:tcW w:w="9289" w:type="dxa"/>
          </w:tcPr>
          <w:p w14:paraId="26296E4A" w14:textId="77777777" w:rsidR="006A41E2" w:rsidRPr="003A3A17" w:rsidRDefault="00544E72" w:rsidP="00352119">
            <w:pPr>
              <w:pStyle w:val="Personnequisigne"/>
              <w:rPr>
                <w:noProof/>
                <w:lang w:val="lv-LV"/>
              </w:rPr>
            </w:pPr>
            <w:r w:rsidRPr="003A3A17">
              <w:rPr>
                <w:noProof/>
                <w:lang w:val="lv-LV"/>
              </w:rPr>
              <w:t>Šeit ierakstiet tekstu. Ne vairāk kā 3000 rakstzīmes.</w:t>
            </w:r>
          </w:p>
          <w:p w14:paraId="3EF9BC7E" w14:textId="1C47890F" w:rsidR="002374ED" w:rsidRPr="003A3A17" w:rsidRDefault="006B24AF" w:rsidP="006B24AF">
            <w:pPr>
              <w:pStyle w:val="Institutionquisigne"/>
              <w:spacing w:before="120"/>
              <w:ind w:firstLine="851"/>
              <w:rPr>
                <w:i w:val="0"/>
                <w:lang w:val="lv-LV"/>
              </w:rPr>
            </w:pPr>
            <w:r w:rsidRPr="003A3A17">
              <w:rPr>
                <w:i w:val="0"/>
                <w:lang w:val="lv-LV"/>
              </w:rPr>
              <w:t xml:space="preserve">Darbību, kas atlasītas atbalstam par aprīkojumu, transportlīdzekļiem vai ar drošību saistītu iekārtu būvniecību, kā minēts Regulas (ES) 2021/1149 13. panta 7. punktā, summārā attiecināmo izmaksu kopsumma līdz grāmatvedības gada beigām nepārsniedz 35 % no kopējā IDF programmas </w:t>
            </w:r>
            <w:r w:rsidR="001E0269" w:rsidRPr="003A3A17">
              <w:rPr>
                <w:i w:val="0"/>
                <w:lang w:val="lv-LV"/>
              </w:rPr>
              <w:t>finansējama</w:t>
            </w:r>
            <w:r w:rsidRPr="003A3A17">
              <w:rPr>
                <w:i w:val="0"/>
                <w:lang w:val="lv-LV"/>
              </w:rPr>
              <w:t xml:space="preserve"> piešķīruma. Pastāv risks, ka līdz plānošanas perioda beigām šī robežvērtība tiks pārsniegta.</w:t>
            </w:r>
          </w:p>
          <w:p w14:paraId="3CB9A627" w14:textId="2D14812D" w:rsidR="00C85B28" w:rsidRPr="00C85B28" w:rsidRDefault="002374ED" w:rsidP="00C85B28">
            <w:pPr>
              <w:pStyle w:val="Institutionquisigne"/>
              <w:spacing w:before="0"/>
              <w:ind w:firstLine="851"/>
              <w:rPr>
                <w:i w:val="0"/>
                <w:lang w:val="lv-LV"/>
              </w:rPr>
            </w:pPr>
            <w:r w:rsidRPr="003A3A17">
              <w:rPr>
                <w:i w:val="0"/>
                <w:lang w:val="lv-LV"/>
              </w:rPr>
              <w:t>Saskaņā ar Regulas (ES) 2021/1149 13. panta 7. punkt</w:t>
            </w:r>
            <w:r w:rsidR="001E0269" w:rsidRPr="003A3A17">
              <w:rPr>
                <w:i w:val="0"/>
                <w:lang w:val="lv-LV"/>
              </w:rPr>
              <w:t>u</w:t>
            </w:r>
            <w:r w:rsidRPr="003A3A17">
              <w:rPr>
                <w:i w:val="0"/>
                <w:lang w:val="lv-LV"/>
              </w:rPr>
              <w:t xml:space="preserve"> šo robežvērtību var pārsniegt tikai pienācīgi pamatotos gadījumos. Samazinoties iedzīvotāju skaitam Latvijā un </w:t>
            </w:r>
            <w:r w:rsidR="001E0269" w:rsidRPr="003A3A17">
              <w:rPr>
                <w:i w:val="0"/>
                <w:lang w:val="lv-LV"/>
              </w:rPr>
              <w:t>pieaugot</w:t>
            </w:r>
            <w:r w:rsidRPr="003A3A17">
              <w:rPr>
                <w:i w:val="0"/>
                <w:lang w:val="lv-LV"/>
              </w:rPr>
              <w:t xml:space="preserve"> grūtīb</w:t>
            </w:r>
            <w:r w:rsidR="00AC5462" w:rsidRPr="003A3A17">
              <w:rPr>
                <w:i w:val="0"/>
                <w:lang w:val="lv-LV"/>
              </w:rPr>
              <w:t>ām</w:t>
            </w:r>
            <w:r w:rsidRPr="003A3A17">
              <w:rPr>
                <w:i w:val="0"/>
                <w:lang w:val="lv-LV"/>
              </w:rPr>
              <w:t xml:space="preserve"> atrast un noturēt darbiniekus </w:t>
            </w:r>
            <w:r w:rsidR="003A5978">
              <w:rPr>
                <w:i w:val="0"/>
                <w:lang w:val="lv-LV"/>
              </w:rPr>
              <w:t>TAI</w:t>
            </w:r>
            <w:r w:rsidRPr="003A3A17">
              <w:rPr>
                <w:i w:val="0"/>
                <w:lang w:val="lv-LV"/>
              </w:rPr>
              <w:t xml:space="preserve">, piemēram, 2023. gadā </w:t>
            </w:r>
            <w:r w:rsidR="009B18E0">
              <w:rPr>
                <w:i w:val="0"/>
                <w:lang w:val="lv-LV"/>
              </w:rPr>
              <w:t>VP</w:t>
            </w:r>
            <w:r w:rsidR="009B18E0" w:rsidRPr="003A3A17">
              <w:rPr>
                <w:i w:val="0"/>
                <w:lang w:val="lv-LV"/>
              </w:rPr>
              <w:t xml:space="preserve"> </w:t>
            </w:r>
            <w:r w:rsidRPr="003A3A17">
              <w:rPr>
                <w:i w:val="0"/>
                <w:lang w:val="lv-LV"/>
              </w:rPr>
              <w:t>Rīgas reģiona struktūrvienībās brīvo amata vietu skaits sasniedz līdz pat 40 % no kopējā</w:t>
            </w:r>
            <w:r w:rsidR="001C5D09" w:rsidRPr="003A3A17">
              <w:rPr>
                <w:i w:val="0"/>
                <w:lang w:val="lv-LV"/>
              </w:rPr>
              <w:t xml:space="preserve"> skaita reģionā</w:t>
            </w:r>
            <w:r w:rsidRPr="003A3A17">
              <w:rPr>
                <w:i w:val="0"/>
                <w:lang w:val="lv-LV"/>
              </w:rPr>
              <w:t xml:space="preserve">, savukārt </w:t>
            </w:r>
            <w:r w:rsidR="009B18E0">
              <w:rPr>
                <w:i w:val="0"/>
                <w:lang w:val="lv-LV"/>
              </w:rPr>
              <w:t>VP</w:t>
            </w:r>
            <w:r w:rsidR="009B18E0" w:rsidRPr="003A3A17">
              <w:rPr>
                <w:i w:val="0"/>
                <w:lang w:val="lv-LV"/>
              </w:rPr>
              <w:t xml:space="preserve"> </w:t>
            </w:r>
            <w:r w:rsidR="001C5D09" w:rsidRPr="003A3A17">
              <w:rPr>
                <w:i w:val="0"/>
                <w:lang w:val="lv-LV"/>
              </w:rPr>
              <w:t xml:space="preserve">visā valsts teritorijā </w:t>
            </w:r>
            <w:r w:rsidRPr="003A3A17">
              <w:rPr>
                <w:i w:val="0"/>
                <w:lang w:val="lv-LV"/>
              </w:rPr>
              <w:t>kopumā 2022. gada beigās brīvo amata vietu skaits sasniedza gandrīz 22 % no kopējā amata vietu skaita</w:t>
            </w:r>
            <w:r w:rsidR="00FE0F19" w:rsidRPr="003A3A17">
              <w:rPr>
                <w:i w:val="0"/>
                <w:lang w:val="lv-LV"/>
              </w:rPr>
              <w:t>, nepieciešama esošā darbaspēka efektivitātes uzlabošana</w:t>
            </w:r>
            <w:r w:rsidRPr="003A3A17">
              <w:rPr>
                <w:i w:val="0"/>
                <w:lang w:val="lv-LV"/>
              </w:rPr>
              <w:t xml:space="preserve">. Lai gan nacionālā līmenī tiek meklēti </w:t>
            </w:r>
            <w:r w:rsidR="009E0599" w:rsidRPr="003A3A17">
              <w:rPr>
                <w:i w:val="0"/>
                <w:lang w:val="lv-LV"/>
              </w:rPr>
              <w:t xml:space="preserve">un rasti </w:t>
            </w:r>
            <w:r w:rsidRPr="003A3A17">
              <w:rPr>
                <w:i w:val="0"/>
                <w:lang w:val="lv-LV"/>
              </w:rPr>
              <w:t xml:space="preserve">līdzekļi </w:t>
            </w:r>
            <w:r w:rsidR="003A5978">
              <w:rPr>
                <w:i w:val="0"/>
                <w:lang w:val="lv-LV"/>
              </w:rPr>
              <w:t>TAI</w:t>
            </w:r>
            <w:r w:rsidR="003A5978" w:rsidRPr="003A3A17">
              <w:rPr>
                <w:i w:val="0"/>
                <w:lang w:val="lv-LV"/>
              </w:rPr>
              <w:t xml:space="preserve"> </w:t>
            </w:r>
            <w:r w:rsidR="009E0599" w:rsidRPr="003A3A17">
              <w:rPr>
                <w:i w:val="0"/>
                <w:lang w:val="lv-LV"/>
              </w:rPr>
              <w:t xml:space="preserve">nodarbināto atalgojuma celšanai, tomēr </w:t>
            </w:r>
            <w:r w:rsidR="004B4566" w:rsidRPr="003A3A17">
              <w:rPr>
                <w:i w:val="0"/>
                <w:lang w:val="lv-LV"/>
              </w:rPr>
              <w:t>tas</w:t>
            </w:r>
            <w:r w:rsidR="009E0599" w:rsidRPr="003A3A17">
              <w:rPr>
                <w:i w:val="0"/>
                <w:lang w:val="lv-LV"/>
              </w:rPr>
              <w:t xml:space="preserve"> nevar būt vienīgais risinājums</w:t>
            </w:r>
            <w:r w:rsidR="004B4566" w:rsidRPr="003A3A17">
              <w:rPr>
                <w:i w:val="0"/>
                <w:lang w:val="lv-LV"/>
              </w:rPr>
              <w:t>, ilgstoši samazinoties iedzīvotāju skaitam</w:t>
            </w:r>
            <w:r w:rsidR="00CC31F2" w:rsidRPr="003A3A17">
              <w:rPr>
                <w:i w:val="0"/>
                <w:lang w:val="lv-LV"/>
              </w:rPr>
              <w:t>,</w:t>
            </w:r>
            <w:r w:rsidR="009E0599" w:rsidRPr="003A3A17">
              <w:rPr>
                <w:i w:val="0"/>
                <w:lang w:val="lv-LV"/>
              </w:rPr>
              <w:t xml:space="preserve"> –</w:t>
            </w:r>
            <w:r w:rsidRPr="003A3A17">
              <w:rPr>
                <w:i w:val="0"/>
                <w:lang w:val="lv-LV"/>
              </w:rPr>
              <w:t xml:space="preserve"> nepieciešami būtiski ieguldījusi automatizācijā, infrastruktūrā un esošā, ierobežotā darbaspēka pēc iespējas efektīvākā izmantošanā, kas rada spiedienu uz </w:t>
            </w:r>
            <w:r w:rsidR="009E0599" w:rsidRPr="003A3A17">
              <w:rPr>
                <w:i w:val="0"/>
                <w:lang w:val="lv-LV"/>
              </w:rPr>
              <w:t>šajā sadaļā minēti 35 %</w:t>
            </w:r>
            <w:r w:rsidRPr="003A3A17">
              <w:rPr>
                <w:i w:val="0"/>
                <w:lang w:val="lv-LV"/>
              </w:rPr>
              <w:t xml:space="preserve"> robežvērtību</w:t>
            </w:r>
            <w:r w:rsidR="009E0599" w:rsidRPr="003A3A17">
              <w:rPr>
                <w:i w:val="0"/>
                <w:lang w:val="lv-LV"/>
              </w:rPr>
              <w:t xml:space="preserve"> </w:t>
            </w:r>
            <w:r w:rsidR="009E0599" w:rsidRPr="00C85B28">
              <w:rPr>
                <w:i w:val="0"/>
                <w:lang w:val="lv-LV"/>
              </w:rPr>
              <w:t>atbalstam</w:t>
            </w:r>
            <w:r w:rsidR="009E0599" w:rsidRPr="003A3A17">
              <w:rPr>
                <w:i w:val="0"/>
                <w:lang w:val="lv-LV"/>
              </w:rPr>
              <w:t xml:space="preserve"> par aprīkojumu, transportlīdzekļiem vai ar drošību saistītu iekārtu būvniecību</w:t>
            </w:r>
            <w:r w:rsidRPr="003A3A17">
              <w:rPr>
                <w:i w:val="0"/>
                <w:lang w:val="lv-LV"/>
              </w:rPr>
              <w:t>, lai atbilstoši IDF mērķim veicinātu augsta līmeņa drošību.</w:t>
            </w:r>
          </w:p>
        </w:tc>
      </w:tr>
    </w:tbl>
    <w:p w14:paraId="4B4DC429" w14:textId="48B75086" w:rsidR="006A41E2" w:rsidRPr="003A3A17" w:rsidRDefault="00B32C89" w:rsidP="00B32C89">
      <w:pPr>
        <w:pStyle w:val="ManualHeading2"/>
        <w:rPr>
          <w:noProof/>
          <w:lang w:val="lv-LV"/>
        </w:rPr>
      </w:pPr>
      <w:r w:rsidRPr="003A3A17">
        <w:rPr>
          <w:lang w:val="lv-LV"/>
        </w:rPr>
        <w:t>1.7.</w:t>
      </w:r>
      <w:r w:rsidRPr="003A3A17">
        <w:rPr>
          <w:lang w:val="lv-LV"/>
        </w:rPr>
        <w:tab/>
      </w:r>
      <w:r w:rsidR="006A41E2" w:rsidRPr="003A3A17">
        <w:rPr>
          <w:noProof/>
          <w:lang w:val="lv-LV"/>
        </w:rPr>
        <w:t>Tikai 2024. gadā: projektu turpināšana – Regulas (ES) 2021/1149 34. panta 4. punkta e) apakšpunkts</w:t>
      </w:r>
    </w:p>
    <w:p w14:paraId="016B4060" w14:textId="77777777" w:rsidR="006A41E2" w:rsidRPr="003A3A17" w:rsidRDefault="0060652B" w:rsidP="006A41E2">
      <w:pPr>
        <w:rPr>
          <w:noProof/>
          <w:lang w:val="lv-LV"/>
        </w:rPr>
      </w:pPr>
      <w:r w:rsidRPr="003A3A17">
        <w:rPr>
          <w:noProof/>
          <w:lang w:val="lv-LV"/>
        </w:rPr>
        <w:t>Paziņojiet par visiem projektiem, kas turpināti pēc 2021. gada 1. janvāra un kas atlasīti un sākti saskaņā ar Eiropas Parlamenta un Padomes Regulu (ES) Nr. 513/2014</w:t>
      </w:r>
      <w:r w:rsidRPr="003A3A17">
        <w:rPr>
          <w:rStyle w:val="FootnoteReference"/>
          <w:noProof/>
          <w:lang w:val="lv-LV"/>
        </w:rPr>
        <w:footnoteReference w:id="16"/>
      </w:r>
      <w:r w:rsidRPr="003A3A17">
        <w:rPr>
          <w:noProof/>
          <w:lang w:val="lv-LV"/>
        </w:rPr>
        <w:t>, ievērojot Eiropas Parlamenta un Padomes Regulu (ES) Nr. 514/2014</w:t>
      </w:r>
      <w:r w:rsidRPr="003A3A17">
        <w:rPr>
          <w:rStyle w:val="FootnoteReference"/>
          <w:noProof/>
          <w:lang w:val="lv-LV"/>
        </w:rPr>
        <w:footnoteReference w:id="17"/>
      </w:r>
      <w:r w:rsidRPr="003A3A17">
        <w:rPr>
          <w:noProof/>
          <w:lang w:val="lv-LV"/>
        </w:rPr>
        <w:t>.</w:t>
      </w:r>
    </w:p>
    <w:tbl>
      <w:tblPr>
        <w:tblStyle w:val="TableGrid"/>
        <w:tblW w:w="0" w:type="auto"/>
        <w:tblLook w:val="04A0" w:firstRow="1" w:lastRow="0" w:firstColumn="1" w:lastColumn="0" w:noHBand="0" w:noVBand="1"/>
      </w:tblPr>
      <w:tblGrid>
        <w:gridCol w:w="9063"/>
      </w:tblGrid>
      <w:tr w:rsidR="003A3A17" w:rsidRPr="00037FD2" w14:paraId="03C77697" w14:textId="77777777" w:rsidTr="00E45665">
        <w:tc>
          <w:tcPr>
            <w:tcW w:w="9289" w:type="dxa"/>
          </w:tcPr>
          <w:p w14:paraId="2A22A9BF" w14:textId="77777777" w:rsidR="006A41E2" w:rsidRPr="003A3A17" w:rsidRDefault="00544E72" w:rsidP="009E5C5D">
            <w:pPr>
              <w:pStyle w:val="Personnequisigne"/>
              <w:rPr>
                <w:noProof/>
                <w:lang w:val="lv-LV"/>
              </w:rPr>
            </w:pPr>
            <w:r w:rsidRPr="003A3A17">
              <w:rPr>
                <w:noProof/>
                <w:lang w:val="lv-LV"/>
              </w:rPr>
              <w:t>Šeit ierakstiet tekstu. Ne vairāk kā 4000 rakstzīmes.</w:t>
            </w:r>
          </w:p>
          <w:p w14:paraId="0A91506F" w14:textId="2DCF60EC" w:rsidR="002C0831" w:rsidRPr="003A3A17" w:rsidRDefault="002C0831" w:rsidP="002C0831">
            <w:pPr>
              <w:pStyle w:val="Institutionquisigne"/>
              <w:spacing w:before="120"/>
              <w:ind w:firstLine="709"/>
              <w:rPr>
                <w:i w:val="0"/>
                <w:lang w:val="lv-LV"/>
              </w:rPr>
            </w:pPr>
            <w:r w:rsidRPr="003A3A17">
              <w:rPr>
                <w:i w:val="0"/>
                <w:lang w:val="lv-LV"/>
              </w:rPr>
              <w:t>IDF programm</w:t>
            </w:r>
            <w:r w:rsidR="00AC5462" w:rsidRPr="003A3A17">
              <w:rPr>
                <w:i w:val="0"/>
                <w:lang w:val="lv-LV"/>
              </w:rPr>
              <w:t>a</w:t>
            </w:r>
            <w:r w:rsidRPr="003A3A17">
              <w:rPr>
                <w:i w:val="0"/>
                <w:lang w:val="lv-LV"/>
              </w:rPr>
              <w:t xml:space="preserve">s </w:t>
            </w:r>
            <w:r w:rsidR="00AC5462" w:rsidRPr="003A3A17">
              <w:rPr>
                <w:i w:val="0"/>
                <w:lang w:val="lv-LV"/>
              </w:rPr>
              <w:t xml:space="preserve">ietvaros </w:t>
            </w:r>
            <w:r w:rsidRPr="003A3A17">
              <w:rPr>
                <w:i w:val="0"/>
                <w:lang w:val="lv-LV"/>
              </w:rPr>
              <w:t xml:space="preserve">netika </w:t>
            </w:r>
            <w:r w:rsidR="001E0269" w:rsidRPr="003A3A17">
              <w:rPr>
                <w:i w:val="0"/>
                <w:lang w:val="lv-LV"/>
              </w:rPr>
              <w:t>atlasīti</w:t>
            </w:r>
            <w:r w:rsidR="001C1F05" w:rsidRPr="003A3A17">
              <w:rPr>
                <w:i w:val="0"/>
                <w:lang w:val="lv-LV"/>
              </w:rPr>
              <w:t xml:space="preserve"> tādi projekti, kas turpināti pēc 2021. gada 1. janvāra</w:t>
            </w:r>
            <w:r w:rsidRPr="003A3A17">
              <w:rPr>
                <w:i w:val="0"/>
                <w:lang w:val="lv-LV"/>
              </w:rPr>
              <w:t xml:space="preserve"> un</w:t>
            </w:r>
            <w:r w:rsidR="001C1F05" w:rsidRPr="003A3A17">
              <w:rPr>
                <w:i w:val="0"/>
                <w:lang w:val="lv-LV"/>
              </w:rPr>
              <w:t xml:space="preserve"> kas</w:t>
            </w:r>
            <w:r w:rsidRPr="003A3A17">
              <w:rPr>
                <w:i w:val="0"/>
                <w:lang w:val="lv-LV"/>
              </w:rPr>
              <w:t xml:space="preserve"> sākti projekti saskaņā ar Eiropas Parlamenta un Padomes Regulu (ES) Nr. 513/2014, ievērojot Eiropas Parlamenta un Padomes Regulu (ES) Nr. 514/2014.</w:t>
            </w:r>
          </w:p>
        </w:tc>
      </w:tr>
    </w:tbl>
    <w:p w14:paraId="161D29AE" w14:textId="3288E49E" w:rsidR="006A41E2" w:rsidRPr="00D74E7A" w:rsidRDefault="00B32C89" w:rsidP="00B32C89">
      <w:pPr>
        <w:pStyle w:val="ManualHeading1"/>
        <w:rPr>
          <w:noProof/>
          <w:lang w:val="lv-LV"/>
        </w:rPr>
      </w:pPr>
      <w:r w:rsidRPr="00D74E7A">
        <w:rPr>
          <w:lang w:val="lv-LV"/>
        </w:rPr>
        <w:t>2.</w:t>
      </w:r>
      <w:r w:rsidRPr="00D74E7A">
        <w:rPr>
          <w:lang w:val="lv-LV"/>
        </w:rPr>
        <w:tab/>
      </w:r>
      <w:r w:rsidR="006A41E2" w:rsidRPr="00D74E7A">
        <w:rPr>
          <w:noProof/>
          <w:lang w:val="lv-LV"/>
        </w:rPr>
        <w:t xml:space="preserve">Papildināmība </w:t>
      </w:r>
    </w:p>
    <w:p w14:paraId="77D4B77C" w14:textId="61591BB5" w:rsidR="006A41E2" w:rsidRPr="00D74E7A" w:rsidRDefault="00B32C89" w:rsidP="00B32C89">
      <w:pPr>
        <w:pStyle w:val="ManualHeading2"/>
        <w:rPr>
          <w:noProof/>
          <w:lang w:val="lv-LV"/>
        </w:rPr>
      </w:pPr>
      <w:r w:rsidRPr="00D74E7A">
        <w:rPr>
          <w:lang w:val="lv-LV"/>
        </w:rPr>
        <w:t>2.1.</w:t>
      </w:r>
      <w:r w:rsidRPr="00D74E7A">
        <w:rPr>
          <w:lang w:val="lv-LV"/>
        </w:rPr>
        <w:tab/>
      </w:r>
      <w:r w:rsidR="006A41E2" w:rsidRPr="00D74E7A">
        <w:rPr>
          <w:noProof/>
          <w:lang w:val="lv-LV"/>
        </w:rPr>
        <w:t>Papildināmība ar citiem Savienības fondiem – Regulas (ES) 2021/1149 30. panta 2. punkta c) apakšpunkts</w:t>
      </w:r>
    </w:p>
    <w:p w14:paraId="36900C3E" w14:textId="615E1980" w:rsidR="004630E2" w:rsidRPr="00D74E7A" w:rsidRDefault="0060652B" w:rsidP="006A41E2">
      <w:pPr>
        <w:rPr>
          <w:noProof/>
          <w:lang w:val="lv-LV"/>
        </w:rPr>
      </w:pPr>
      <w:r w:rsidRPr="00D74E7A">
        <w:rPr>
          <w:noProof/>
          <w:lang w:val="lv-LV"/>
        </w:rPr>
        <w:t>Aprakstiet papildināmību un attiecīgā gadījumā sinerģiju starp darbībām, kas atbalstītas no fonda, un atbalstu, ko sniedz no citiem Savienības fondiem drošības jomā, piemēram, no:</w:t>
      </w:r>
    </w:p>
    <w:p w14:paraId="4F326FE1" w14:textId="77777777" w:rsidR="004630E2" w:rsidRPr="00D74E7A" w:rsidRDefault="006A41E2" w:rsidP="00912E10">
      <w:pPr>
        <w:pStyle w:val="Tiret0"/>
        <w:numPr>
          <w:ilvl w:val="0"/>
          <w:numId w:val="9"/>
        </w:numPr>
        <w:rPr>
          <w:noProof/>
          <w:lang w:val="lv-LV"/>
        </w:rPr>
      </w:pPr>
      <w:r w:rsidRPr="00D74E7A">
        <w:rPr>
          <w:noProof/>
          <w:lang w:val="lv-LV"/>
        </w:rPr>
        <w:t>Patvēruma, migrācijas un integrācijas fonda (</w:t>
      </w:r>
      <w:r w:rsidRPr="00D74E7A">
        <w:rPr>
          <w:i/>
          <w:noProof/>
          <w:lang w:val="lv-LV"/>
        </w:rPr>
        <w:t>AMIF</w:t>
      </w:r>
      <w:r w:rsidRPr="00D74E7A">
        <w:rPr>
          <w:noProof/>
          <w:lang w:val="lv-LV"/>
        </w:rPr>
        <w:t>) un Integrētās robežu pārvaldības fonda (</w:t>
      </w:r>
      <w:r w:rsidRPr="00D74E7A">
        <w:rPr>
          <w:i/>
          <w:noProof/>
          <w:lang w:val="lv-LV"/>
        </w:rPr>
        <w:t>IBMF</w:t>
      </w:r>
      <w:r w:rsidRPr="00D74E7A">
        <w:rPr>
          <w:noProof/>
          <w:lang w:val="lv-LV"/>
        </w:rPr>
        <w:t>), tai skaitā Robežu pārvaldības un vīzu instrumenta (</w:t>
      </w:r>
      <w:r w:rsidRPr="00D74E7A">
        <w:rPr>
          <w:i/>
          <w:noProof/>
          <w:lang w:val="lv-LV"/>
        </w:rPr>
        <w:t>BMVI</w:t>
      </w:r>
      <w:r w:rsidRPr="00D74E7A">
        <w:rPr>
          <w:noProof/>
          <w:lang w:val="lv-LV"/>
        </w:rPr>
        <w:t>) un finansiālā atbalsta instrumenta muitas kontroles iekārtām,</w:t>
      </w:r>
    </w:p>
    <w:p w14:paraId="5CFADDE8" w14:textId="77777777" w:rsidR="004630E2" w:rsidRPr="00D74E7A" w:rsidRDefault="006A41E2" w:rsidP="00912E10">
      <w:pPr>
        <w:pStyle w:val="Tiret0"/>
        <w:numPr>
          <w:ilvl w:val="0"/>
          <w:numId w:val="9"/>
        </w:numPr>
        <w:rPr>
          <w:noProof/>
          <w:lang w:val="lv-LV"/>
        </w:rPr>
      </w:pPr>
      <w:r w:rsidRPr="00D74E7A">
        <w:rPr>
          <w:noProof/>
          <w:lang w:val="lv-LV"/>
        </w:rPr>
        <w:t>kohēzijas fondiem, jo īpaši Eiropas Reģionālās attīstības fonda (ERAF),</w:t>
      </w:r>
    </w:p>
    <w:p w14:paraId="1F1FFEF3" w14:textId="77777777" w:rsidR="004630E2" w:rsidRPr="00D74E7A" w:rsidRDefault="006A41E2" w:rsidP="00912E10">
      <w:pPr>
        <w:pStyle w:val="Tiret0"/>
        <w:numPr>
          <w:ilvl w:val="0"/>
          <w:numId w:val="9"/>
        </w:numPr>
        <w:rPr>
          <w:noProof/>
          <w:lang w:val="lv-LV"/>
        </w:rPr>
      </w:pPr>
      <w:r w:rsidRPr="00D74E7A">
        <w:rPr>
          <w:noProof/>
          <w:lang w:val="lv-LV"/>
        </w:rPr>
        <w:t>pamatprogrammas “Apvārsnis Eiropa” drošības pētniecības daļas,</w:t>
      </w:r>
    </w:p>
    <w:p w14:paraId="298478CF" w14:textId="77777777" w:rsidR="004630E2" w:rsidRPr="00D74E7A" w:rsidRDefault="006A41E2" w:rsidP="00912E10">
      <w:pPr>
        <w:pStyle w:val="Tiret0"/>
        <w:numPr>
          <w:ilvl w:val="0"/>
          <w:numId w:val="9"/>
        </w:numPr>
        <w:rPr>
          <w:noProof/>
          <w:lang w:val="lv-LV"/>
        </w:rPr>
      </w:pPr>
      <w:r w:rsidRPr="00D74E7A">
        <w:rPr>
          <w:noProof/>
          <w:lang w:val="lv-LV"/>
        </w:rPr>
        <w:t>programmas “Pilsoņi, vienlīdzība, tiesības un vērtības” un programmas “Tiesiskums”,</w:t>
      </w:r>
    </w:p>
    <w:p w14:paraId="5A1B7071" w14:textId="77777777" w:rsidR="004630E2" w:rsidRPr="00D74E7A" w:rsidRDefault="006A41E2" w:rsidP="00912E10">
      <w:pPr>
        <w:pStyle w:val="Tiret0"/>
        <w:numPr>
          <w:ilvl w:val="0"/>
          <w:numId w:val="9"/>
        </w:numPr>
        <w:rPr>
          <w:noProof/>
          <w:lang w:val="lv-LV"/>
        </w:rPr>
      </w:pPr>
      <w:r w:rsidRPr="00D74E7A">
        <w:rPr>
          <w:noProof/>
          <w:lang w:val="lv-LV"/>
        </w:rPr>
        <w:t>programmas “Digitālā Eiropa”,</w:t>
      </w:r>
    </w:p>
    <w:p w14:paraId="69B597AF" w14:textId="77777777" w:rsidR="004630E2" w:rsidRPr="00D74E7A" w:rsidRDefault="006A41E2" w:rsidP="00912E10">
      <w:pPr>
        <w:pStyle w:val="Tiret0"/>
        <w:numPr>
          <w:ilvl w:val="0"/>
          <w:numId w:val="9"/>
        </w:numPr>
        <w:rPr>
          <w:noProof/>
          <w:lang w:val="lv-LV"/>
        </w:rPr>
      </w:pPr>
      <w:r w:rsidRPr="00D74E7A">
        <w:rPr>
          <w:noProof/>
          <w:lang w:val="lv-LV"/>
        </w:rPr>
        <w:t xml:space="preserve">programmas </w:t>
      </w:r>
      <w:r w:rsidRPr="00D74E7A">
        <w:rPr>
          <w:i/>
          <w:noProof/>
          <w:lang w:val="lv-LV"/>
        </w:rPr>
        <w:t>InvestEU</w:t>
      </w:r>
      <w:r w:rsidRPr="00D74E7A">
        <w:rPr>
          <w:noProof/>
          <w:lang w:val="lv-LV"/>
        </w:rPr>
        <w:t>,</w:t>
      </w:r>
    </w:p>
    <w:p w14:paraId="7688FF58" w14:textId="77777777" w:rsidR="004630E2" w:rsidRPr="00D74E7A" w:rsidRDefault="006A41E2" w:rsidP="00912E10">
      <w:pPr>
        <w:pStyle w:val="Tiret0"/>
        <w:numPr>
          <w:ilvl w:val="0"/>
          <w:numId w:val="9"/>
        </w:numPr>
        <w:rPr>
          <w:noProof/>
          <w:lang w:val="lv-LV"/>
        </w:rPr>
      </w:pPr>
      <w:r w:rsidRPr="00D74E7A">
        <w:rPr>
          <w:noProof/>
          <w:lang w:val="lv-LV"/>
        </w:rPr>
        <w:t>tehniskā atbalsta instrumenta,</w:t>
      </w:r>
    </w:p>
    <w:p w14:paraId="00B8CCF5" w14:textId="2AEE8C8C" w:rsidR="004630E2" w:rsidRPr="00D74E7A" w:rsidRDefault="006A41E2" w:rsidP="00912E10">
      <w:pPr>
        <w:pStyle w:val="Tiret0"/>
        <w:numPr>
          <w:ilvl w:val="0"/>
          <w:numId w:val="9"/>
        </w:numPr>
        <w:rPr>
          <w:noProof/>
          <w:lang w:val="lv-LV"/>
        </w:rPr>
      </w:pPr>
      <w:r w:rsidRPr="00D74E7A">
        <w:rPr>
          <w:i/>
          <w:iCs/>
          <w:noProof/>
          <w:lang w:val="lv-LV"/>
        </w:rPr>
        <w:t>rescEU</w:t>
      </w:r>
      <w:r w:rsidRPr="00D74E7A">
        <w:rPr>
          <w:noProof/>
          <w:lang w:val="lv-LV"/>
        </w:rPr>
        <w:t xml:space="preserve"> rezerves,</w:t>
      </w:r>
    </w:p>
    <w:p w14:paraId="4C9B7B64" w14:textId="77777777" w:rsidR="004630E2" w:rsidRPr="00D74E7A" w:rsidRDefault="004630E2" w:rsidP="00912E10">
      <w:pPr>
        <w:pStyle w:val="Tiret0"/>
        <w:numPr>
          <w:ilvl w:val="0"/>
          <w:numId w:val="9"/>
        </w:numPr>
        <w:rPr>
          <w:noProof/>
          <w:lang w:val="lv-LV"/>
        </w:rPr>
      </w:pPr>
      <w:r w:rsidRPr="00D74E7A">
        <w:rPr>
          <w:noProof/>
          <w:lang w:val="lv-LV"/>
        </w:rPr>
        <w:lastRenderedPageBreak/>
        <w:t>Kaimiņattiecību, attīstības sadarbības un starptautiskās sadarbības instrumenta (</w:t>
      </w:r>
      <w:r w:rsidRPr="00D74E7A">
        <w:rPr>
          <w:i/>
          <w:noProof/>
          <w:lang w:val="lv-LV"/>
        </w:rPr>
        <w:t>NDICI</w:t>
      </w:r>
      <w:r w:rsidRPr="00D74E7A">
        <w:rPr>
          <w:noProof/>
          <w:lang w:val="lv-LV"/>
        </w:rPr>
        <w:t>) – “Eiropa pasaulē” un</w:t>
      </w:r>
    </w:p>
    <w:p w14:paraId="03D98180" w14:textId="77777777" w:rsidR="004630E2" w:rsidRPr="00D74E7A" w:rsidRDefault="004630E2" w:rsidP="00912E10">
      <w:pPr>
        <w:pStyle w:val="Tiret0"/>
        <w:numPr>
          <w:ilvl w:val="0"/>
          <w:numId w:val="9"/>
        </w:numPr>
        <w:rPr>
          <w:noProof/>
          <w:lang w:val="lv-LV"/>
        </w:rPr>
      </w:pPr>
      <w:r w:rsidRPr="00D74E7A">
        <w:rPr>
          <w:noProof/>
          <w:lang w:val="lv-LV"/>
        </w:rPr>
        <w:t>Pirmspievienošanās palīdzības instrumenta (</w:t>
      </w:r>
      <w:r w:rsidRPr="00D74E7A">
        <w:rPr>
          <w:i/>
          <w:iCs/>
          <w:noProof/>
          <w:lang w:val="lv-LV"/>
        </w:rPr>
        <w:t>IPA</w:t>
      </w:r>
      <w:r w:rsidRPr="00D74E7A">
        <w:rPr>
          <w:noProof/>
          <w:lang w:val="lv-LV"/>
        </w:rPr>
        <w:t xml:space="preserve">). </w:t>
      </w:r>
    </w:p>
    <w:p w14:paraId="66615CC6" w14:textId="77777777" w:rsidR="006A41E2" w:rsidRPr="00D74E7A" w:rsidRDefault="0060652B" w:rsidP="006A41E2">
      <w:pPr>
        <w:rPr>
          <w:noProof/>
          <w:lang w:val="lv-LV"/>
        </w:rPr>
      </w:pPr>
      <w:r w:rsidRPr="00D74E7A">
        <w:rPr>
          <w:noProof/>
          <w:lang w:val="lv-LV"/>
        </w:rPr>
        <w:t>Īpašu uzmanību pievērsiet:</w:t>
      </w:r>
    </w:p>
    <w:p w14:paraId="403109BF" w14:textId="41F50CEC" w:rsidR="006A41E2" w:rsidRPr="00D74E7A" w:rsidRDefault="007261C3" w:rsidP="007C6174">
      <w:pPr>
        <w:pStyle w:val="Tiret0"/>
        <w:numPr>
          <w:ilvl w:val="0"/>
          <w:numId w:val="11"/>
        </w:numPr>
        <w:rPr>
          <w:noProof/>
          <w:lang w:val="lv-LV"/>
        </w:rPr>
      </w:pPr>
      <w:r w:rsidRPr="00D74E7A">
        <w:rPr>
          <w:noProof/>
          <w:lang w:val="lv-LV"/>
        </w:rPr>
        <w:t>papildināmībai ar Savienības ārējās finansēšanas instrumentiem attiecībā uz darbībām, ko veic trešās valstīs vai saistībā ar tām (uzsveriet aspektus, kas atbilst Savienības ārpolitikas principiem un vispārējiem mērķiem), un</w:t>
      </w:r>
    </w:p>
    <w:p w14:paraId="344FBADB" w14:textId="290F1D4B" w:rsidR="006A41E2" w:rsidRPr="00D74E7A" w:rsidRDefault="006A41E2" w:rsidP="007C6174">
      <w:pPr>
        <w:pStyle w:val="Tiret0"/>
        <w:numPr>
          <w:ilvl w:val="0"/>
          <w:numId w:val="11"/>
        </w:numPr>
        <w:rPr>
          <w:noProof/>
          <w:lang w:val="lv-LV"/>
        </w:rPr>
      </w:pPr>
      <w:r w:rsidRPr="00D74E7A">
        <w:rPr>
          <w:noProof/>
          <w:lang w:val="lv-LV"/>
        </w:rPr>
        <w:t>tādu veicinošu mehānismu izmantošanai kā organizatoriska un procesuāla kārtība, kas palīdz panākt papildināmību, un attiecīgā gadījumā sinerģijām, kā arī visām grāmatvedības gada laikā veiktajām darbībām ar nolūku tās uzlabot.</w:t>
      </w:r>
    </w:p>
    <w:p w14:paraId="4E19E95E" w14:textId="77777777" w:rsidR="00397A63" w:rsidRPr="00D74E7A" w:rsidRDefault="00397A63" w:rsidP="00397A63">
      <w:pPr>
        <w:rPr>
          <w:noProof/>
          <w:lang w:val="lv-LV"/>
        </w:rPr>
      </w:pPr>
      <w:r w:rsidRPr="00D74E7A">
        <w:rPr>
          <w:noProof/>
          <w:lang w:val="lv-LV"/>
        </w:rPr>
        <w:t>Attiecīgā gadījumā aprakstiet arī:</w:t>
      </w:r>
    </w:p>
    <w:p w14:paraId="531A8F5E" w14:textId="444006D0" w:rsidR="00397A63" w:rsidRPr="00D74E7A" w:rsidRDefault="00397A63" w:rsidP="007C6174">
      <w:pPr>
        <w:pStyle w:val="Tiret0"/>
        <w:numPr>
          <w:ilvl w:val="0"/>
          <w:numId w:val="11"/>
        </w:numPr>
        <w:rPr>
          <w:noProof/>
          <w:lang w:val="lv-LV"/>
        </w:rPr>
      </w:pPr>
      <w:r w:rsidRPr="00D74E7A">
        <w:rPr>
          <w:noProof/>
          <w:lang w:val="lv-LV"/>
        </w:rPr>
        <w:t>veikto aktivitāšu papildināmību no aģentūru sadarbības stiprināšanas aspekta</w:t>
      </w:r>
      <w:r w:rsidRPr="00D74E7A">
        <w:rPr>
          <w:rStyle w:val="FootnoteReference"/>
          <w:noProof/>
          <w:lang w:val="lv-LV"/>
        </w:rPr>
        <w:footnoteReference w:id="18"/>
      </w:r>
      <w:r w:rsidRPr="00D74E7A">
        <w:rPr>
          <w:noProof/>
          <w:lang w:val="lv-LV"/>
        </w:rPr>
        <w:t>;</w:t>
      </w:r>
    </w:p>
    <w:p w14:paraId="15E13FE3" w14:textId="7C502C23" w:rsidR="00397A63" w:rsidRPr="00D74E7A" w:rsidRDefault="00397A63" w:rsidP="007C6174">
      <w:pPr>
        <w:pStyle w:val="Tiret0"/>
        <w:numPr>
          <w:ilvl w:val="0"/>
          <w:numId w:val="11"/>
        </w:numPr>
        <w:rPr>
          <w:noProof/>
          <w:lang w:val="lv-LV"/>
        </w:rPr>
      </w:pPr>
      <w:r w:rsidRPr="00D74E7A">
        <w:rPr>
          <w:noProof/>
          <w:lang w:val="lv-LV"/>
        </w:rPr>
        <w:t>sinerģijas attiecībā uz infrastruktūras un publiskās telpas drošību, kiberdrošību, cietušo aizsardzību un radikalizācijas novēršanu.</w:t>
      </w:r>
    </w:p>
    <w:tbl>
      <w:tblPr>
        <w:tblStyle w:val="TableGrid"/>
        <w:tblW w:w="0" w:type="auto"/>
        <w:tblLook w:val="04A0" w:firstRow="1" w:lastRow="0" w:firstColumn="1" w:lastColumn="0" w:noHBand="0" w:noVBand="1"/>
      </w:tblPr>
      <w:tblGrid>
        <w:gridCol w:w="9063"/>
      </w:tblGrid>
      <w:tr w:rsidR="003A3A17" w:rsidRPr="00037FD2" w14:paraId="74C71D55" w14:textId="77777777" w:rsidTr="00E45665">
        <w:tc>
          <w:tcPr>
            <w:tcW w:w="9289" w:type="dxa"/>
          </w:tcPr>
          <w:p w14:paraId="416C09E5" w14:textId="77777777" w:rsidR="001C1F05" w:rsidRPr="00D74E7A" w:rsidRDefault="00544E72" w:rsidP="00B06517">
            <w:pPr>
              <w:rPr>
                <w:noProof/>
                <w:lang w:val="lv-LV"/>
              </w:rPr>
            </w:pPr>
            <w:r w:rsidRPr="00D74E7A">
              <w:rPr>
                <w:i/>
                <w:noProof/>
                <w:lang w:val="lv-LV"/>
              </w:rPr>
              <w:t>Šeit ierakstiet tekstu. Ne vairāk kā 6000 rakstzīmes</w:t>
            </w:r>
            <w:r w:rsidRPr="00D74E7A">
              <w:rPr>
                <w:noProof/>
                <w:lang w:val="lv-LV"/>
              </w:rPr>
              <w:t>.</w:t>
            </w:r>
          </w:p>
          <w:p w14:paraId="0D9DEB85" w14:textId="06AC6707" w:rsidR="00650495" w:rsidRPr="00D74E7A" w:rsidRDefault="00650495" w:rsidP="004063D5">
            <w:pPr>
              <w:pStyle w:val="Personnequisigne"/>
              <w:spacing w:before="240"/>
              <w:ind w:firstLine="884"/>
              <w:jc w:val="both"/>
              <w:rPr>
                <w:lang w:val="lv-LV"/>
              </w:rPr>
            </w:pPr>
            <w:proofErr w:type="spellStart"/>
            <w:r w:rsidRPr="00D74E7A">
              <w:rPr>
                <w:i w:val="0"/>
                <w:lang w:val="lv-LV"/>
              </w:rPr>
              <w:t>Papildināmību</w:t>
            </w:r>
            <w:proofErr w:type="spellEnd"/>
            <w:r w:rsidRPr="00D74E7A">
              <w:rPr>
                <w:i w:val="0"/>
                <w:lang w:val="lv-LV"/>
              </w:rPr>
              <w:t xml:space="preserve"> ar citiem ES fondiem uzrauga IDF </w:t>
            </w:r>
            <w:r w:rsidR="00B67418">
              <w:rPr>
                <w:i w:val="0"/>
                <w:lang w:val="lv-LV"/>
              </w:rPr>
              <w:t>UK</w:t>
            </w:r>
            <w:r w:rsidRPr="00D74E7A">
              <w:rPr>
                <w:i w:val="0"/>
                <w:lang w:val="lv-LV"/>
              </w:rPr>
              <w:t>, kā arī vadošās iestādes izveidotā Projektu uzraudzības padome.</w:t>
            </w:r>
          </w:p>
          <w:p w14:paraId="6FBC4571" w14:textId="14344D21" w:rsidR="00DA7319" w:rsidRPr="00D74E7A" w:rsidRDefault="00DA7319" w:rsidP="004063D5">
            <w:pPr>
              <w:pStyle w:val="NormalWeb"/>
              <w:spacing w:before="0" w:beforeAutospacing="0" w:after="0" w:afterAutospacing="0"/>
              <w:ind w:firstLine="851"/>
              <w:jc w:val="both"/>
              <w:rPr>
                <w:szCs w:val="22"/>
                <w:lang w:val="lv-LV"/>
              </w:rPr>
            </w:pPr>
            <w:r w:rsidRPr="00D74E7A">
              <w:rPr>
                <w:noProof/>
                <w:szCs w:val="22"/>
                <w:lang w:val="lv-LV"/>
              </w:rPr>
              <w:t>Pamatojoties uz Iekšlietu ministrijas 25.09.2023 rīkojumu Nr.1-2/1264</w:t>
            </w:r>
            <w:r w:rsidR="00AC5462" w:rsidRPr="00D74E7A">
              <w:rPr>
                <w:noProof/>
                <w:szCs w:val="22"/>
                <w:lang w:val="lv-LV"/>
              </w:rPr>
              <w:t>,</w:t>
            </w:r>
            <w:r w:rsidRPr="00D74E7A">
              <w:rPr>
                <w:noProof/>
                <w:szCs w:val="22"/>
                <w:lang w:val="lv-LV"/>
              </w:rPr>
              <w:t xml:space="preserve"> </w:t>
            </w:r>
            <w:r w:rsidR="00AC5462" w:rsidRPr="00D74E7A">
              <w:rPr>
                <w:noProof/>
                <w:szCs w:val="22"/>
                <w:lang w:val="lv-LV"/>
              </w:rPr>
              <w:t>IDF</w:t>
            </w:r>
            <w:r w:rsidRPr="00D74E7A">
              <w:rPr>
                <w:noProof/>
                <w:szCs w:val="22"/>
                <w:lang w:val="lv-LV"/>
              </w:rPr>
              <w:t xml:space="preserve"> 2021.-2027. gada </w:t>
            </w:r>
            <w:r w:rsidR="00AC5462" w:rsidRPr="00D74E7A">
              <w:rPr>
                <w:noProof/>
                <w:szCs w:val="22"/>
                <w:lang w:val="lv-LV"/>
              </w:rPr>
              <w:t xml:space="preserve">plānošanas perioda </w:t>
            </w:r>
            <w:r w:rsidR="00B67418">
              <w:rPr>
                <w:noProof/>
                <w:szCs w:val="22"/>
                <w:lang w:val="lv-LV"/>
              </w:rPr>
              <w:t>UK</w:t>
            </w:r>
            <w:r w:rsidR="00B67418" w:rsidRPr="00D74E7A">
              <w:rPr>
                <w:noProof/>
                <w:szCs w:val="22"/>
                <w:lang w:val="lv-LV"/>
              </w:rPr>
              <w:t xml:space="preserve"> </w:t>
            </w:r>
            <w:r w:rsidRPr="00D74E7A">
              <w:rPr>
                <w:noProof/>
                <w:szCs w:val="22"/>
                <w:lang w:val="lv-LV"/>
              </w:rPr>
              <w:t xml:space="preserve">sastāvā ir iekļauts </w:t>
            </w:r>
            <w:r w:rsidR="00B67418">
              <w:rPr>
                <w:noProof/>
                <w:szCs w:val="22"/>
                <w:lang w:val="lv-LV"/>
              </w:rPr>
              <w:t>UK</w:t>
            </w:r>
            <w:r w:rsidR="00B67418" w:rsidRPr="00D74E7A">
              <w:rPr>
                <w:noProof/>
                <w:szCs w:val="22"/>
                <w:lang w:val="lv-LV"/>
              </w:rPr>
              <w:t xml:space="preserve"> </w:t>
            </w:r>
            <w:r w:rsidRPr="00D74E7A">
              <w:rPr>
                <w:noProof/>
                <w:szCs w:val="22"/>
                <w:lang w:val="lv-LV"/>
              </w:rPr>
              <w:t xml:space="preserve">loceklis ar balsstiesībām no Finanšu ministrijas </w:t>
            </w:r>
            <w:r w:rsidR="003A5978">
              <w:rPr>
                <w:noProof/>
                <w:szCs w:val="22"/>
                <w:lang w:val="lv-LV"/>
              </w:rPr>
              <w:t>ES</w:t>
            </w:r>
            <w:r w:rsidR="003A5978" w:rsidRPr="00D74E7A">
              <w:rPr>
                <w:noProof/>
                <w:szCs w:val="22"/>
                <w:lang w:val="lv-LV"/>
              </w:rPr>
              <w:t xml:space="preserve"> </w:t>
            </w:r>
            <w:r w:rsidRPr="00D74E7A">
              <w:rPr>
                <w:noProof/>
                <w:szCs w:val="22"/>
                <w:lang w:val="lv-LV"/>
              </w:rPr>
              <w:t xml:space="preserve">fondu Stratēģijas departamenta Izvērtēšanas nodaļas, kas </w:t>
            </w:r>
            <w:r w:rsidR="00B67418">
              <w:rPr>
                <w:noProof/>
                <w:szCs w:val="22"/>
                <w:lang w:val="lv-LV"/>
              </w:rPr>
              <w:t>UK</w:t>
            </w:r>
            <w:r w:rsidR="00B67418" w:rsidRPr="00D74E7A">
              <w:rPr>
                <w:noProof/>
                <w:szCs w:val="22"/>
                <w:lang w:val="lv-LV"/>
              </w:rPr>
              <w:t xml:space="preserve"> </w:t>
            </w:r>
            <w:r w:rsidRPr="00D74E7A">
              <w:rPr>
                <w:noProof/>
                <w:szCs w:val="22"/>
                <w:lang w:val="lv-LV"/>
              </w:rPr>
              <w:t>lēmuma saskaņošanas laikā sniedz savu viedokli un nodrošina demarkāciju</w:t>
            </w:r>
            <w:r w:rsidR="00AC5462" w:rsidRPr="00D74E7A">
              <w:rPr>
                <w:noProof/>
                <w:szCs w:val="22"/>
                <w:lang w:val="lv-LV"/>
              </w:rPr>
              <w:t xml:space="preserve"> ar citiem finanšu instrumentiem savas kompetences ietvaros</w:t>
            </w:r>
            <w:r w:rsidRPr="00D74E7A">
              <w:rPr>
                <w:noProof/>
                <w:szCs w:val="22"/>
                <w:lang w:val="lv-LV"/>
              </w:rPr>
              <w:t>.</w:t>
            </w:r>
          </w:p>
          <w:p w14:paraId="24C0F17F" w14:textId="7BACEFE0" w:rsidR="00DA7319" w:rsidRPr="00D74E7A" w:rsidRDefault="00DA7319" w:rsidP="009D1E06">
            <w:pPr>
              <w:ind w:firstLine="851"/>
              <w:rPr>
                <w:noProof/>
                <w:lang w:val="lv-LV"/>
              </w:rPr>
            </w:pPr>
            <w:r w:rsidRPr="00D74E7A">
              <w:rPr>
                <w:noProof/>
                <w:lang w:val="lv-LV"/>
              </w:rPr>
              <w:t> </w:t>
            </w:r>
            <w:r w:rsidR="00B67418">
              <w:rPr>
                <w:noProof/>
                <w:lang w:val="lv-LV"/>
              </w:rPr>
              <w:t>UK</w:t>
            </w:r>
            <w:r w:rsidR="00B67418" w:rsidRPr="00D74E7A">
              <w:rPr>
                <w:noProof/>
                <w:lang w:val="lv-LV"/>
              </w:rPr>
              <w:t xml:space="preserve"> </w:t>
            </w:r>
            <w:r w:rsidRPr="00D74E7A">
              <w:rPr>
                <w:noProof/>
                <w:lang w:val="lv-LV"/>
              </w:rPr>
              <w:t>2023.</w:t>
            </w:r>
            <w:r w:rsidR="00B67418">
              <w:rPr>
                <w:noProof/>
                <w:lang w:val="lv-LV"/>
              </w:rPr>
              <w:t xml:space="preserve"> </w:t>
            </w:r>
            <w:r w:rsidRPr="00D74E7A">
              <w:rPr>
                <w:noProof/>
                <w:lang w:val="lv-LV"/>
              </w:rPr>
              <w:t>gada 30.</w:t>
            </w:r>
            <w:r w:rsidR="001E7E11" w:rsidRPr="00D74E7A">
              <w:rPr>
                <w:noProof/>
                <w:lang w:val="lv-LV"/>
              </w:rPr>
              <w:t xml:space="preserve"> </w:t>
            </w:r>
            <w:r w:rsidRPr="00D74E7A">
              <w:rPr>
                <w:noProof/>
                <w:lang w:val="lv-LV"/>
              </w:rPr>
              <w:t>novembra lēmuma Nr.</w:t>
            </w:r>
            <w:r w:rsidR="001E7E11" w:rsidRPr="00D74E7A">
              <w:rPr>
                <w:noProof/>
                <w:lang w:val="lv-LV"/>
              </w:rPr>
              <w:t xml:space="preserve"> </w:t>
            </w:r>
            <w:r w:rsidRPr="00D74E7A">
              <w:rPr>
                <w:noProof/>
                <w:lang w:val="lv-LV"/>
              </w:rPr>
              <w:t xml:space="preserve">5 saskaņošanas laikā Finanšu ministrija Iekšlietu ministrijai vērsa uzmanību uz </w:t>
            </w:r>
            <w:r w:rsidR="00AC5462" w:rsidRPr="00D74E7A">
              <w:rPr>
                <w:noProof/>
                <w:lang w:val="lv-LV"/>
              </w:rPr>
              <w:t>IDF</w:t>
            </w:r>
            <w:r w:rsidR="003A3A17" w:rsidRPr="00D74E7A">
              <w:rPr>
                <w:noProof/>
                <w:lang w:val="lv-LV"/>
              </w:rPr>
              <w:t xml:space="preserve"> </w:t>
            </w:r>
            <w:r w:rsidRPr="00D74E7A">
              <w:rPr>
                <w:noProof/>
                <w:lang w:val="lv-LV"/>
              </w:rPr>
              <w:t>programmas 1.aktivitāti “Vienotas kriminālizlūkošanas sistēmas pilnveide”, kuras ietvaros paredzēta projekta iesnieguma “Vienotas kriminālizlūkošanas sistēmas pilnveide” izstrāde un lūdza dokumentu sagatavošanas procesā izvērtēt un noteikt 1.aktivitātes demarkāciju ar Atveseļošanās fonda 6.2.1.2.i. investīciju “Ekonomisko noziegumu izmeklēšanas kapacitātes stiprināšana” (</w:t>
            </w:r>
            <w:hyperlink r:id="rId11" w:history="1">
              <w:r w:rsidRPr="00D74E7A">
                <w:rPr>
                  <w:lang w:val="lv-LV"/>
                </w:rPr>
                <w:t xml:space="preserve">Par </w:t>
              </w:r>
              <w:r w:rsidR="003A5978">
                <w:rPr>
                  <w:lang w:val="lv-LV"/>
                </w:rPr>
                <w:t>ES</w:t>
              </w:r>
              <w:r w:rsidR="003A5978" w:rsidRPr="00D74E7A">
                <w:rPr>
                  <w:lang w:val="lv-LV"/>
                </w:rPr>
                <w:t xml:space="preserve"> </w:t>
              </w:r>
              <w:r w:rsidRPr="00D74E7A">
                <w:rPr>
                  <w:lang w:val="lv-LV"/>
                </w:rPr>
                <w:t xml:space="preserve">Atveseļošanas un noturības mehānisma plāna 6. komponentes "Likuma vara" 6.2. reformu un investīciju virziena "Noziedzīgi iegūtu līdzekļu legalizācijas identificēšana, ekonomisko noziegumu izmeklēšana, tiesvedības procesu modernizācija un </w:t>
              </w:r>
              <w:r w:rsidR="003A3A17" w:rsidRPr="00D74E7A">
                <w:rPr>
                  <w:lang w:val="lv-LV"/>
                </w:rPr>
                <w:t>preventīvo darbību</w:t>
              </w:r>
              <w:r w:rsidRPr="00D74E7A">
                <w:rPr>
                  <w:lang w:val="lv-LV"/>
                </w:rPr>
                <w:t xml:space="preserve"> īstenošana" 6.2.1.r reformas "Noziedzīgi iegūtu līdzekļu legalizācijas identificēšanas, ekonomisko noziegumu izmeklēšanas un tiesvedības procesu modernizācija 6.2.1.1.i. investīcijas "AML inovāciju centra izveide noziedzīgi iegūtu līdzekļu legalizācijas identificēšanas uzlabošanai" un 6.2.1.2.i. investīcijas "Ekonomisko noziegumu izmeklēšanas kapacitātes stiprināšana" īstenošanu (mk.gov.lv)</w:t>
              </w:r>
            </w:hyperlink>
            <w:r w:rsidRPr="00D74E7A">
              <w:rPr>
                <w:noProof/>
                <w:lang w:val="lv-LV"/>
              </w:rPr>
              <w:t>). Izvērtējot Iekš</w:t>
            </w:r>
            <w:r w:rsidR="00651A7C" w:rsidRPr="00D74E7A">
              <w:rPr>
                <w:noProof/>
                <w:lang w:val="lv-LV"/>
              </w:rPr>
              <w:t>l</w:t>
            </w:r>
            <w:r w:rsidRPr="00D74E7A">
              <w:rPr>
                <w:noProof/>
                <w:lang w:val="lv-LV"/>
              </w:rPr>
              <w:t>ietu ministrijai pieejamo informāciju, tika pieņemts lēmums, ka iepriekšminēto aktivitāšu īstenošanas procesā ir nodrošināta</w:t>
            </w:r>
            <w:r w:rsidR="003A3A17" w:rsidRPr="00D74E7A">
              <w:rPr>
                <w:noProof/>
                <w:lang w:val="lv-LV"/>
              </w:rPr>
              <w:t xml:space="preserve"> </w:t>
            </w:r>
            <w:r w:rsidRPr="00D74E7A">
              <w:rPr>
                <w:noProof/>
                <w:lang w:val="lv-LV"/>
              </w:rPr>
              <w:t>aktivitāšu nepārklāšanās.</w:t>
            </w:r>
          </w:p>
          <w:p w14:paraId="19BDDAF6" w14:textId="77777777" w:rsidR="004F52C4" w:rsidRPr="00D74E7A" w:rsidRDefault="009D1E06" w:rsidP="004F52C4">
            <w:pPr>
              <w:ind w:firstLine="851"/>
              <w:rPr>
                <w:lang w:val="lv-LV"/>
              </w:rPr>
            </w:pPr>
            <w:r w:rsidRPr="00D74E7A">
              <w:rPr>
                <w:lang w:val="lv-LV"/>
              </w:rPr>
              <w:t>IDF programmas 1. konkrētā mērķa – informācijas aprites un apmaiņas starp kompete</w:t>
            </w:r>
            <w:r w:rsidR="004C6B7E" w:rsidRPr="00D74E7A">
              <w:rPr>
                <w:lang w:val="lv-LV"/>
              </w:rPr>
              <w:t>n</w:t>
            </w:r>
            <w:r w:rsidRPr="00D74E7A">
              <w:rPr>
                <w:lang w:val="lv-LV"/>
              </w:rPr>
              <w:t xml:space="preserve">tajām iestādēm kontekstā ir </w:t>
            </w:r>
            <w:proofErr w:type="spellStart"/>
            <w:r w:rsidRPr="00D74E7A">
              <w:rPr>
                <w:lang w:val="lv-LV"/>
              </w:rPr>
              <w:t>papildināmība</w:t>
            </w:r>
            <w:proofErr w:type="spellEnd"/>
            <w:r w:rsidRPr="00D74E7A">
              <w:rPr>
                <w:lang w:val="lv-LV"/>
              </w:rPr>
              <w:t xml:space="preserve"> ar</w:t>
            </w:r>
            <w:r w:rsidR="004C6B7E" w:rsidRPr="00D74E7A">
              <w:rPr>
                <w:lang w:val="lv-LV"/>
              </w:rPr>
              <w:t xml:space="preserve"> Latvijas</w:t>
            </w:r>
            <w:r w:rsidRPr="00D74E7A">
              <w:rPr>
                <w:lang w:val="lv-LV"/>
              </w:rPr>
              <w:t xml:space="preserve"> </w:t>
            </w:r>
            <w:r w:rsidR="004C6B7E" w:rsidRPr="00D74E7A">
              <w:rPr>
                <w:lang w:val="lv-LV"/>
              </w:rPr>
              <w:t>Atveseļošanās un noturības mehānisma plānu</w:t>
            </w:r>
            <w:r w:rsidR="004F52C4" w:rsidRPr="00D74E7A">
              <w:rPr>
                <w:lang w:val="lv-LV"/>
              </w:rPr>
              <w:t>, kur 6. komponentes “Likuma vara” 6.2.1.r. reformas “Noziedzīgi iegūtu līdzekļu legalizācijas identificēšanas, ekonomisko noziegumu izmeklēšanas un tiesvedības procesu modernizācija”</w:t>
            </w:r>
            <w:r w:rsidR="004C6B7E" w:rsidRPr="00D74E7A">
              <w:rPr>
                <w:lang w:val="lv-LV"/>
              </w:rPr>
              <w:t xml:space="preserve"> </w:t>
            </w:r>
            <w:r w:rsidR="004F52C4" w:rsidRPr="00D74E7A">
              <w:rPr>
                <w:lang w:val="lv-LV"/>
              </w:rPr>
              <w:t xml:space="preserve">ietvaros plānota 6.2.1.1.i. investīcija “AML inovāciju centra izveide noziedzīgi iegūtu līdzekļu legalizācijas identificēšanas uzlabošanai”, kur cita starpā tiks veicināta informācijas apmaiņa starp iestādēm un kuras rezultātā tiks nodrošināts elektroniski </w:t>
            </w:r>
            <w:proofErr w:type="spellStart"/>
            <w:r w:rsidR="004F52C4" w:rsidRPr="00D74E7A">
              <w:rPr>
                <w:lang w:val="lv-LV"/>
              </w:rPr>
              <w:t>kriminālizmeklēšanai</w:t>
            </w:r>
            <w:proofErr w:type="spellEnd"/>
            <w:r w:rsidR="004F52C4" w:rsidRPr="00D74E7A">
              <w:rPr>
                <w:lang w:val="lv-LV"/>
              </w:rPr>
              <w:t xml:space="preserve"> nodoto finanšu un ekonomisko noziegumu lietu apjoma pieauguma īpatsvars no 0% līdz 100%, kas nozīmē noziedzīgi iegūtu līdzekļu legalizācijas identificēšanas uzlabošanu, īstenojot uz datu analīzē un tipoloģijās balstītu nepārtrauktu zināšanu pārnesi no pētniecības uz finanšu izlūkošanu drošās publiskās-privātas partnerības platformas ietvaros.</w:t>
            </w:r>
          </w:p>
          <w:p w14:paraId="5E68F5AF" w14:textId="79B21768" w:rsidR="009D1E06" w:rsidRPr="00D74E7A" w:rsidRDefault="001A34FF" w:rsidP="004F52C4">
            <w:pPr>
              <w:ind w:firstLine="851"/>
              <w:rPr>
                <w:lang w:val="lv-LV"/>
              </w:rPr>
            </w:pPr>
            <w:r w:rsidRPr="00D74E7A">
              <w:rPr>
                <w:lang w:val="lv-LV"/>
              </w:rPr>
              <w:t>IDF programmas 3. konkrētā mērķa ietvaros plānot</w:t>
            </w:r>
            <w:r w:rsidR="004F52C4" w:rsidRPr="00D74E7A">
              <w:rPr>
                <w:lang w:val="lv-LV"/>
              </w:rPr>
              <w:t xml:space="preserve">ās investīcijas tiesībaizsardzības augstākās izglītības attīstībā (Iekšējās drošības akadēmija) papildinās Eiropas </w:t>
            </w:r>
            <w:r w:rsidR="003A3A17" w:rsidRPr="00D74E7A">
              <w:rPr>
                <w:lang w:val="lv-LV"/>
              </w:rPr>
              <w:t>Reģionālās</w:t>
            </w:r>
            <w:r w:rsidR="004F52C4" w:rsidRPr="00D74E7A">
              <w:rPr>
                <w:lang w:val="lv-LV"/>
              </w:rPr>
              <w:t xml:space="preserve"> attīstības fonda 4.2.1.6. pasākums, kurā plānots izveidot fiziskās sagatavotības poligonu – Valsts policijas koledžas, kas ir daļa no Iekšējās drošības akadēmijas konsorcija, </w:t>
            </w:r>
            <w:r w:rsidR="00987B61" w:rsidRPr="00D74E7A">
              <w:rPr>
                <w:lang w:val="lv-LV"/>
              </w:rPr>
              <w:t>fiziskās sagatavotības</w:t>
            </w:r>
            <w:r w:rsidR="004F52C4" w:rsidRPr="00D74E7A">
              <w:rPr>
                <w:lang w:val="lv-LV"/>
              </w:rPr>
              <w:t xml:space="preserve"> objektu pārbūve, lai nodrošinātu </w:t>
            </w:r>
            <w:r w:rsidR="003A3A17" w:rsidRPr="00D74E7A">
              <w:rPr>
                <w:lang w:val="lv-LV"/>
              </w:rPr>
              <w:t>tiesībaizsardzības</w:t>
            </w:r>
            <w:r w:rsidR="004F52C4" w:rsidRPr="00D74E7A">
              <w:rPr>
                <w:lang w:val="lv-LV"/>
              </w:rPr>
              <w:t xml:space="preserve"> izglītības programmu pilnvērtīgāku īstenošanu, kvalitatīvu </w:t>
            </w:r>
            <w:r w:rsidR="004F52C4" w:rsidRPr="00D74E7A">
              <w:rPr>
                <w:lang w:val="lv-LV"/>
              </w:rPr>
              <w:lastRenderedPageBreak/>
              <w:t xml:space="preserve">vispārējo fizisko normatīvu pieņemšanu topošajām </w:t>
            </w:r>
            <w:r w:rsidR="009B18E0">
              <w:rPr>
                <w:lang w:val="lv-LV"/>
              </w:rPr>
              <w:t>VP</w:t>
            </w:r>
            <w:r w:rsidR="009B18E0" w:rsidRPr="00D74E7A">
              <w:rPr>
                <w:lang w:val="lv-LV"/>
              </w:rPr>
              <w:t xml:space="preserve"> </w:t>
            </w:r>
            <w:r w:rsidR="004F52C4" w:rsidRPr="00D74E7A">
              <w:rPr>
                <w:lang w:val="lv-LV"/>
              </w:rPr>
              <w:t xml:space="preserve">amatpersonām un treniņus esošajām </w:t>
            </w:r>
            <w:r w:rsidR="009B18E0">
              <w:rPr>
                <w:lang w:val="lv-LV"/>
              </w:rPr>
              <w:t>VP</w:t>
            </w:r>
            <w:r w:rsidR="009B18E0" w:rsidRPr="00D74E7A">
              <w:rPr>
                <w:lang w:val="lv-LV"/>
              </w:rPr>
              <w:t xml:space="preserve"> </w:t>
            </w:r>
            <w:r w:rsidR="004F52C4" w:rsidRPr="00D74E7A">
              <w:rPr>
                <w:lang w:val="lv-LV"/>
              </w:rPr>
              <w:t>amatpersonām.</w:t>
            </w:r>
          </w:p>
          <w:p w14:paraId="71C02E8F" w14:textId="59D5EC58" w:rsidR="00B06517" w:rsidRPr="00D74E7A" w:rsidRDefault="00B06517" w:rsidP="00CA78DA">
            <w:pPr>
              <w:tabs>
                <w:tab w:val="left" w:pos="1230"/>
              </w:tabs>
              <w:rPr>
                <w:noProof/>
                <w:lang w:val="lv-LV"/>
              </w:rPr>
            </w:pPr>
          </w:p>
        </w:tc>
      </w:tr>
    </w:tbl>
    <w:p w14:paraId="15BD299D" w14:textId="52174258" w:rsidR="008671BE" w:rsidRPr="00D74E7A" w:rsidRDefault="00B32C89" w:rsidP="00B32C89">
      <w:pPr>
        <w:pStyle w:val="ManualHeading2"/>
        <w:rPr>
          <w:noProof/>
          <w:lang w:val="lv-LV"/>
        </w:rPr>
      </w:pPr>
      <w:r w:rsidRPr="00D74E7A">
        <w:rPr>
          <w:lang w:val="lv-LV"/>
        </w:rPr>
        <w:lastRenderedPageBreak/>
        <w:t>2.2.</w:t>
      </w:r>
      <w:r w:rsidRPr="00D74E7A">
        <w:rPr>
          <w:lang w:val="lv-LV"/>
        </w:rPr>
        <w:tab/>
      </w:r>
      <w:r w:rsidR="008671BE" w:rsidRPr="00D74E7A">
        <w:rPr>
          <w:noProof/>
          <w:lang w:val="lv-LV"/>
        </w:rPr>
        <w:t xml:space="preserve">Daudzfunkcionāls aprīkojums un IKT iekārtas – Regulas (ES) 2021/1149 5. panta 4. punkts. </w:t>
      </w:r>
    </w:p>
    <w:p w14:paraId="14F21686" w14:textId="77777777" w:rsidR="008671BE" w:rsidRPr="00D74E7A" w:rsidRDefault="00621FCD" w:rsidP="008671BE">
      <w:pPr>
        <w:rPr>
          <w:noProof/>
          <w:lang w:val="lv-LV"/>
        </w:rPr>
      </w:pPr>
      <w:r w:rsidRPr="00D74E7A">
        <w:rPr>
          <w:noProof/>
          <w:lang w:val="lv-LV"/>
        </w:rPr>
        <w:t xml:space="preserve">Īsi aprakstiet attiecīgās operācijas, kuras saistītas ar aprīkojumu un IKT sistēmām, kas iegādāti programmā un daļēji izmantoti papildu jomā, uz kuru attiecas Regula (ES) 2021/1148, nolūkā sasniegt finansiāla atbalsta instrumenta robežu pārvaldībai un vīzu politikai mērķus. Norādiet vietu vai vietas, kur tika izvietots daudzfunkcionālais aprīkojums un IKT sistēmas. </w:t>
      </w:r>
    </w:p>
    <w:p w14:paraId="2656C5C8" w14:textId="04F6EEF9" w:rsidR="008671BE" w:rsidRPr="00D74E7A" w:rsidRDefault="00DF1E54" w:rsidP="008671BE">
      <w:pPr>
        <w:rPr>
          <w:noProof/>
          <w:lang w:val="lv-LV"/>
        </w:rPr>
      </w:pPr>
      <w:r w:rsidRPr="00D74E7A">
        <w:rPr>
          <w:noProof/>
          <w:lang w:val="lv-LV"/>
        </w:rPr>
        <w:t>Attiecībā uz aprīkojumu sniedziet arī informāciju par laikposmu, kad to izmantoja finansiāla atbalsta instrumenta</w:t>
      </w:r>
      <w:r w:rsidR="003A3A17" w:rsidRPr="00D74E7A">
        <w:rPr>
          <w:noProof/>
          <w:lang w:val="lv-LV"/>
        </w:rPr>
        <w:t xml:space="preserve"> </w:t>
      </w:r>
      <w:r w:rsidRPr="00D74E7A">
        <w:rPr>
          <w:noProof/>
          <w:lang w:val="lv-LV"/>
        </w:rPr>
        <w:t xml:space="preserve">robežu pārvaldībai un vīzu politikai papildu jomās. </w:t>
      </w:r>
    </w:p>
    <w:tbl>
      <w:tblPr>
        <w:tblStyle w:val="TableGrid"/>
        <w:tblW w:w="0" w:type="auto"/>
        <w:tblLook w:val="04A0" w:firstRow="1" w:lastRow="0" w:firstColumn="1" w:lastColumn="0" w:noHBand="0" w:noVBand="1"/>
      </w:tblPr>
      <w:tblGrid>
        <w:gridCol w:w="9063"/>
      </w:tblGrid>
      <w:tr w:rsidR="003A3A17" w:rsidRPr="00037FD2" w14:paraId="78B998D3" w14:textId="77777777" w:rsidTr="0059250C">
        <w:tc>
          <w:tcPr>
            <w:tcW w:w="9289" w:type="dxa"/>
          </w:tcPr>
          <w:p w14:paraId="68252CBA" w14:textId="77777777" w:rsidR="008671BE" w:rsidRPr="00D74E7A" w:rsidRDefault="000D1693" w:rsidP="009E5C5D">
            <w:pPr>
              <w:pStyle w:val="Personnequisigne"/>
              <w:rPr>
                <w:noProof/>
                <w:lang w:val="lv-LV"/>
              </w:rPr>
            </w:pPr>
            <w:r w:rsidRPr="00D74E7A">
              <w:rPr>
                <w:noProof/>
                <w:lang w:val="lv-LV"/>
              </w:rPr>
              <w:t>Šeit ierakstiet tekstu. Ne vairāk kā 3000 rakstzīmes.</w:t>
            </w:r>
          </w:p>
          <w:p w14:paraId="69EE5ED9" w14:textId="08451340" w:rsidR="00624528" w:rsidRPr="00D74E7A" w:rsidRDefault="00624528" w:rsidP="002C0831">
            <w:pPr>
              <w:pStyle w:val="Institutionquisigne"/>
              <w:spacing w:before="120"/>
              <w:ind w:firstLine="709"/>
              <w:rPr>
                <w:lang w:val="lv-LV"/>
              </w:rPr>
            </w:pPr>
            <w:r w:rsidRPr="00D74E7A">
              <w:rPr>
                <w:i w:val="0"/>
                <w:lang w:val="lv-LV"/>
              </w:rPr>
              <w:t>Grāmatvedības gada laikā nav</w:t>
            </w:r>
            <w:r w:rsidR="0002060C" w:rsidRPr="00D74E7A">
              <w:rPr>
                <w:i w:val="0"/>
                <w:lang w:val="lv-LV"/>
              </w:rPr>
              <w:t xml:space="preserve"> īstenotas</w:t>
            </w:r>
            <w:r w:rsidRPr="00D74E7A">
              <w:rPr>
                <w:i w:val="0"/>
                <w:lang w:val="lv-LV"/>
              </w:rPr>
              <w:t xml:space="preserve"> operācij</w:t>
            </w:r>
            <w:r w:rsidR="0002060C" w:rsidRPr="00D74E7A">
              <w:rPr>
                <w:i w:val="0"/>
                <w:lang w:val="lv-LV"/>
              </w:rPr>
              <w:t>as</w:t>
            </w:r>
            <w:r w:rsidRPr="00D74E7A">
              <w:rPr>
                <w:i w:val="0"/>
                <w:lang w:val="lv-LV"/>
              </w:rPr>
              <w:t xml:space="preserve">, kas saistītas ar aprīkojumu un IKT sistēmām, kas iegādāti programmā un </w:t>
            </w:r>
            <w:r w:rsidR="002C0831" w:rsidRPr="00D74E7A">
              <w:rPr>
                <w:i w:val="0"/>
                <w:lang w:val="lv-LV"/>
              </w:rPr>
              <w:t xml:space="preserve">kas </w:t>
            </w:r>
            <w:r w:rsidRPr="00D74E7A">
              <w:rPr>
                <w:i w:val="0"/>
                <w:lang w:val="lv-LV"/>
              </w:rPr>
              <w:t>daļēji izmantoti papildu jomā, uz kuru attiecas Regula (ES) 2021/1148, nolūkā sasniegt finansiāla atbalsta instrumenta robežu pārvaldībai un vīzu politikai mērķus</w:t>
            </w:r>
            <w:r w:rsidR="002C0831" w:rsidRPr="00D74E7A">
              <w:rPr>
                <w:i w:val="0"/>
                <w:lang w:val="lv-LV"/>
              </w:rPr>
              <w:t>.</w:t>
            </w:r>
          </w:p>
        </w:tc>
      </w:tr>
    </w:tbl>
    <w:p w14:paraId="0328C95F" w14:textId="4C5251B8" w:rsidR="006A41E2" w:rsidRPr="00D74E7A" w:rsidRDefault="00BC294D" w:rsidP="00BC294D">
      <w:pPr>
        <w:rPr>
          <w:noProof/>
          <w:lang w:val="lv-LV"/>
        </w:rPr>
      </w:pPr>
      <w:r w:rsidRPr="00D74E7A">
        <w:rPr>
          <w:noProof/>
          <w:lang w:val="lv-LV"/>
        </w:rPr>
        <w:t>Par Savienības informācijas sistēmu, ko finansē saskaņā ar Regulu (ES) 2021/1149 un kas noder arī Regulas (ES) 2021/1148 mērķiem (daudzfunkcionalitāte) vai aktivitātēm, kuras jāveic saskaņā ar ES sadarbspējas juridisko satvaru</w:t>
      </w:r>
      <w:r w:rsidRPr="00D74E7A">
        <w:rPr>
          <w:rStyle w:val="FootnoteReference"/>
          <w:noProof/>
          <w:lang w:val="lv-LV"/>
        </w:rPr>
        <w:footnoteReference w:id="19"/>
      </w:r>
      <w:r w:rsidRPr="00D74E7A">
        <w:rPr>
          <w:noProof/>
          <w:lang w:val="lv-LV"/>
        </w:rPr>
        <w:t xml:space="preserve">, aizpildiet zemāk redzamo tabulu. </w:t>
      </w:r>
    </w:p>
    <w:tbl>
      <w:tblPr>
        <w:tblStyle w:val="TableGrid"/>
        <w:tblW w:w="9289" w:type="dxa"/>
        <w:tblLayout w:type="fixed"/>
        <w:tblCellMar>
          <w:left w:w="28" w:type="dxa"/>
          <w:right w:w="28" w:type="dxa"/>
        </w:tblCellMar>
        <w:tblLook w:val="04A0" w:firstRow="1" w:lastRow="0" w:firstColumn="1" w:lastColumn="0" w:noHBand="0" w:noVBand="1"/>
      </w:tblPr>
      <w:tblGrid>
        <w:gridCol w:w="879"/>
        <w:gridCol w:w="1072"/>
        <w:gridCol w:w="1338"/>
        <w:gridCol w:w="1275"/>
        <w:gridCol w:w="1356"/>
        <w:gridCol w:w="992"/>
        <w:gridCol w:w="1134"/>
        <w:gridCol w:w="1243"/>
      </w:tblGrid>
      <w:tr w:rsidR="003A3A17" w:rsidRPr="00D74E7A" w14:paraId="09E0328A" w14:textId="77777777" w:rsidTr="0060652B">
        <w:trPr>
          <w:trHeight w:val="688"/>
        </w:trPr>
        <w:tc>
          <w:tcPr>
            <w:tcW w:w="879" w:type="dxa"/>
            <w:vAlign w:val="center"/>
          </w:tcPr>
          <w:p w14:paraId="4EC1F895" w14:textId="77777777" w:rsidR="006A41E2" w:rsidRPr="00D74E7A" w:rsidRDefault="006A41E2" w:rsidP="00E45665">
            <w:pPr>
              <w:pStyle w:val="Institutionquisigne"/>
              <w:spacing w:before="0"/>
              <w:jc w:val="center"/>
              <w:rPr>
                <w:i w:val="0"/>
                <w:noProof/>
                <w:sz w:val="20"/>
                <w:lang w:val="lv-LV"/>
              </w:rPr>
            </w:pPr>
            <w:r w:rsidRPr="00D74E7A">
              <w:rPr>
                <w:i w:val="0"/>
                <w:noProof/>
                <w:sz w:val="20"/>
                <w:lang w:val="lv-LV"/>
              </w:rPr>
              <w:t>Konkrētais mērķis</w:t>
            </w:r>
          </w:p>
        </w:tc>
        <w:tc>
          <w:tcPr>
            <w:tcW w:w="1072" w:type="dxa"/>
            <w:vAlign w:val="center"/>
          </w:tcPr>
          <w:p w14:paraId="026A5961" w14:textId="77777777" w:rsidR="006A41E2" w:rsidRPr="00D74E7A" w:rsidRDefault="006A41E2" w:rsidP="00E45665">
            <w:pPr>
              <w:pStyle w:val="Institutionquisigne"/>
              <w:spacing w:before="0"/>
              <w:jc w:val="center"/>
              <w:rPr>
                <w:i w:val="0"/>
                <w:noProof/>
                <w:sz w:val="20"/>
                <w:lang w:val="lv-LV"/>
              </w:rPr>
            </w:pPr>
            <w:r w:rsidRPr="00D74E7A">
              <w:rPr>
                <w:i w:val="0"/>
                <w:noProof/>
                <w:sz w:val="20"/>
                <w:lang w:val="lv-LV"/>
              </w:rPr>
              <w:t>Operācijas nosaukums</w:t>
            </w:r>
          </w:p>
        </w:tc>
        <w:tc>
          <w:tcPr>
            <w:tcW w:w="1338" w:type="dxa"/>
            <w:vAlign w:val="center"/>
          </w:tcPr>
          <w:p w14:paraId="44F3A246" w14:textId="77777777" w:rsidR="006A41E2" w:rsidRPr="00D74E7A" w:rsidRDefault="006A41E2" w:rsidP="00E45665">
            <w:pPr>
              <w:pStyle w:val="Institutionquisigne"/>
              <w:spacing w:before="0"/>
              <w:jc w:val="center"/>
              <w:rPr>
                <w:i w:val="0"/>
                <w:noProof/>
                <w:sz w:val="20"/>
                <w:lang w:val="lv-LV"/>
              </w:rPr>
            </w:pPr>
            <w:r w:rsidRPr="00D74E7A">
              <w:rPr>
                <w:i w:val="0"/>
                <w:noProof/>
                <w:sz w:val="20"/>
                <w:lang w:val="lv-LV"/>
              </w:rPr>
              <w:t>Operācijas saņēmējs</w:t>
            </w:r>
          </w:p>
        </w:tc>
        <w:tc>
          <w:tcPr>
            <w:tcW w:w="1275" w:type="dxa"/>
            <w:vAlign w:val="center"/>
          </w:tcPr>
          <w:p w14:paraId="51A52E93" w14:textId="77777777" w:rsidR="006A41E2" w:rsidRPr="00D74E7A" w:rsidRDefault="006A41E2" w:rsidP="006A41E2">
            <w:pPr>
              <w:pStyle w:val="Institutionquisigne"/>
              <w:spacing w:before="0"/>
              <w:jc w:val="center"/>
              <w:rPr>
                <w:i w:val="0"/>
                <w:noProof/>
                <w:sz w:val="20"/>
                <w:lang w:val="lv-LV"/>
              </w:rPr>
            </w:pPr>
            <w:r w:rsidRPr="00D74E7A">
              <w:rPr>
                <w:i w:val="0"/>
                <w:noProof/>
                <w:sz w:val="20"/>
                <w:lang w:val="lv-LV"/>
              </w:rPr>
              <w:t>Operācijas mērķis</w:t>
            </w:r>
          </w:p>
        </w:tc>
        <w:tc>
          <w:tcPr>
            <w:tcW w:w="1356" w:type="dxa"/>
            <w:vAlign w:val="center"/>
          </w:tcPr>
          <w:p w14:paraId="48F89166" w14:textId="77777777" w:rsidR="006A41E2" w:rsidRPr="00D74E7A" w:rsidRDefault="006A41E2" w:rsidP="00E45665">
            <w:pPr>
              <w:pStyle w:val="Institutionquisigne"/>
              <w:spacing w:before="0"/>
              <w:jc w:val="center"/>
              <w:rPr>
                <w:i w:val="0"/>
                <w:noProof/>
                <w:sz w:val="20"/>
                <w:lang w:val="lv-LV"/>
              </w:rPr>
            </w:pPr>
            <w:r w:rsidRPr="00D74E7A">
              <w:rPr>
                <w:i w:val="0"/>
                <w:noProof/>
                <w:sz w:val="20"/>
                <w:lang w:val="lv-LV"/>
              </w:rPr>
              <w:t>Īstenošanas periods</w:t>
            </w:r>
          </w:p>
        </w:tc>
        <w:tc>
          <w:tcPr>
            <w:tcW w:w="992" w:type="dxa"/>
            <w:vAlign w:val="center"/>
          </w:tcPr>
          <w:p w14:paraId="02EEC149" w14:textId="77777777" w:rsidR="006A41E2" w:rsidRPr="00D74E7A" w:rsidRDefault="006A41E2" w:rsidP="00E45665">
            <w:pPr>
              <w:pStyle w:val="Institutionquisigne"/>
              <w:spacing w:before="0"/>
              <w:jc w:val="center"/>
              <w:rPr>
                <w:i w:val="0"/>
                <w:noProof/>
                <w:sz w:val="20"/>
                <w:lang w:val="lv-LV"/>
              </w:rPr>
            </w:pPr>
            <w:r w:rsidRPr="00D74E7A">
              <w:rPr>
                <w:i w:val="0"/>
                <w:noProof/>
                <w:sz w:val="20"/>
                <w:lang w:val="lv-LV"/>
              </w:rPr>
              <w:t>Līdzfinansējuma likme</w:t>
            </w:r>
          </w:p>
        </w:tc>
        <w:tc>
          <w:tcPr>
            <w:tcW w:w="1134" w:type="dxa"/>
            <w:vAlign w:val="center"/>
          </w:tcPr>
          <w:p w14:paraId="1C79CF16" w14:textId="77777777" w:rsidR="006A41E2" w:rsidRPr="00D74E7A" w:rsidRDefault="006A41E2" w:rsidP="00E45665">
            <w:pPr>
              <w:pStyle w:val="Institutionquisigne"/>
              <w:spacing w:before="0"/>
              <w:jc w:val="center"/>
              <w:rPr>
                <w:i w:val="0"/>
                <w:noProof/>
                <w:sz w:val="20"/>
                <w:lang w:val="lv-LV"/>
              </w:rPr>
            </w:pPr>
            <w:r w:rsidRPr="00D74E7A">
              <w:rPr>
                <w:i w:val="0"/>
                <w:noProof/>
                <w:sz w:val="20"/>
                <w:lang w:val="lv-LV"/>
              </w:rPr>
              <w:t>Attiecināmās izmaksas</w:t>
            </w:r>
            <w:r w:rsidRPr="00D74E7A">
              <w:rPr>
                <w:rStyle w:val="FootnoteReference"/>
                <w:i w:val="0"/>
                <w:noProof/>
                <w:sz w:val="20"/>
                <w:lang w:val="lv-LV"/>
              </w:rPr>
              <w:footnoteReference w:id="20"/>
            </w:r>
          </w:p>
        </w:tc>
        <w:tc>
          <w:tcPr>
            <w:tcW w:w="1243" w:type="dxa"/>
            <w:vAlign w:val="center"/>
          </w:tcPr>
          <w:p w14:paraId="080A3000" w14:textId="77777777" w:rsidR="006A41E2" w:rsidRPr="00D74E7A" w:rsidRDefault="006A41E2" w:rsidP="00E45665">
            <w:pPr>
              <w:pStyle w:val="Institutionquisigne"/>
              <w:spacing w:before="0"/>
              <w:jc w:val="center"/>
              <w:rPr>
                <w:i w:val="0"/>
                <w:noProof/>
                <w:sz w:val="20"/>
                <w:lang w:val="lv-LV"/>
              </w:rPr>
            </w:pPr>
            <w:r w:rsidRPr="00D74E7A">
              <w:rPr>
                <w:i w:val="0"/>
                <w:noProof/>
                <w:sz w:val="20"/>
                <w:lang w:val="lv-LV"/>
              </w:rPr>
              <w:t>Attiecināmie izdevumi</w:t>
            </w:r>
            <w:r w:rsidRPr="00D74E7A">
              <w:rPr>
                <w:rStyle w:val="FootnoteReference"/>
                <w:i w:val="0"/>
                <w:noProof/>
                <w:sz w:val="20"/>
                <w:szCs w:val="20"/>
                <w:lang w:val="lv-LV"/>
              </w:rPr>
              <w:footnoteReference w:id="21"/>
            </w:r>
          </w:p>
        </w:tc>
      </w:tr>
      <w:tr w:rsidR="003A3A17" w:rsidRPr="00D74E7A" w14:paraId="77BCA9F5" w14:textId="77777777" w:rsidTr="002C0831">
        <w:trPr>
          <w:trHeight w:val="255"/>
        </w:trPr>
        <w:tc>
          <w:tcPr>
            <w:tcW w:w="879" w:type="dxa"/>
            <w:vAlign w:val="center"/>
          </w:tcPr>
          <w:p w14:paraId="78FF96FF" w14:textId="0C76701F" w:rsidR="006A41E2" w:rsidRPr="00D74E7A" w:rsidRDefault="002C0831" w:rsidP="002C0831">
            <w:pPr>
              <w:pStyle w:val="Institutionquisigne"/>
              <w:spacing w:before="0"/>
              <w:jc w:val="center"/>
              <w:rPr>
                <w:i w:val="0"/>
                <w:noProof/>
                <w:sz w:val="20"/>
                <w:lang w:val="lv-LV"/>
              </w:rPr>
            </w:pPr>
            <w:r w:rsidRPr="00D74E7A">
              <w:rPr>
                <w:i w:val="0"/>
                <w:noProof/>
                <w:sz w:val="20"/>
                <w:lang w:val="lv-LV"/>
              </w:rPr>
              <w:t>Nav attiecināms</w:t>
            </w:r>
          </w:p>
        </w:tc>
        <w:tc>
          <w:tcPr>
            <w:tcW w:w="1072" w:type="dxa"/>
            <w:vAlign w:val="center"/>
          </w:tcPr>
          <w:p w14:paraId="00509DB1" w14:textId="2F0DA0C0" w:rsidR="006A41E2" w:rsidRPr="00D74E7A" w:rsidRDefault="002C0831" w:rsidP="002C0831">
            <w:pPr>
              <w:pStyle w:val="Institutionquisigne"/>
              <w:spacing w:before="0"/>
              <w:jc w:val="center"/>
              <w:rPr>
                <w:noProof/>
                <w:sz w:val="20"/>
                <w:lang w:val="lv-LV"/>
              </w:rPr>
            </w:pPr>
            <w:r w:rsidRPr="00D74E7A">
              <w:rPr>
                <w:i w:val="0"/>
                <w:noProof/>
                <w:sz w:val="20"/>
                <w:lang w:val="lv-LV"/>
              </w:rPr>
              <w:t>Nav attiecināms</w:t>
            </w:r>
          </w:p>
        </w:tc>
        <w:tc>
          <w:tcPr>
            <w:tcW w:w="1338" w:type="dxa"/>
            <w:vAlign w:val="center"/>
          </w:tcPr>
          <w:p w14:paraId="2FBE35E4" w14:textId="38DCA60A" w:rsidR="006A41E2" w:rsidRPr="00D74E7A" w:rsidRDefault="002C0831" w:rsidP="002C0831">
            <w:pPr>
              <w:pStyle w:val="Institutionquisigne"/>
              <w:spacing w:before="0"/>
              <w:jc w:val="center"/>
              <w:rPr>
                <w:noProof/>
                <w:sz w:val="20"/>
                <w:lang w:val="lv-LV"/>
              </w:rPr>
            </w:pPr>
            <w:r w:rsidRPr="00D74E7A">
              <w:rPr>
                <w:i w:val="0"/>
                <w:noProof/>
                <w:sz w:val="20"/>
                <w:lang w:val="lv-LV"/>
              </w:rPr>
              <w:t>Nav attiecināms</w:t>
            </w:r>
          </w:p>
        </w:tc>
        <w:tc>
          <w:tcPr>
            <w:tcW w:w="1275" w:type="dxa"/>
            <w:vAlign w:val="center"/>
          </w:tcPr>
          <w:p w14:paraId="2F263436" w14:textId="03DAA1A2" w:rsidR="006A41E2" w:rsidRPr="00D74E7A" w:rsidRDefault="002C0831" w:rsidP="002C0831">
            <w:pPr>
              <w:pStyle w:val="Institutionquisigne"/>
              <w:spacing w:before="0"/>
              <w:jc w:val="center"/>
              <w:rPr>
                <w:noProof/>
                <w:sz w:val="20"/>
                <w:lang w:val="lv-LV"/>
              </w:rPr>
            </w:pPr>
            <w:r w:rsidRPr="00D74E7A">
              <w:rPr>
                <w:i w:val="0"/>
                <w:noProof/>
                <w:sz w:val="20"/>
                <w:lang w:val="lv-LV"/>
              </w:rPr>
              <w:t>Nav attiecināms</w:t>
            </w:r>
          </w:p>
        </w:tc>
        <w:tc>
          <w:tcPr>
            <w:tcW w:w="1356" w:type="dxa"/>
            <w:vAlign w:val="center"/>
          </w:tcPr>
          <w:p w14:paraId="67ADCF4F" w14:textId="757768B7" w:rsidR="006A41E2" w:rsidRPr="00D74E7A" w:rsidRDefault="002C0831" w:rsidP="002C0831">
            <w:pPr>
              <w:pStyle w:val="Institutionquisigne"/>
              <w:spacing w:before="0"/>
              <w:jc w:val="center"/>
              <w:rPr>
                <w:noProof/>
                <w:sz w:val="20"/>
                <w:lang w:val="lv-LV"/>
              </w:rPr>
            </w:pPr>
            <w:r w:rsidRPr="00D74E7A">
              <w:rPr>
                <w:i w:val="0"/>
                <w:noProof/>
                <w:sz w:val="20"/>
                <w:lang w:val="lv-LV"/>
              </w:rPr>
              <w:t>Nav attiecināms</w:t>
            </w:r>
          </w:p>
        </w:tc>
        <w:tc>
          <w:tcPr>
            <w:tcW w:w="992" w:type="dxa"/>
            <w:vAlign w:val="center"/>
          </w:tcPr>
          <w:p w14:paraId="11F705C9" w14:textId="00F91C69" w:rsidR="006A41E2" w:rsidRPr="00D74E7A" w:rsidRDefault="002C0831" w:rsidP="002C0831">
            <w:pPr>
              <w:pStyle w:val="Institutionquisigne"/>
              <w:spacing w:before="0"/>
              <w:jc w:val="center"/>
              <w:rPr>
                <w:noProof/>
                <w:sz w:val="20"/>
                <w:lang w:val="lv-LV"/>
              </w:rPr>
            </w:pPr>
            <w:r w:rsidRPr="00D74E7A">
              <w:rPr>
                <w:i w:val="0"/>
                <w:noProof/>
                <w:sz w:val="20"/>
                <w:lang w:val="lv-LV"/>
              </w:rPr>
              <w:t>Nav attiecināms</w:t>
            </w:r>
          </w:p>
        </w:tc>
        <w:tc>
          <w:tcPr>
            <w:tcW w:w="1134" w:type="dxa"/>
            <w:vAlign w:val="center"/>
          </w:tcPr>
          <w:p w14:paraId="4CA59BB4" w14:textId="6FC39938" w:rsidR="006A41E2" w:rsidRPr="00D74E7A" w:rsidRDefault="002C0831" w:rsidP="002C0831">
            <w:pPr>
              <w:pStyle w:val="Institutionquisigne"/>
              <w:spacing w:before="0"/>
              <w:jc w:val="center"/>
              <w:rPr>
                <w:noProof/>
                <w:sz w:val="20"/>
                <w:lang w:val="lv-LV"/>
              </w:rPr>
            </w:pPr>
            <w:r w:rsidRPr="00D74E7A">
              <w:rPr>
                <w:i w:val="0"/>
                <w:noProof/>
                <w:sz w:val="20"/>
                <w:lang w:val="lv-LV"/>
              </w:rPr>
              <w:t>Nav attiecināms</w:t>
            </w:r>
          </w:p>
        </w:tc>
        <w:tc>
          <w:tcPr>
            <w:tcW w:w="1243" w:type="dxa"/>
            <w:vAlign w:val="center"/>
          </w:tcPr>
          <w:p w14:paraId="08531E43" w14:textId="3DD9F893" w:rsidR="006A41E2" w:rsidRPr="00D74E7A" w:rsidRDefault="002C0831" w:rsidP="002C0831">
            <w:pPr>
              <w:pStyle w:val="Institutionquisigne"/>
              <w:spacing w:before="0"/>
              <w:jc w:val="center"/>
              <w:rPr>
                <w:noProof/>
                <w:sz w:val="20"/>
                <w:lang w:val="lv-LV"/>
              </w:rPr>
            </w:pPr>
            <w:r w:rsidRPr="00D74E7A">
              <w:rPr>
                <w:i w:val="0"/>
                <w:noProof/>
                <w:sz w:val="20"/>
                <w:lang w:val="lv-LV"/>
              </w:rPr>
              <w:t>Nav attiecināms</w:t>
            </w:r>
          </w:p>
        </w:tc>
      </w:tr>
    </w:tbl>
    <w:p w14:paraId="1BD10FFF" w14:textId="1FAD3000" w:rsidR="006A41E2" w:rsidRPr="003A3A17" w:rsidRDefault="00B32C89" w:rsidP="00B32C89">
      <w:pPr>
        <w:pStyle w:val="ManualHeading1"/>
        <w:rPr>
          <w:noProof/>
          <w:lang w:val="lv-LV"/>
        </w:rPr>
      </w:pPr>
      <w:r w:rsidRPr="00D74E7A">
        <w:rPr>
          <w:lang w:val="lv-LV"/>
        </w:rPr>
        <w:t>3.</w:t>
      </w:r>
      <w:r w:rsidRPr="00D74E7A">
        <w:rPr>
          <w:lang w:val="lv-LV"/>
        </w:rPr>
        <w:tab/>
      </w:r>
      <w:r w:rsidR="006A41E2" w:rsidRPr="00D74E7A">
        <w:rPr>
          <w:noProof/>
          <w:lang w:val="lv-LV"/>
        </w:rPr>
        <w:t xml:space="preserve">Savienības </w:t>
      </w:r>
      <w:r w:rsidR="006A41E2" w:rsidRPr="00D74E7A">
        <w:rPr>
          <w:i/>
          <w:noProof/>
          <w:lang w:val="lv-LV"/>
        </w:rPr>
        <w:t>acquis</w:t>
      </w:r>
      <w:r w:rsidR="006A41E2" w:rsidRPr="00D74E7A">
        <w:rPr>
          <w:noProof/>
          <w:lang w:val="lv-LV"/>
        </w:rPr>
        <w:t xml:space="preserve"> īstenošana – Regulas (ES) 2021/1149 30. panta 2. punkta</w:t>
      </w:r>
      <w:r w:rsidR="006A41E2" w:rsidRPr="003A3A17">
        <w:rPr>
          <w:noProof/>
          <w:lang w:val="lv-LV"/>
        </w:rPr>
        <w:t xml:space="preserve"> d) apakšpunkts</w:t>
      </w:r>
    </w:p>
    <w:p w14:paraId="3E5F6402" w14:textId="707D0A1D" w:rsidR="006A41E2" w:rsidRPr="003A3A17" w:rsidRDefault="0060652B" w:rsidP="006A41E2">
      <w:pPr>
        <w:rPr>
          <w:noProof/>
          <w:lang w:val="lv-LV"/>
        </w:rPr>
      </w:pPr>
      <w:r w:rsidRPr="003A3A17">
        <w:rPr>
          <w:noProof/>
          <w:lang w:val="lv-LV"/>
        </w:rPr>
        <w:t xml:space="preserve">Aprakstiet, kā programma grāmatvedības gadā ir palīdzējusi īstenot attiecīgo Savienības </w:t>
      </w:r>
      <w:r w:rsidRPr="003A3A17">
        <w:rPr>
          <w:i/>
          <w:noProof/>
          <w:lang w:val="lv-LV"/>
        </w:rPr>
        <w:t>acquis</w:t>
      </w:r>
      <w:r w:rsidRPr="003A3A17">
        <w:rPr>
          <w:noProof/>
          <w:lang w:val="lv-LV"/>
        </w:rPr>
        <w:t xml:space="preserve"> (Savienības tiesību aktu kopumu) drošības un ar to saistītās informācijas apmaiņas jomā, kā arī visus attiecīgos rīcības plānus.</w:t>
      </w:r>
    </w:p>
    <w:tbl>
      <w:tblPr>
        <w:tblStyle w:val="TableGrid"/>
        <w:tblW w:w="0" w:type="auto"/>
        <w:tblLook w:val="04A0" w:firstRow="1" w:lastRow="0" w:firstColumn="1" w:lastColumn="0" w:noHBand="0" w:noVBand="1"/>
      </w:tblPr>
      <w:tblGrid>
        <w:gridCol w:w="9063"/>
      </w:tblGrid>
      <w:tr w:rsidR="003A3A17" w:rsidRPr="00037FD2" w14:paraId="61641F95" w14:textId="77777777" w:rsidTr="00E45665">
        <w:tc>
          <w:tcPr>
            <w:tcW w:w="9289" w:type="dxa"/>
          </w:tcPr>
          <w:p w14:paraId="2070C3C0" w14:textId="57D07451" w:rsidR="006A41E2" w:rsidRPr="003A3A17" w:rsidRDefault="000D1693" w:rsidP="00CD3D87">
            <w:pPr>
              <w:pStyle w:val="Personnequisigne"/>
              <w:rPr>
                <w:noProof/>
                <w:lang w:val="lv-LV"/>
              </w:rPr>
            </w:pPr>
            <w:r w:rsidRPr="003A3A17">
              <w:rPr>
                <w:noProof/>
                <w:lang w:val="lv-LV"/>
              </w:rPr>
              <w:t>Šeit ierakstiet tekstu. Ne vairāk kā 4000 rakstzīmes.</w:t>
            </w:r>
          </w:p>
          <w:p w14:paraId="4BAD698D" w14:textId="286D5622" w:rsidR="00C21271" w:rsidRPr="003A3A17" w:rsidRDefault="00F32C33" w:rsidP="00C21271">
            <w:pPr>
              <w:shd w:val="clear" w:color="auto" w:fill="FFFFFF" w:themeFill="background1"/>
              <w:ind w:firstLine="743"/>
              <w:rPr>
                <w:lang w:val="lv-LV"/>
              </w:rPr>
            </w:pPr>
            <w:r w:rsidRPr="003A3A17">
              <w:rPr>
                <w:b/>
                <w:bCs/>
                <w:lang w:val="lv-LV"/>
              </w:rPr>
              <w:t>Informācijas apmaiņas jomā</w:t>
            </w:r>
            <w:r w:rsidRPr="003A3A17">
              <w:rPr>
                <w:lang w:val="lv-LV"/>
              </w:rPr>
              <w:t>,</w:t>
            </w:r>
            <w:r w:rsidR="00F971BB" w:rsidRPr="003A3A17">
              <w:rPr>
                <w:lang w:val="lv-LV"/>
              </w:rPr>
              <w:t xml:space="preserve"> </w:t>
            </w:r>
            <w:r w:rsidR="00F971BB" w:rsidRPr="003A3A17">
              <w:rPr>
                <w:rFonts w:eastAsia="Times New Roman"/>
                <w:lang w:val="lv-LV"/>
              </w:rPr>
              <w:t>projektā par NKIM izveidi,</w:t>
            </w:r>
            <w:r w:rsidRPr="003A3A17">
              <w:rPr>
                <w:rFonts w:eastAsia="Times New Roman"/>
                <w:lang w:val="lv-LV"/>
              </w:rPr>
              <w:t xml:space="preserve"> projekta aktivitātes</w:t>
            </w:r>
            <w:r w:rsidR="00F971BB" w:rsidRPr="003A3A17">
              <w:rPr>
                <w:rFonts w:eastAsia="Times New Roman"/>
                <w:lang w:val="lv-LV"/>
              </w:rPr>
              <w:t xml:space="preserve"> tiek īstenotas</w:t>
            </w:r>
            <w:r w:rsidRPr="003A3A17">
              <w:rPr>
                <w:rFonts w:eastAsia="Times New Roman"/>
                <w:lang w:val="lv-LV"/>
              </w:rPr>
              <w:t xml:space="preserve"> saskaņā ar</w:t>
            </w:r>
            <w:r w:rsidR="00C21271" w:rsidRPr="003A3A17">
              <w:rPr>
                <w:rFonts w:eastAsia="Times New Roman"/>
                <w:lang w:val="lv-LV"/>
              </w:rPr>
              <w:t xml:space="preserve"> </w:t>
            </w:r>
            <w:r w:rsidR="00F971BB" w:rsidRPr="003A3A17">
              <w:rPr>
                <w:rFonts w:eastAsia="Times New Roman"/>
                <w:lang w:val="lv-LV"/>
              </w:rPr>
              <w:t xml:space="preserve">Eiropas Parlamenta un Padomes 2023. gada 11. jūnija direktīvu Nr. 2023/977 par informācijas apmaiņu starp dalībvalstu </w:t>
            </w:r>
            <w:r w:rsidR="003A5978">
              <w:rPr>
                <w:rFonts w:eastAsia="Times New Roman"/>
                <w:lang w:val="lv-LV"/>
              </w:rPr>
              <w:t>TAI</w:t>
            </w:r>
            <w:r w:rsidR="003A5978" w:rsidRPr="003A3A17">
              <w:rPr>
                <w:rFonts w:eastAsia="Times New Roman"/>
                <w:lang w:val="lv-LV"/>
              </w:rPr>
              <w:t xml:space="preserve"> </w:t>
            </w:r>
            <w:r w:rsidR="00F971BB" w:rsidRPr="003A3A17">
              <w:rPr>
                <w:rFonts w:eastAsia="Times New Roman"/>
                <w:lang w:val="lv-LV"/>
              </w:rPr>
              <w:t xml:space="preserve">un ar ko atceļ Padomes Pamatlēmumu 2006/960/TI (Zviedrijas iniciatīvu). Minētās direktīvas mērķis ir pieņemt tiesību aktus par organizatoriskajiem un procesuālajiem aspektiem informācijas apmaiņā starp </w:t>
            </w:r>
            <w:r w:rsidR="003A5978">
              <w:rPr>
                <w:rFonts w:eastAsia="Times New Roman"/>
                <w:lang w:val="lv-LV"/>
              </w:rPr>
              <w:t>TAI</w:t>
            </w:r>
            <w:r w:rsidR="003A5978" w:rsidRPr="003A3A17">
              <w:rPr>
                <w:rFonts w:eastAsia="Times New Roman"/>
                <w:lang w:val="lv-LV"/>
              </w:rPr>
              <w:t xml:space="preserve"> </w:t>
            </w:r>
            <w:r w:rsidR="003A5978">
              <w:rPr>
                <w:rFonts w:eastAsia="Times New Roman"/>
                <w:lang w:val="lv-LV"/>
              </w:rPr>
              <w:t>ES</w:t>
            </w:r>
            <w:r w:rsidR="00F971BB" w:rsidRPr="003A3A17">
              <w:rPr>
                <w:rFonts w:eastAsia="Times New Roman"/>
                <w:lang w:val="lv-LV"/>
              </w:rPr>
              <w:t xml:space="preserve">, lai veicinātu rezultatīvu un efektīvu šādas informācijas apmaiņu, tādējādi aizsargājot pilnībā funkcionējošu un noturīgu Šengenas zonu. Ar šo Direktīvu tiek noteikti vienoti standarti un principi informācijas apmaiņas starp dalībvalstīm nodrošināšanai. Direktīva nosaka, ka dalībvalstīm informācijas apmaiņai ir jāizmanto </w:t>
            </w:r>
            <w:r w:rsidR="00F971BB" w:rsidRPr="003A3A17">
              <w:rPr>
                <w:lang w:val="lv-LV"/>
              </w:rPr>
              <w:t xml:space="preserve">Eiropola drošas informācijas apmaiņas tīkla lietojumprogrammas </w:t>
            </w:r>
            <w:r w:rsidR="00C21271" w:rsidRPr="003A3A17">
              <w:rPr>
                <w:lang w:val="lv-LV"/>
              </w:rPr>
              <w:t>SIENA</w:t>
            </w:r>
            <w:r w:rsidR="00F971BB" w:rsidRPr="003A3A17">
              <w:rPr>
                <w:lang w:val="lv-LV"/>
              </w:rPr>
              <w:t xml:space="preserve"> un jānodrošina </w:t>
            </w:r>
            <w:proofErr w:type="spellStart"/>
            <w:r w:rsidR="00F971BB" w:rsidRPr="003A3A17">
              <w:rPr>
                <w:rFonts w:eastAsia="Times New Roman"/>
                <w:lang w:val="lv-LV"/>
              </w:rPr>
              <w:t>sadarbspēja</w:t>
            </w:r>
            <w:proofErr w:type="spellEnd"/>
            <w:r w:rsidR="00F971BB" w:rsidRPr="003A3A17">
              <w:rPr>
                <w:rFonts w:eastAsia="Times New Roman"/>
                <w:lang w:val="lv-LV"/>
              </w:rPr>
              <w:t xml:space="preserve"> starp SIENA</w:t>
            </w:r>
            <w:r w:rsidR="00F971BB" w:rsidRPr="003A3A17">
              <w:rPr>
                <w:lang w:val="lv-LV"/>
              </w:rPr>
              <w:t xml:space="preserve"> un SIRENE IS. Eiropola SIENA komunikāciju kanāla integrēšana SIRENE IS </w:t>
            </w:r>
            <w:r w:rsidR="00F971BB" w:rsidRPr="003A3A17">
              <w:rPr>
                <w:rFonts w:eastAsia="Times New Roman"/>
                <w:lang w:val="lv-LV"/>
              </w:rPr>
              <w:t xml:space="preserve">nodrošinās Direktīvā iekļauto prasību izpildi. </w:t>
            </w:r>
            <w:r w:rsidR="00F971BB" w:rsidRPr="003A3A17">
              <w:rPr>
                <w:lang w:val="lv-LV"/>
              </w:rPr>
              <w:t>NKIM ietvaros tiek paredzēts izpildīt norādītās Direktīvas 16.</w:t>
            </w:r>
            <w:r w:rsidR="00C21271" w:rsidRPr="003A3A17">
              <w:rPr>
                <w:lang w:val="lv-LV"/>
              </w:rPr>
              <w:t xml:space="preserve"> </w:t>
            </w:r>
            <w:r w:rsidR="00F971BB" w:rsidRPr="003A3A17">
              <w:rPr>
                <w:lang w:val="lv-LV"/>
              </w:rPr>
              <w:t>panta prasības, t.</w:t>
            </w:r>
            <w:r w:rsidR="00C21271" w:rsidRPr="003A3A17">
              <w:rPr>
                <w:lang w:val="lv-LV"/>
              </w:rPr>
              <w:t xml:space="preserve"> </w:t>
            </w:r>
            <w:r w:rsidR="00F971BB" w:rsidRPr="003A3A17">
              <w:rPr>
                <w:lang w:val="lv-LV"/>
              </w:rPr>
              <w:t xml:space="preserve">i., vienotajā kontaktpunktā ieviest un izmantot vienotu elektronisku lietu pārvaldības sistēmu, kurai </w:t>
            </w:r>
            <w:r w:rsidR="00F971BB" w:rsidRPr="003A3A17">
              <w:rPr>
                <w:lang w:val="lv-LV"/>
              </w:rPr>
              <w:lastRenderedPageBreak/>
              <w:t xml:space="preserve">ir </w:t>
            </w:r>
            <w:proofErr w:type="spellStart"/>
            <w:r w:rsidR="00F971BB" w:rsidRPr="003A3A17">
              <w:rPr>
                <w:lang w:val="lv-LV"/>
              </w:rPr>
              <w:t>sadarbspēja</w:t>
            </w:r>
            <w:proofErr w:type="spellEnd"/>
            <w:r w:rsidR="00F971BB" w:rsidRPr="003A3A17">
              <w:rPr>
                <w:lang w:val="lv-LV"/>
              </w:rPr>
              <w:t xml:space="preserve"> ar SIENA, jo īpaši nodrošinot, ka ar SIENA starpniecību ienākošos paziņojumus var tieši reģistrēt lietu pārvaldības sistēmā un ka ar SIENA starpniecību izejošos paziņojumus var tieši nosūtīt no tās. </w:t>
            </w:r>
          </w:p>
          <w:p w14:paraId="6DE46CA9" w14:textId="77777777" w:rsidR="00DB1D8E" w:rsidRDefault="00C21271" w:rsidP="00DB1D8E">
            <w:pPr>
              <w:tabs>
                <w:tab w:val="left" w:pos="900"/>
              </w:tabs>
              <w:spacing w:before="80" w:after="80"/>
              <w:ind w:firstLine="743"/>
              <w:rPr>
                <w:lang w:val="lv-LV"/>
              </w:rPr>
            </w:pPr>
            <w:r w:rsidRPr="003A3A17">
              <w:rPr>
                <w:rFonts w:eastAsia="Times New Roman"/>
                <w:b/>
                <w:bCs/>
                <w:lang w:val="lv-LV"/>
              </w:rPr>
              <w:t xml:space="preserve">Pārrobežu sadarbības jomā, </w:t>
            </w:r>
            <w:r w:rsidRPr="003A3A17">
              <w:rPr>
                <w:rFonts w:eastAsia="Times New Roman"/>
                <w:lang w:val="lv-LV"/>
              </w:rPr>
              <w:t xml:space="preserve">projektā par </w:t>
            </w:r>
            <w:r w:rsidR="00670205" w:rsidRPr="003A3A17">
              <w:rPr>
                <w:lang w:val="lv-LV"/>
              </w:rPr>
              <w:t>starptautiskās sadarbības stiprināšanu starp ES dalībvalstīm un trešajām pusēm</w:t>
            </w:r>
            <w:r w:rsidR="00670205" w:rsidRPr="003A3A17">
              <w:rPr>
                <w:rFonts w:eastAsia="Times New Roman"/>
                <w:lang w:val="lv-LV"/>
              </w:rPr>
              <w:t xml:space="preserve">, projekts tiek īstenots saskaņā ar </w:t>
            </w:r>
            <w:r w:rsidR="00670205" w:rsidRPr="003A3A17">
              <w:rPr>
                <w:lang w:val="lv-LV"/>
              </w:rPr>
              <w:t>Eiropas operatīvās komandas vadlīnijām (</w:t>
            </w:r>
            <w:r w:rsidR="00670205" w:rsidRPr="003A3A17">
              <w:rPr>
                <w:i/>
                <w:lang w:val="lv-LV"/>
              </w:rPr>
              <w:t xml:space="preserve">Terms </w:t>
            </w:r>
            <w:proofErr w:type="spellStart"/>
            <w:r w:rsidR="00670205" w:rsidRPr="003A3A17">
              <w:rPr>
                <w:i/>
                <w:lang w:val="lv-LV"/>
              </w:rPr>
              <w:t>of</w:t>
            </w:r>
            <w:proofErr w:type="spellEnd"/>
            <w:r w:rsidR="00670205" w:rsidRPr="003A3A17">
              <w:rPr>
                <w:i/>
                <w:lang w:val="lv-LV"/>
              </w:rPr>
              <w:t xml:space="preserve"> reference </w:t>
            </w:r>
            <w:proofErr w:type="spellStart"/>
            <w:r w:rsidR="00670205" w:rsidRPr="003A3A17">
              <w:rPr>
                <w:i/>
                <w:lang w:val="lv-LV"/>
              </w:rPr>
              <w:t>and</w:t>
            </w:r>
            <w:proofErr w:type="spellEnd"/>
            <w:r w:rsidR="00670205" w:rsidRPr="003A3A17">
              <w:rPr>
                <w:i/>
                <w:lang w:val="lv-LV"/>
              </w:rPr>
              <w:t xml:space="preserve"> </w:t>
            </w:r>
            <w:proofErr w:type="spellStart"/>
            <w:r w:rsidR="00670205" w:rsidRPr="003A3A17">
              <w:rPr>
                <w:i/>
                <w:lang w:val="lv-LV"/>
              </w:rPr>
              <w:t>operational</w:t>
            </w:r>
            <w:proofErr w:type="spellEnd"/>
            <w:r w:rsidR="00670205" w:rsidRPr="003A3A17">
              <w:rPr>
                <w:i/>
                <w:lang w:val="lv-LV"/>
              </w:rPr>
              <w:t xml:space="preserve"> </w:t>
            </w:r>
            <w:proofErr w:type="spellStart"/>
            <w:r w:rsidR="00670205" w:rsidRPr="003A3A17">
              <w:rPr>
                <w:i/>
                <w:lang w:val="lv-LV"/>
              </w:rPr>
              <w:t>guidelines</w:t>
            </w:r>
            <w:proofErr w:type="spellEnd"/>
            <w:r w:rsidR="00670205" w:rsidRPr="003A3A17">
              <w:rPr>
                <w:i/>
                <w:lang w:val="lv-LV"/>
              </w:rPr>
              <w:t xml:space="preserve"> </w:t>
            </w:r>
            <w:proofErr w:type="spellStart"/>
            <w:r w:rsidR="00670205" w:rsidRPr="003A3A17">
              <w:rPr>
                <w:i/>
                <w:lang w:val="lv-LV"/>
              </w:rPr>
              <w:t>for</w:t>
            </w:r>
            <w:proofErr w:type="spellEnd"/>
            <w:r w:rsidR="00670205" w:rsidRPr="003A3A17">
              <w:rPr>
                <w:i/>
                <w:lang w:val="lv-LV"/>
              </w:rPr>
              <w:t xml:space="preserve"> pilot </w:t>
            </w:r>
            <w:proofErr w:type="spellStart"/>
            <w:r w:rsidR="00670205" w:rsidRPr="003A3A17">
              <w:rPr>
                <w:i/>
                <w:lang w:val="lv-LV"/>
              </w:rPr>
              <w:t>project</w:t>
            </w:r>
            <w:proofErr w:type="spellEnd"/>
            <w:r w:rsidR="00670205" w:rsidRPr="003A3A17">
              <w:rPr>
                <w:i/>
                <w:lang w:val="lv-LV"/>
              </w:rPr>
              <w:t xml:space="preserve"> </w:t>
            </w:r>
            <w:proofErr w:type="spellStart"/>
            <w:r w:rsidR="00670205" w:rsidRPr="003A3A17">
              <w:rPr>
                <w:i/>
                <w:lang w:val="lv-LV"/>
              </w:rPr>
              <w:t>european</w:t>
            </w:r>
            <w:proofErr w:type="spellEnd"/>
            <w:r w:rsidR="00670205" w:rsidRPr="003A3A17">
              <w:rPr>
                <w:i/>
                <w:lang w:val="lv-LV"/>
              </w:rPr>
              <w:t xml:space="preserve"> </w:t>
            </w:r>
            <w:proofErr w:type="spellStart"/>
            <w:r w:rsidR="00670205" w:rsidRPr="003A3A17">
              <w:rPr>
                <w:i/>
                <w:lang w:val="lv-LV"/>
              </w:rPr>
              <w:t>operational</w:t>
            </w:r>
            <w:proofErr w:type="spellEnd"/>
            <w:r w:rsidR="00670205" w:rsidRPr="003A3A17">
              <w:rPr>
                <w:i/>
                <w:lang w:val="lv-LV"/>
              </w:rPr>
              <w:t xml:space="preserve"> </w:t>
            </w:r>
            <w:proofErr w:type="spellStart"/>
            <w:r w:rsidR="00670205" w:rsidRPr="003A3A17">
              <w:rPr>
                <w:i/>
                <w:lang w:val="lv-LV"/>
              </w:rPr>
              <w:t>team</w:t>
            </w:r>
            <w:proofErr w:type="spellEnd"/>
            <w:r w:rsidR="00670205" w:rsidRPr="003A3A17">
              <w:rPr>
                <w:i/>
                <w:lang w:val="lv-LV"/>
              </w:rPr>
              <w:t xml:space="preserve"> </w:t>
            </w:r>
            <w:proofErr w:type="spellStart"/>
            <w:r w:rsidR="00670205" w:rsidRPr="003A3A17">
              <w:rPr>
                <w:i/>
                <w:lang w:val="lv-LV"/>
              </w:rPr>
              <w:t>of</w:t>
            </w:r>
            <w:proofErr w:type="spellEnd"/>
            <w:r w:rsidR="00670205" w:rsidRPr="003A3A17">
              <w:rPr>
                <w:i/>
                <w:lang w:val="lv-LV"/>
              </w:rPr>
              <w:t xml:space="preserve"> </w:t>
            </w:r>
            <w:proofErr w:type="spellStart"/>
            <w:r w:rsidR="00670205" w:rsidRPr="003A3A17">
              <w:rPr>
                <w:i/>
                <w:lang w:val="lv-LV"/>
              </w:rPr>
              <w:t>investigation</w:t>
            </w:r>
            <w:proofErr w:type="spellEnd"/>
            <w:r w:rsidR="00670205" w:rsidRPr="003A3A17">
              <w:rPr>
                <w:i/>
                <w:lang w:val="lv-LV"/>
              </w:rPr>
              <w:t>)</w:t>
            </w:r>
            <w:r w:rsidR="00670205" w:rsidRPr="003A3A17">
              <w:rPr>
                <w:lang w:val="lv-LV"/>
              </w:rPr>
              <w:t>, tās locekļiem ir pienākums nodrošināt atbilstošu klasificētās informācijas apstrādi un stingru izmeklēšanas noslēpumu. Ievērojot EOT īpašo drošības un konfidencialitātes regulējumu, neviens nedrīkst nevienai personai vai trešajai personai izpaust informāciju, kas iegūta, pildot pienākumus.</w:t>
            </w:r>
          </w:p>
          <w:p w14:paraId="6390D7A9" w14:textId="663DDA16" w:rsidR="00F971BB" w:rsidRPr="003A3A17" w:rsidRDefault="00670205" w:rsidP="00DB1D8E">
            <w:pPr>
              <w:tabs>
                <w:tab w:val="left" w:pos="900"/>
              </w:tabs>
              <w:spacing w:before="80" w:after="80"/>
              <w:ind w:firstLine="743"/>
              <w:rPr>
                <w:lang w:val="lv-LV"/>
              </w:rPr>
            </w:pPr>
            <w:r w:rsidRPr="003A3A17">
              <w:rPr>
                <w:b/>
                <w:bCs/>
                <w:lang w:val="lv-LV"/>
              </w:rPr>
              <w:t>Noziedzības novēršanas un apkarošanas jomā</w:t>
            </w:r>
            <w:r w:rsidRPr="003A3A17">
              <w:rPr>
                <w:lang w:val="lv-LV"/>
              </w:rPr>
              <w:t xml:space="preserve">, </w:t>
            </w:r>
            <w:r w:rsidR="00722756" w:rsidRPr="003A3A17">
              <w:rPr>
                <w:lang w:val="lv-LV"/>
              </w:rPr>
              <w:t>projektā par noziedzīgos nodarījumos cietušo personu - īpaši aizsargājamo cietušo (jo īpaši bērnu) atbalsta veicināšanu kriminālprocesa ietvaros, VP īsteno projekta aktivitātes saskaņā ar:</w:t>
            </w:r>
          </w:p>
          <w:p w14:paraId="0116B54B" w14:textId="77777777" w:rsidR="00722756" w:rsidRPr="003A3A17" w:rsidRDefault="00722756" w:rsidP="00F248DA">
            <w:pPr>
              <w:pStyle w:val="ListParagraph"/>
              <w:numPr>
                <w:ilvl w:val="0"/>
                <w:numId w:val="38"/>
              </w:numPr>
              <w:shd w:val="clear" w:color="auto" w:fill="FFFFFF" w:themeFill="background1"/>
              <w:rPr>
                <w:rFonts w:eastAsia="Times New Roman"/>
                <w:lang w:val="lv-LV"/>
              </w:rPr>
            </w:pPr>
            <w:r w:rsidRPr="003A3A17">
              <w:rPr>
                <w:lang w:val="lv-LV"/>
              </w:rPr>
              <w:t>2014. gada 28. jūnija likumu “Par Eiropas Padomes Konvenciju par bērnu aizsardzību pret seksuālu izmantošanu un seksuālu vardarbību”, kur 1. pants nosaka - “2007. gada 25. oktobra Eiropas Padomes Konvencija par bērnu aizsardzību pret seksuālu izmantošanu un seksuālu vardarbību (turpmāk – Konvencija) ar šo likumu tiek pieņemta un apstiprināta.”;</w:t>
            </w:r>
          </w:p>
          <w:p w14:paraId="678B2DC0" w14:textId="054D49D9" w:rsidR="00722756" w:rsidRPr="003A3A17" w:rsidRDefault="00722756" w:rsidP="00F248DA">
            <w:pPr>
              <w:pStyle w:val="ListParagraph"/>
              <w:numPr>
                <w:ilvl w:val="0"/>
                <w:numId w:val="38"/>
              </w:numPr>
              <w:shd w:val="clear" w:color="auto" w:fill="FFFFFF" w:themeFill="background1"/>
              <w:rPr>
                <w:rFonts w:eastAsia="Times New Roman"/>
                <w:lang w:val="lv-LV"/>
              </w:rPr>
            </w:pPr>
            <w:r w:rsidRPr="003A3A17">
              <w:rPr>
                <w:rFonts w:eastAsia="Times New Roman"/>
                <w:lang w:val="lv-LV"/>
              </w:rPr>
              <w:t xml:space="preserve">Konvencijas 35. panta 2. punktu, kur teikts, ka </w:t>
            </w:r>
            <w:r w:rsidRPr="003A3A17">
              <w:rPr>
                <w:lang w:val="lv-LV"/>
              </w:rPr>
              <w:t>“Ikviena Puse veic nepieciešamos normatīvos vai citus pasākumus, lai nodrošinātu to, ka visas cietušā un attiecīgā gadījumā bērna, kas ir liecinieks, pratināšanas var ierakstīt videolentē, un šīs videolentē ierakstītās pratināšanas var pieņemt kā pierādījumus tiesvedībā saskaņā ar valsts tiesību aktiem.”;</w:t>
            </w:r>
          </w:p>
          <w:p w14:paraId="50ECC736" w14:textId="742DF508" w:rsidR="00F32C33" w:rsidRPr="003A3A17" w:rsidRDefault="00722756" w:rsidP="00F248DA">
            <w:pPr>
              <w:pStyle w:val="ListParagraph"/>
              <w:numPr>
                <w:ilvl w:val="0"/>
                <w:numId w:val="38"/>
              </w:numPr>
              <w:shd w:val="clear" w:color="auto" w:fill="FFFFFF" w:themeFill="background1"/>
              <w:rPr>
                <w:rFonts w:eastAsia="Times New Roman"/>
                <w:lang w:val="lv-LV"/>
              </w:rPr>
            </w:pPr>
            <w:r w:rsidRPr="003A3A17">
              <w:rPr>
                <w:lang w:val="lv-LV"/>
              </w:rPr>
              <w:t>Eiropas Parlamenta un Padomes 2011. gada 13. decembra direktīvu Nr. 2011/93/ES par seksuālas vardarbības pret bērniem, bērnu seksuālas izmantošanas un bērnu pornogrāfijas apkarošanu, kur tiek noteiktas normas par skaņas un attēla fiksēšanu.</w:t>
            </w:r>
          </w:p>
          <w:p w14:paraId="221E2619" w14:textId="69FCD696" w:rsidR="008168D9" w:rsidRPr="003A3A17" w:rsidRDefault="008168D9" w:rsidP="00DB1D8E">
            <w:pPr>
              <w:shd w:val="clear" w:color="auto" w:fill="FFFFFF" w:themeFill="background1"/>
              <w:ind w:firstLine="743"/>
              <w:rPr>
                <w:rFonts w:eastAsia="Times New Roman"/>
                <w:lang w:val="lv-LV"/>
              </w:rPr>
            </w:pPr>
            <w:r w:rsidRPr="003A3A17">
              <w:rPr>
                <w:rFonts w:eastAsia="Times New Roman"/>
                <w:lang w:val="lv-LV"/>
              </w:rPr>
              <w:t xml:space="preserve">Projekta par </w:t>
            </w:r>
            <w:r w:rsidRPr="003A3A17">
              <w:rPr>
                <w:rFonts w:eastAsia="Times New Roman"/>
                <w:lang w:val="lv-LV" w:eastAsia="lv-LV"/>
              </w:rPr>
              <w:t xml:space="preserve">CBRNE un cilvēku izraisīto katastrofu glābšanas darbu mācību poligona izveidošanu </w:t>
            </w:r>
            <w:r w:rsidRPr="003A3A17">
              <w:rPr>
                <w:rFonts w:eastAsia="Times New Roman"/>
                <w:lang w:val="lv-LV"/>
              </w:rPr>
              <w:t>aktivitātes tiek īstenotas saskaņā ar:</w:t>
            </w:r>
          </w:p>
          <w:p w14:paraId="751CA419" w14:textId="77777777" w:rsidR="008168D9" w:rsidRPr="003A3A17" w:rsidRDefault="008168D9" w:rsidP="00F248DA">
            <w:pPr>
              <w:pStyle w:val="ListParagraph"/>
              <w:numPr>
                <w:ilvl w:val="0"/>
                <w:numId w:val="39"/>
              </w:numPr>
              <w:spacing w:line="276" w:lineRule="auto"/>
              <w:ind w:left="743" w:right="39"/>
              <w:rPr>
                <w:rFonts w:eastAsia="Times New Roman"/>
                <w:lang w:val="lv-LV" w:eastAsia="lv-LV"/>
              </w:rPr>
            </w:pPr>
            <w:r w:rsidRPr="003A3A17">
              <w:rPr>
                <w:rFonts w:eastAsia="Times New Roman"/>
                <w:lang w:val="lv-LV" w:eastAsia="lv-LV"/>
              </w:rPr>
              <w:t>ES Iekšējās drošības stratēģiju, kurā viens no mērķiem ir uzlabot ES gatavību reaģēt krīzes situācijās;</w:t>
            </w:r>
          </w:p>
          <w:p w14:paraId="50FE55EB" w14:textId="77777777" w:rsidR="008168D9" w:rsidRPr="003A3A17" w:rsidRDefault="008168D9" w:rsidP="00F248DA">
            <w:pPr>
              <w:pStyle w:val="ListParagraph"/>
              <w:numPr>
                <w:ilvl w:val="0"/>
                <w:numId w:val="39"/>
              </w:numPr>
              <w:spacing w:line="276" w:lineRule="auto"/>
              <w:ind w:left="743" w:right="39"/>
              <w:rPr>
                <w:rFonts w:eastAsia="Times New Roman"/>
                <w:lang w:val="lv-LV" w:eastAsia="lv-LV"/>
              </w:rPr>
            </w:pPr>
            <w:r w:rsidRPr="003A3A17">
              <w:rPr>
                <w:rFonts w:eastAsia="Times New Roman"/>
                <w:lang w:val="lv-LV" w:eastAsia="lv-LV"/>
              </w:rPr>
              <w:t>2017. gadā pieņemto “ES CBRN” rīcības plānu, kura vispārīgais mērķis ir samazināt CBRNE incidentu draudus un to radīto negatīvo ietekmi uz ES pilsoņiem un apkārtējo vidi. Rīcības plāns ietver novēršanas, atklāšanas, gatavības un reaģēšanas uzlabošanu CBRNE nelaimes gadījumos;</w:t>
            </w:r>
          </w:p>
          <w:p w14:paraId="6C8C674E" w14:textId="7ADB5684" w:rsidR="006C4EFB" w:rsidRPr="003A3A17" w:rsidRDefault="008168D9" w:rsidP="00F248DA">
            <w:pPr>
              <w:pStyle w:val="ListParagraph"/>
              <w:numPr>
                <w:ilvl w:val="0"/>
                <w:numId w:val="39"/>
              </w:numPr>
              <w:spacing w:line="276" w:lineRule="auto"/>
              <w:ind w:left="743" w:right="39"/>
              <w:rPr>
                <w:rFonts w:eastAsia="Times New Roman"/>
                <w:lang w:val="lv-LV" w:eastAsia="lv-LV"/>
              </w:rPr>
            </w:pPr>
            <w:r w:rsidRPr="003A3A17">
              <w:rPr>
                <w:rFonts w:eastAsia="Times New Roman"/>
                <w:lang w:val="lv-LV" w:eastAsia="lv-LV"/>
              </w:rPr>
              <w:t>Eiropas parlamenta un Padomes 2021. gada 7. jūlija regulu Nr. 2021/1149 par Iekšējās drošības fonda izveidi. IDF viens no atbalsta mērķiem</w:t>
            </w:r>
            <w:r w:rsidRPr="003A3A17">
              <w:rPr>
                <w:lang w:val="lv-LV"/>
              </w:rPr>
              <w:t xml:space="preserve"> ir ar drošību saistītu risku un krīžu efektīva pārvaldība un gatavība, spēju stiprināšana, tostarp, nodrošinot apmācību.</w:t>
            </w:r>
          </w:p>
        </w:tc>
      </w:tr>
    </w:tbl>
    <w:p w14:paraId="591C87E5" w14:textId="762C61B4" w:rsidR="006A41E2" w:rsidRPr="003A3A17" w:rsidRDefault="00B32C89" w:rsidP="00B32C89">
      <w:pPr>
        <w:pStyle w:val="ManualHeading1"/>
        <w:rPr>
          <w:noProof/>
          <w:lang w:val="lv-LV"/>
        </w:rPr>
      </w:pPr>
      <w:r w:rsidRPr="003A3A17">
        <w:rPr>
          <w:lang w:val="lv-LV"/>
        </w:rPr>
        <w:lastRenderedPageBreak/>
        <w:t>4.</w:t>
      </w:r>
      <w:r w:rsidRPr="003A3A17">
        <w:rPr>
          <w:lang w:val="lv-LV"/>
        </w:rPr>
        <w:tab/>
      </w:r>
      <w:r w:rsidR="006A41E2" w:rsidRPr="003A3A17">
        <w:rPr>
          <w:noProof/>
          <w:lang w:val="lv-LV"/>
        </w:rPr>
        <w:t>Komunikācija un pamanāmība – Regulas (ES) 2021/1149 30. panta 2. punkta e) apakšpunkts</w:t>
      </w:r>
    </w:p>
    <w:p w14:paraId="36964431" w14:textId="77777777" w:rsidR="006A41E2" w:rsidRPr="003A3A17" w:rsidRDefault="001B037F" w:rsidP="006A41E2">
      <w:pPr>
        <w:rPr>
          <w:noProof/>
          <w:lang w:val="lv-LV"/>
        </w:rPr>
      </w:pPr>
      <w:r w:rsidRPr="003A3A17">
        <w:rPr>
          <w:noProof/>
          <w:lang w:val="lv-LV"/>
        </w:rPr>
        <w:t>Aprakstiet, kā pārskata gadā tika veikti komunikācijas un pamanāmības pasākumi. Jo īpaši norādiet, kāds progress panākts attiecībā uz komunikācijas stratēģijā noteiktajiem mērķiem, ko mēra ar attiecīgajiem rādītājiem un to mērķrādītājiem. Attiecīgā gadījumā aprakstiet labāko praksi, kā sasniegt mērķgrupas un/vai izplatīt un izmantot projektu rezultātus.</w:t>
      </w:r>
    </w:p>
    <w:tbl>
      <w:tblPr>
        <w:tblStyle w:val="TableGrid"/>
        <w:tblW w:w="0" w:type="auto"/>
        <w:tblLook w:val="04A0" w:firstRow="1" w:lastRow="0" w:firstColumn="1" w:lastColumn="0" w:noHBand="0" w:noVBand="1"/>
      </w:tblPr>
      <w:tblGrid>
        <w:gridCol w:w="9063"/>
      </w:tblGrid>
      <w:tr w:rsidR="003A3A17" w:rsidRPr="00037FD2" w14:paraId="799D0E7D" w14:textId="77777777" w:rsidTr="00E45665">
        <w:tc>
          <w:tcPr>
            <w:tcW w:w="9289" w:type="dxa"/>
          </w:tcPr>
          <w:p w14:paraId="17DD58E1" w14:textId="6E51FDC7" w:rsidR="00B03177" w:rsidRPr="003A3A17" w:rsidRDefault="000D1693" w:rsidP="00CC162E">
            <w:pPr>
              <w:pStyle w:val="Personnequisigne"/>
              <w:rPr>
                <w:lang w:val="lv-LV"/>
              </w:rPr>
            </w:pPr>
            <w:r w:rsidRPr="003A3A17">
              <w:rPr>
                <w:noProof/>
                <w:lang w:val="lv-LV"/>
              </w:rPr>
              <w:t>Šeit ierakstiet tekstu. Ne vairāk kā 4000 rakstzīmes</w:t>
            </w:r>
          </w:p>
          <w:p w14:paraId="37F2D6E6" w14:textId="4A2BB783" w:rsidR="00A80912" w:rsidRPr="003A3A17" w:rsidRDefault="00A80912" w:rsidP="00CC162E">
            <w:pPr>
              <w:spacing w:line="259" w:lineRule="auto"/>
              <w:ind w:firstLine="709"/>
              <w:rPr>
                <w:rFonts w:eastAsia="Calibri"/>
                <w:shd w:val="clear" w:color="auto" w:fill="FFFFFF"/>
                <w:lang w:val="lv-LV"/>
              </w:rPr>
            </w:pPr>
            <w:proofErr w:type="spellStart"/>
            <w:r w:rsidRPr="003A3A17">
              <w:rPr>
                <w:rFonts w:eastAsia="Calibri"/>
                <w:shd w:val="clear" w:color="auto" w:fill="FFFFFF"/>
                <w:lang w:val="lv-LV"/>
              </w:rPr>
              <w:t>Iekšlietu</w:t>
            </w:r>
            <w:proofErr w:type="spellEnd"/>
            <w:r w:rsidRPr="003A3A17">
              <w:rPr>
                <w:rFonts w:eastAsia="Calibri"/>
                <w:shd w:val="clear" w:color="auto" w:fill="FFFFFF"/>
                <w:lang w:val="lv-LV"/>
              </w:rPr>
              <w:t xml:space="preserve"> ministrija sadarbībā ar ES </w:t>
            </w:r>
            <w:proofErr w:type="spellStart"/>
            <w:r w:rsidRPr="003A3A17">
              <w:rPr>
                <w:rFonts w:eastAsia="Calibri"/>
                <w:shd w:val="clear" w:color="auto" w:fill="FFFFFF"/>
                <w:lang w:val="lv-LV"/>
              </w:rPr>
              <w:t>iekšlietu</w:t>
            </w:r>
            <w:proofErr w:type="spellEnd"/>
            <w:r w:rsidRPr="003A3A17">
              <w:rPr>
                <w:rFonts w:eastAsia="Calibri"/>
                <w:shd w:val="clear" w:color="auto" w:fill="FFFFFF"/>
                <w:lang w:val="lv-LV"/>
              </w:rPr>
              <w:t xml:space="preserve"> fondu finansējuma saņēmējiem grāmatvedības gada ietvaros ir veiksmīgi īstenojusi plašu komunikācijas aktivitāšu kopumu, lai informētu sabiedrību par ES </w:t>
            </w:r>
            <w:proofErr w:type="spellStart"/>
            <w:r w:rsidRPr="003A3A17">
              <w:rPr>
                <w:rFonts w:eastAsia="Calibri"/>
                <w:shd w:val="clear" w:color="auto" w:fill="FFFFFF"/>
                <w:lang w:val="lv-LV"/>
              </w:rPr>
              <w:t>iekšlietu</w:t>
            </w:r>
            <w:proofErr w:type="spellEnd"/>
            <w:r w:rsidRPr="003A3A17">
              <w:rPr>
                <w:rFonts w:eastAsia="Calibri"/>
                <w:shd w:val="clear" w:color="auto" w:fill="FFFFFF"/>
                <w:lang w:val="lv-LV"/>
              </w:rPr>
              <w:t xml:space="preserve"> fondu ieguldījumu Latvijas un visas </w:t>
            </w:r>
            <w:r w:rsidR="001B436A" w:rsidRPr="003A3A17">
              <w:rPr>
                <w:rFonts w:eastAsia="Calibri"/>
                <w:shd w:val="clear" w:color="auto" w:fill="FFFFFF"/>
                <w:lang w:val="lv-LV"/>
              </w:rPr>
              <w:t>ES</w:t>
            </w:r>
            <w:r w:rsidRPr="003A3A17">
              <w:rPr>
                <w:rFonts w:eastAsia="Calibri"/>
                <w:shd w:val="clear" w:color="auto" w:fill="FFFFFF"/>
                <w:lang w:val="lv-LV"/>
              </w:rPr>
              <w:t xml:space="preserve"> drošības stiprināšanā.</w:t>
            </w:r>
          </w:p>
          <w:p w14:paraId="50FFD769" w14:textId="5E842837" w:rsidR="00A80912" w:rsidRPr="003A3A17" w:rsidRDefault="00A80912" w:rsidP="00A80912">
            <w:pPr>
              <w:spacing w:line="259" w:lineRule="auto"/>
              <w:ind w:firstLine="709"/>
              <w:rPr>
                <w:rFonts w:eastAsia="Calibri"/>
                <w:shd w:val="clear" w:color="auto" w:fill="FFFFFF"/>
                <w:lang w:val="lv-LV"/>
              </w:rPr>
            </w:pPr>
            <w:r w:rsidRPr="003A3A17">
              <w:rPr>
                <w:rFonts w:eastAsia="Calibri"/>
                <w:shd w:val="clear" w:color="auto" w:fill="FFFFFF"/>
                <w:lang w:val="lv-LV"/>
              </w:rPr>
              <w:t xml:space="preserve">Komunikācijas aktivitāšu mērķis ir bijis sekot Komunikācijas stratēģijā </w:t>
            </w:r>
            <w:r w:rsidR="001B436A" w:rsidRPr="003A3A17">
              <w:rPr>
                <w:rFonts w:eastAsia="Calibri"/>
                <w:shd w:val="clear" w:color="auto" w:fill="FFFFFF"/>
                <w:lang w:val="lv-LV"/>
              </w:rPr>
              <w:t>ES</w:t>
            </w:r>
            <w:r w:rsidRPr="003A3A17">
              <w:rPr>
                <w:rFonts w:eastAsia="Calibri"/>
                <w:shd w:val="clear" w:color="auto" w:fill="FFFFFF"/>
                <w:lang w:val="lv-LV"/>
              </w:rPr>
              <w:t xml:space="preserve"> fondiem 2021.–2027. gada plānošanas periodā un Atveseļošanas fondam Latvijā </w:t>
            </w:r>
            <w:r w:rsidR="009B5345" w:rsidRPr="003A3A17">
              <w:rPr>
                <w:rFonts w:eastAsia="Calibri"/>
                <w:shd w:val="clear" w:color="auto" w:fill="FFFFFF"/>
                <w:lang w:val="lv-LV"/>
              </w:rPr>
              <w:t xml:space="preserve">(turpmāk – Komunikācijas stratēģija) </w:t>
            </w:r>
            <w:r w:rsidRPr="003A3A17">
              <w:rPr>
                <w:rFonts w:eastAsia="Calibri"/>
                <w:shd w:val="clear" w:color="auto" w:fill="FFFFFF"/>
                <w:lang w:val="lv-LV"/>
              </w:rPr>
              <w:t xml:space="preserve">norādītājam, proti, veicināt sabiedrības izpratni par ES fondu finansēto projektu nozīmi integrētas robežu pārvaldības, iekšējās drošības un migrācijas jomās, kā arī sekmēt sabiedrības </w:t>
            </w:r>
            <w:r w:rsidRPr="003A3A17">
              <w:rPr>
                <w:rFonts w:eastAsia="Calibri"/>
                <w:shd w:val="clear" w:color="auto" w:fill="FFFFFF"/>
                <w:lang w:val="lv-LV"/>
              </w:rPr>
              <w:lastRenderedPageBreak/>
              <w:t xml:space="preserve">atbalstu un uzticēšanos ES </w:t>
            </w:r>
            <w:proofErr w:type="spellStart"/>
            <w:r w:rsidRPr="003A3A17">
              <w:rPr>
                <w:rFonts w:eastAsia="Calibri"/>
                <w:shd w:val="clear" w:color="auto" w:fill="FFFFFF"/>
                <w:lang w:val="lv-LV"/>
              </w:rPr>
              <w:t>iekšlietu</w:t>
            </w:r>
            <w:proofErr w:type="spellEnd"/>
            <w:r w:rsidRPr="003A3A17">
              <w:rPr>
                <w:rFonts w:eastAsia="Calibri"/>
                <w:shd w:val="clear" w:color="auto" w:fill="FFFFFF"/>
                <w:lang w:val="lv-LV"/>
              </w:rPr>
              <w:t xml:space="preserve"> fondu projektiem. Komunikācijas aktivitāšu kopuma īstenošana ir bijusi īpaši svarīga, ņemot vērā pieaugošos drošības izaicinājumus Eiropā.</w:t>
            </w:r>
          </w:p>
          <w:p w14:paraId="6915F645" w14:textId="7BA0A1BD" w:rsidR="009B5345" w:rsidRPr="006960C7" w:rsidRDefault="009B5345" w:rsidP="006960C7">
            <w:pPr>
              <w:spacing w:line="259" w:lineRule="auto"/>
              <w:ind w:firstLine="709"/>
              <w:rPr>
                <w:i/>
                <w:lang w:val="lv-LV"/>
              </w:rPr>
            </w:pPr>
            <w:r w:rsidRPr="003A3A17">
              <w:rPr>
                <w:lang w:val="lv-LV"/>
              </w:rPr>
              <w:t>Atbilstoši Komunikācijas stratēģijai</w:t>
            </w:r>
            <w:r w:rsidR="002A4E0C" w:rsidRPr="003A3A17">
              <w:rPr>
                <w:lang w:val="lv-LV"/>
              </w:rPr>
              <w:t xml:space="preserve"> un Iekšējās drošības fonda komunikācijas plānam</w:t>
            </w:r>
            <w:r w:rsidRPr="003A3A17">
              <w:rPr>
                <w:lang w:val="lv-LV"/>
              </w:rPr>
              <w:t xml:space="preserve">, </w:t>
            </w:r>
            <w:proofErr w:type="spellStart"/>
            <w:r w:rsidRPr="003A3A17">
              <w:rPr>
                <w:lang w:val="lv-LV"/>
              </w:rPr>
              <w:t>Iekšlietu</w:t>
            </w:r>
            <w:proofErr w:type="spellEnd"/>
            <w:r w:rsidRPr="003A3A17">
              <w:rPr>
                <w:lang w:val="lv-LV"/>
              </w:rPr>
              <w:t xml:space="preserve"> ministrijas pārraudzībā esošo ES fondu un finansiālā atbalsta instrumenta komunikācijas efektivitāte tik</w:t>
            </w:r>
            <w:r w:rsidR="0062377B">
              <w:rPr>
                <w:lang w:val="lv-LV"/>
              </w:rPr>
              <w:t>a</w:t>
            </w:r>
            <w:r w:rsidRPr="003A3A17">
              <w:rPr>
                <w:lang w:val="lv-LV"/>
              </w:rPr>
              <w:t xml:space="preserve"> izvērtēta sabiedriskās domas pētījuma ietvaros, kuru Finanšu ministrija kā ES fondu komunikācijas nacionālais koordinators organizē</w:t>
            </w:r>
            <w:r w:rsidR="0062377B">
              <w:rPr>
                <w:lang w:val="lv-LV"/>
              </w:rPr>
              <w:t>ja</w:t>
            </w:r>
            <w:r w:rsidRPr="003A3A17">
              <w:rPr>
                <w:lang w:val="lv-LV"/>
              </w:rPr>
              <w:t xml:space="preserve">, lai noskaidrotu iedzīvotāju informētību par ES fondiem un programmām. Kopīgajā </w:t>
            </w:r>
            <w:proofErr w:type="spellStart"/>
            <w:r w:rsidRPr="003A3A17">
              <w:rPr>
                <w:lang w:val="lv-LV"/>
              </w:rPr>
              <w:t>izvērtējumā</w:t>
            </w:r>
            <w:proofErr w:type="spellEnd"/>
            <w:r w:rsidRPr="003A3A17">
              <w:rPr>
                <w:lang w:val="lv-LV"/>
              </w:rPr>
              <w:t xml:space="preserve"> par 2024. gadu ar pārējiem ES fondiem</w:t>
            </w:r>
            <w:r w:rsidR="006960C7">
              <w:rPr>
                <w:lang w:val="lv-LV"/>
              </w:rPr>
              <w:t>,</w:t>
            </w:r>
            <w:r w:rsidRPr="003A3A17">
              <w:rPr>
                <w:lang w:val="lv-LV"/>
              </w:rPr>
              <w:t xml:space="preserve"> specifiski tik</w:t>
            </w:r>
            <w:r w:rsidR="0062377B">
              <w:rPr>
                <w:lang w:val="lv-LV"/>
              </w:rPr>
              <w:t>a</w:t>
            </w:r>
            <w:r w:rsidRPr="003A3A17">
              <w:rPr>
                <w:lang w:val="lv-LV"/>
              </w:rPr>
              <w:t xml:space="preserve"> apzināta arī tā respondentu procentuālā daļa, kuri ir informēti par ES fondiem ar atbalsta pasākumiem migrācijas, robežu un drošības jomās. </w:t>
            </w:r>
            <w:r w:rsidR="0062377B">
              <w:rPr>
                <w:lang w:val="lv-LV"/>
              </w:rPr>
              <w:t>Komunikācijas stratēģijā noteiktais m</w:t>
            </w:r>
            <w:r w:rsidR="0062377B" w:rsidRPr="0062377B">
              <w:rPr>
                <w:lang w:val="lv-LV"/>
              </w:rPr>
              <w:t xml:space="preserve">ērķis sabiedrības kopējai informētībai par ES fondiem migrācijas, robežu un drošības jomās (7,5%) ir ievērojami pārsniegts, </w:t>
            </w:r>
            <w:r w:rsidR="0062377B">
              <w:rPr>
                <w:lang w:val="lv-LV"/>
              </w:rPr>
              <w:t xml:space="preserve">2024. </w:t>
            </w:r>
            <w:r w:rsidR="006960C7">
              <w:rPr>
                <w:lang w:val="lv-LV"/>
              </w:rPr>
              <w:t>gadā</w:t>
            </w:r>
            <w:r w:rsidR="0062377B">
              <w:rPr>
                <w:lang w:val="lv-LV"/>
              </w:rPr>
              <w:t xml:space="preserve"> </w:t>
            </w:r>
            <w:r w:rsidR="0062377B" w:rsidRPr="0062377B">
              <w:rPr>
                <w:lang w:val="lv-LV"/>
              </w:rPr>
              <w:t>sasniedzot 16%.</w:t>
            </w:r>
          </w:p>
          <w:p w14:paraId="7D90FAA4" w14:textId="6E9F1CDF" w:rsidR="00A80912" w:rsidRPr="003A3A17" w:rsidRDefault="00C72821" w:rsidP="00A80912">
            <w:pPr>
              <w:spacing w:line="259" w:lineRule="auto"/>
              <w:ind w:firstLine="709"/>
              <w:rPr>
                <w:rFonts w:eastAsia="Calibri"/>
                <w:shd w:val="clear" w:color="auto" w:fill="FFFFFF"/>
                <w:lang w:val="lv-LV"/>
              </w:rPr>
            </w:pPr>
            <w:r>
              <w:rPr>
                <w:rFonts w:eastAsia="Calibri"/>
                <w:shd w:val="clear" w:color="auto" w:fill="FFFFFF"/>
                <w:lang w:val="lv-LV"/>
              </w:rPr>
              <w:t>K</w:t>
            </w:r>
            <w:r w:rsidR="008F1C32" w:rsidRPr="003A3A17">
              <w:rPr>
                <w:rFonts w:eastAsia="Calibri"/>
                <w:shd w:val="clear" w:color="auto" w:fill="FFFFFF"/>
                <w:lang w:val="lv-LV"/>
              </w:rPr>
              <w:t xml:space="preserve">omunikācijas jomā </w:t>
            </w:r>
            <w:r w:rsidR="00364D1C" w:rsidRPr="003A3A17">
              <w:rPr>
                <w:rFonts w:eastAsia="Calibri"/>
                <w:shd w:val="clear" w:color="auto" w:fill="FFFFFF"/>
                <w:lang w:val="lv-LV"/>
              </w:rPr>
              <w:t xml:space="preserve">ir </w:t>
            </w:r>
            <w:r w:rsidR="00A80912" w:rsidRPr="003A3A17">
              <w:rPr>
                <w:rFonts w:eastAsia="Calibri"/>
                <w:shd w:val="clear" w:color="auto" w:fill="FFFFFF"/>
                <w:lang w:val="lv-LV"/>
              </w:rPr>
              <w:t>veikti šādi pasākumi</w:t>
            </w:r>
            <w:r>
              <w:rPr>
                <w:rFonts w:eastAsia="Calibri"/>
                <w:shd w:val="clear" w:color="auto" w:fill="FFFFFF"/>
                <w:lang w:val="lv-LV"/>
              </w:rPr>
              <w:t xml:space="preserve"> (detalizētu informāciju skatīt ziņojuma 2. pielikumā)</w:t>
            </w:r>
            <w:r w:rsidR="00A80912" w:rsidRPr="003A3A17">
              <w:rPr>
                <w:rFonts w:eastAsia="Calibri"/>
                <w:shd w:val="clear" w:color="auto" w:fill="FFFFFF"/>
                <w:lang w:val="lv-LV"/>
              </w:rPr>
              <w:t>:</w:t>
            </w:r>
          </w:p>
          <w:p w14:paraId="3403B608" w14:textId="22F92C4D" w:rsidR="00C72821" w:rsidRPr="00C72821" w:rsidRDefault="00C72821" w:rsidP="00C72821">
            <w:pPr>
              <w:pStyle w:val="ListParagraph"/>
              <w:numPr>
                <w:ilvl w:val="0"/>
                <w:numId w:val="44"/>
              </w:numPr>
              <w:spacing w:line="259" w:lineRule="auto"/>
              <w:rPr>
                <w:rFonts w:eastAsia="Calibri"/>
                <w:bCs/>
                <w:shd w:val="clear" w:color="auto" w:fill="FFFFFF"/>
                <w:lang w:val="lv-LV"/>
              </w:rPr>
            </w:pPr>
            <w:r>
              <w:rPr>
                <w:rFonts w:eastAsia="Calibri"/>
                <w:bCs/>
                <w:shd w:val="clear" w:color="auto" w:fill="FFFFFF"/>
                <w:lang w:val="lv-LV"/>
              </w:rPr>
              <w:t>s</w:t>
            </w:r>
            <w:r w:rsidR="00A80912" w:rsidRPr="00C72821">
              <w:rPr>
                <w:rFonts w:eastAsia="Calibri"/>
                <w:bCs/>
                <w:shd w:val="clear" w:color="auto" w:fill="FFFFFF"/>
                <w:lang w:val="lv-LV"/>
              </w:rPr>
              <w:t>atura veidošana un izplatīšana tīmekļvietnēs</w:t>
            </w:r>
            <w:r w:rsidRPr="00C72821">
              <w:rPr>
                <w:rFonts w:eastAsia="Calibri"/>
                <w:bCs/>
                <w:shd w:val="clear" w:color="auto" w:fill="FFFFFF"/>
                <w:lang w:val="lv-LV"/>
              </w:rPr>
              <w:t>;</w:t>
            </w:r>
          </w:p>
          <w:p w14:paraId="3EBD164D" w14:textId="64B125F1" w:rsidR="00C72821" w:rsidRPr="00C72821" w:rsidRDefault="00C72821" w:rsidP="00C72821">
            <w:pPr>
              <w:pStyle w:val="ListParagraph"/>
              <w:numPr>
                <w:ilvl w:val="0"/>
                <w:numId w:val="44"/>
              </w:numPr>
              <w:spacing w:line="259" w:lineRule="auto"/>
              <w:rPr>
                <w:rFonts w:eastAsia="Calibri"/>
                <w:bCs/>
                <w:shd w:val="clear" w:color="auto" w:fill="FFFFFF"/>
                <w:lang w:val="lv-LV"/>
              </w:rPr>
            </w:pPr>
            <w:r>
              <w:rPr>
                <w:rFonts w:eastAsia="Calibri"/>
                <w:bCs/>
                <w:shd w:val="clear" w:color="auto" w:fill="FFFFFF"/>
                <w:lang w:val="lv-LV"/>
              </w:rPr>
              <w:t>pr</w:t>
            </w:r>
            <w:r w:rsidR="00A80912" w:rsidRPr="00C72821">
              <w:rPr>
                <w:rFonts w:eastAsia="Calibri"/>
                <w:bCs/>
                <w:shd w:val="clear" w:color="auto" w:fill="FFFFFF"/>
                <w:lang w:val="lv-LV"/>
              </w:rPr>
              <w:t xml:space="preserve">eses </w:t>
            </w:r>
            <w:proofErr w:type="spellStart"/>
            <w:r w:rsidR="00A80912" w:rsidRPr="00C72821">
              <w:rPr>
                <w:rFonts w:eastAsia="Calibri"/>
                <w:bCs/>
                <w:shd w:val="clear" w:color="auto" w:fill="FFFFFF"/>
                <w:lang w:val="lv-LV"/>
              </w:rPr>
              <w:t>relīzes</w:t>
            </w:r>
            <w:proofErr w:type="spellEnd"/>
            <w:r w:rsidR="00A80912" w:rsidRPr="00C72821">
              <w:rPr>
                <w:rFonts w:eastAsia="Calibri"/>
                <w:bCs/>
                <w:shd w:val="clear" w:color="auto" w:fill="FFFFFF"/>
                <w:lang w:val="lv-LV"/>
              </w:rPr>
              <w:t xml:space="preserve"> un sociālo mediju aktivitātes</w:t>
            </w:r>
            <w:r w:rsidRPr="00C72821">
              <w:rPr>
                <w:rFonts w:eastAsia="Calibri"/>
                <w:bCs/>
                <w:shd w:val="clear" w:color="auto" w:fill="FFFFFF"/>
                <w:lang w:val="lv-LV"/>
              </w:rPr>
              <w:t>;</w:t>
            </w:r>
          </w:p>
          <w:p w14:paraId="61F1430A" w14:textId="35D674E5" w:rsidR="00C72821" w:rsidRPr="00C72821" w:rsidRDefault="00C72821" w:rsidP="00C72821">
            <w:pPr>
              <w:pStyle w:val="ListParagraph"/>
              <w:numPr>
                <w:ilvl w:val="0"/>
                <w:numId w:val="44"/>
              </w:numPr>
              <w:spacing w:line="259" w:lineRule="auto"/>
              <w:rPr>
                <w:rFonts w:eastAsia="Calibri"/>
                <w:bCs/>
                <w:shd w:val="clear" w:color="auto" w:fill="FFFFFF"/>
                <w:lang w:val="lv-LV"/>
              </w:rPr>
            </w:pPr>
            <w:r>
              <w:rPr>
                <w:rFonts w:eastAsia="Calibri"/>
                <w:bCs/>
                <w:shd w:val="clear" w:color="auto" w:fill="FFFFFF"/>
                <w:lang w:val="lv-LV"/>
              </w:rPr>
              <w:t>s</w:t>
            </w:r>
            <w:r w:rsidR="00A80912" w:rsidRPr="00C72821">
              <w:rPr>
                <w:rFonts w:eastAsia="Calibri"/>
                <w:bCs/>
                <w:shd w:val="clear" w:color="auto" w:fill="FFFFFF"/>
                <w:lang w:val="lv-LV"/>
              </w:rPr>
              <w:t xml:space="preserve">adarbība ar ES </w:t>
            </w:r>
            <w:proofErr w:type="spellStart"/>
            <w:r w:rsidR="00A80912" w:rsidRPr="00C72821">
              <w:rPr>
                <w:rFonts w:eastAsia="Calibri"/>
                <w:bCs/>
                <w:shd w:val="clear" w:color="auto" w:fill="FFFFFF"/>
                <w:lang w:val="lv-LV"/>
              </w:rPr>
              <w:t>iekšlietu</w:t>
            </w:r>
            <w:proofErr w:type="spellEnd"/>
            <w:r w:rsidR="00A80912" w:rsidRPr="00C72821">
              <w:rPr>
                <w:rFonts w:eastAsia="Calibri"/>
                <w:bCs/>
                <w:shd w:val="clear" w:color="auto" w:fill="FFFFFF"/>
                <w:lang w:val="lv-LV"/>
              </w:rPr>
              <w:t xml:space="preserve"> fondu finansējuma saņēmējiem</w:t>
            </w:r>
            <w:r w:rsidRPr="00C72821">
              <w:rPr>
                <w:rFonts w:eastAsia="Calibri"/>
                <w:bCs/>
                <w:shd w:val="clear" w:color="auto" w:fill="FFFFFF"/>
                <w:lang w:val="lv-LV"/>
              </w:rPr>
              <w:t>;</w:t>
            </w:r>
          </w:p>
          <w:p w14:paraId="22233293" w14:textId="729451C7" w:rsidR="00A80912" w:rsidRPr="00C72821" w:rsidRDefault="00C72821" w:rsidP="00C72821">
            <w:pPr>
              <w:pStyle w:val="ListParagraph"/>
              <w:numPr>
                <w:ilvl w:val="0"/>
                <w:numId w:val="44"/>
              </w:numPr>
              <w:spacing w:line="259" w:lineRule="auto"/>
              <w:rPr>
                <w:rFonts w:eastAsia="Calibri"/>
                <w:bCs/>
                <w:shd w:val="clear" w:color="auto" w:fill="FFFFFF"/>
                <w:lang w:val="lv-LV"/>
              </w:rPr>
            </w:pPr>
            <w:r>
              <w:rPr>
                <w:rFonts w:eastAsia="Calibri"/>
                <w:bCs/>
                <w:shd w:val="clear" w:color="auto" w:fill="FFFFFF"/>
                <w:lang w:val="lv-LV"/>
              </w:rPr>
              <w:t>ī</w:t>
            </w:r>
            <w:r w:rsidR="00A80912" w:rsidRPr="00C72821">
              <w:rPr>
                <w:rFonts w:eastAsia="Calibri"/>
                <w:bCs/>
                <w:shd w:val="clear" w:color="auto" w:fill="FFFFFF"/>
                <w:lang w:val="lv-LV"/>
              </w:rPr>
              <w:t>pašās publicitātes aktivitātes grāmatvedības perioda ietvaros</w:t>
            </w:r>
            <w:r>
              <w:rPr>
                <w:rFonts w:eastAsia="Calibri"/>
                <w:bCs/>
                <w:shd w:val="clear" w:color="auto" w:fill="FFFFFF"/>
                <w:lang w:val="lv-LV"/>
              </w:rPr>
              <w:t>.</w:t>
            </w:r>
          </w:p>
          <w:p w14:paraId="3A2A4CEA" w14:textId="77777777" w:rsidR="00A80912" w:rsidRPr="003A3A17" w:rsidRDefault="00A80912" w:rsidP="002C0831">
            <w:pPr>
              <w:spacing w:line="259" w:lineRule="auto"/>
              <w:ind w:firstLine="709"/>
              <w:rPr>
                <w:rFonts w:eastAsia="Calibri"/>
                <w:shd w:val="clear" w:color="auto" w:fill="FFFFFF"/>
                <w:lang w:val="lv-LV"/>
              </w:rPr>
            </w:pPr>
          </w:p>
          <w:p w14:paraId="3DC2EA23" w14:textId="37CB14F5" w:rsidR="00C73F20" w:rsidRPr="003A3A17" w:rsidRDefault="00C73F20" w:rsidP="0089411A">
            <w:pPr>
              <w:spacing w:line="259" w:lineRule="auto"/>
              <w:ind w:firstLine="709"/>
              <w:rPr>
                <w:rFonts w:eastAsia="Calibri"/>
                <w:shd w:val="clear" w:color="auto" w:fill="FFFFFF"/>
                <w:lang w:val="lv-LV"/>
              </w:rPr>
            </w:pPr>
            <w:proofErr w:type="spellStart"/>
            <w:r w:rsidRPr="003A3A17">
              <w:rPr>
                <w:rFonts w:eastAsia="Calibri"/>
                <w:shd w:val="clear" w:color="auto" w:fill="FFFFFF"/>
                <w:lang w:val="lv-LV"/>
              </w:rPr>
              <w:t>Iekšlietu</w:t>
            </w:r>
            <w:proofErr w:type="spellEnd"/>
            <w:r w:rsidRPr="003A3A17">
              <w:rPr>
                <w:rFonts w:eastAsia="Calibri"/>
                <w:shd w:val="clear" w:color="auto" w:fill="FFFFFF"/>
                <w:lang w:val="lv-LV"/>
              </w:rPr>
              <w:t xml:space="preserve"> ministrija sadarbībā ar </w:t>
            </w:r>
            <w:r w:rsidR="00B97728" w:rsidRPr="003A3A17">
              <w:rPr>
                <w:rFonts w:eastAsia="Calibri"/>
                <w:shd w:val="clear" w:color="auto" w:fill="FFFFFF"/>
                <w:lang w:val="lv-LV"/>
              </w:rPr>
              <w:t xml:space="preserve">ES </w:t>
            </w:r>
            <w:proofErr w:type="spellStart"/>
            <w:r w:rsidR="00B97728" w:rsidRPr="003A3A17">
              <w:rPr>
                <w:rFonts w:eastAsia="Calibri"/>
                <w:shd w:val="clear" w:color="auto" w:fill="FFFFFF"/>
                <w:lang w:val="lv-LV"/>
              </w:rPr>
              <w:t>iekšlietu</w:t>
            </w:r>
            <w:proofErr w:type="spellEnd"/>
            <w:r w:rsidR="00B97728" w:rsidRPr="003A3A17">
              <w:rPr>
                <w:rFonts w:eastAsia="Calibri"/>
                <w:shd w:val="clear" w:color="auto" w:fill="FFFFFF"/>
                <w:lang w:val="lv-LV"/>
              </w:rPr>
              <w:t xml:space="preserve"> fondu </w:t>
            </w:r>
            <w:r w:rsidRPr="003A3A17">
              <w:rPr>
                <w:rFonts w:eastAsia="Calibri"/>
                <w:shd w:val="clear" w:color="auto" w:fill="FFFFFF"/>
                <w:lang w:val="lv-LV"/>
              </w:rPr>
              <w:t xml:space="preserve">finansējuma saņēmējiem turpinās informēt sabiedrību par ES fondu projektiem, </w:t>
            </w:r>
            <w:r w:rsidR="00B63E06" w:rsidRPr="003A3A17">
              <w:rPr>
                <w:rFonts w:eastAsia="Calibri"/>
                <w:shd w:val="clear" w:color="auto" w:fill="FFFFFF"/>
                <w:lang w:val="lv-LV"/>
              </w:rPr>
              <w:t xml:space="preserve">izplatot preses </w:t>
            </w:r>
            <w:proofErr w:type="spellStart"/>
            <w:r w:rsidR="00B63E06" w:rsidRPr="003A3A17">
              <w:rPr>
                <w:rFonts w:eastAsia="Calibri"/>
                <w:shd w:val="clear" w:color="auto" w:fill="FFFFFF"/>
                <w:lang w:val="lv-LV"/>
              </w:rPr>
              <w:t>relīzes</w:t>
            </w:r>
            <w:proofErr w:type="spellEnd"/>
            <w:r w:rsidR="00B63E06" w:rsidRPr="003A3A17">
              <w:rPr>
                <w:rFonts w:eastAsia="Calibri"/>
                <w:shd w:val="clear" w:color="auto" w:fill="FFFFFF"/>
                <w:lang w:val="lv-LV"/>
              </w:rPr>
              <w:t xml:space="preserve">, </w:t>
            </w:r>
            <w:r w:rsidRPr="003A3A17">
              <w:rPr>
                <w:rFonts w:eastAsia="Calibri"/>
                <w:shd w:val="clear" w:color="auto" w:fill="FFFFFF"/>
                <w:lang w:val="lv-LV"/>
              </w:rPr>
              <w:t xml:space="preserve">izmantojot sociālos medijus, organizējot informatīvus pasākumus, kā arī ievietojot visas aktuālākās ziņas par ES fondu īstenošanu vienotajā tīmekļa portālā </w:t>
            </w:r>
            <w:hyperlink r:id="rId12" w:history="1">
              <w:r w:rsidRPr="003A3A17">
                <w:rPr>
                  <w:rFonts w:eastAsia="Calibri"/>
                  <w:u w:val="single"/>
                  <w:shd w:val="clear" w:color="auto" w:fill="FFFFFF"/>
                  <w:lang w:val="lv-LV"/>
                </w:rPr>
                <w:t>www.esfondi.lv</w:t>
              </w:r>
            </w:hyperlink>
            <w:r w:rsidRPr="003A3A17">
              <w:rPr>
                <w:rFonts w:eastAsia="Calibri"/>
                <w:shd w:val="clear" w:color="auto" w:fill="FFFFFF"/>
                <w:lang w:val="lv-LV"/>
              </w:rPr>
              <w:t xml:space="preserve"> zem sadaļas “Ziņas”</w:t>
            </w:r>
            <w:r w:rsidR="00CB6E99" w:rsidRPr="003A3A17">
              <w:rPr>
                <w:rFonts w:eastAsia="Calibri"/>
                <w:shd w:val="clear" w:color="auto" w:fill="FFFFFF"/>
                <w:lang w:val="lv-LV"/>
              </w:rPr>
              <w:t>.</w:t>
            </w:r>
            <w:r w:rsidR="00CB6E99" w:rsidRPr="003A3A17">
              <w:rPr>
                <w:rStyle w:val="FootnoteReference"/>
                <w:rFonts w:eastAsia="Calibri"/>
                <w:lang w:val="lv-LV"/>
              </w:rPr>
              <w:footnoteReference w:id="22"/>
            </w:r>
            <w:r w:rsidRPr="003A3A17">
              <w:rPr>
                <w:rFonts w:eastAsia="Calibri"/>
                <w:shd w:val="clear" w:color="auto" w:fill="FFFFFF"/>
                <w:lang w:val="lv-LV"/>
              </w:rPr>
              <w:t xml:space="preserve"> </w:t>
            </w:r>
            <w:hyperlink w:history="1"/>
            <w:r w:rsidRPr="003A3A17">
              <w:rPr>
                <w:rFonts w:eastAsia="Calibri"/>
                <w:shd w:val="clear" w:color="auto" w:fill="FFFFFF"/>
                <w:lang w:val="lv-LV"/>
              </w:rPr>
              <w:t xml:space="preserve"> </w:t>
            </w:r>
          </w:p>
        </w:tc>
      </w:tr>
    </w:tbl>
    <w:p w14:paraId="1941C015" w14:textId="77777777" w:rsidR="006A41E2" w:rsidRPr="003A3A17" w:rsidRDefault="001B037F" w:rsidP="006A41E2">
      <w:pPr>
        <w:rPr>
          <w:noProof/>
          <w:lang w:val="lv-LV"/>
        </w:rPr>
      </w:pPr>
      <w:r w:rsidRPr="003A3A17">
        <w:rPr>
          <w:noProof/>
          <w:lang w:val="lv-LV"/>
        </w:rPr>
        <w:lastRenderedPageBreak/>
        <w:t>Sniedziet saiti uz Regulas (ES) 2021/1060 46. panta b) punktā minēto tīmekļa portālu un minētās regulas 49. panta 1. punktā minēto tīmekļa vietni (ja šie resursi atšķiras).</w:t>
      </w:r>
    </w:p>
    <w:tbl>
      <w:tblPr>
        <w:tblStyle w:val="TableGrid"/>
        <w:tblW w:w="0" w:type="auto"/>
        <w:tblLook w:val="04A0" w:firstRow="1" w:lastRow="0" w:firstColumn="1" w:lastColumn="0" w:noHBand="0" w:noVBand="1"/>
      </w:tblPr>
      <w:tblGrid>
        <w:gridCol w:w="9063"/>
      </w:tblGrid>
      <w:tr w:rsidR="003A3A17" w:rsidRPr="00037FD2" w14:paraId="6B0C1F99" w14:textId="77777777" w:rsidTr="00E45665">
        <w:tc>
          <w:tcPr>
            <w:tcW w:w="9289" w:type="dxa"/>
          </w:tcPr>
          <w:p w14:paraId="20EF7C69" w14:textId="77777777" w:rsidR="000114FF" w:rsidRPr="003A3A17" w:rsidRDefault="00556EC4" w:rsidP="000114FF">
            <w:pPr>
              <w:pStyle w:val="Personnequisigne"/>
              <w:rPr>
                <w:noProof/>
                <w:lang w:val="lv-LV"/>
              </w:rPr>
            </w:pPr>
            <w:hyperlink r:id="rId13" w:history="1">
              <w:r w:rsidR="000114FF" w:rsidRPr="003A3A17">
                <w:rPr>
                  <w:rStyle w:val="Hyperlink"/>
                  <w:noProof/>
                  <w:color w:val="auto"/>
                  <w:lang w:val="lv-LV"/>
                </w:rPr>
                <w:t>https://www.esfondi.lv/sakums</w:t>
              </w:r>
            </w:hyperlink>
            <w:r w:rsidR="000114FF" w:rsidRPr="003A3A17">
              <w:rPr>
                <w:noProof/>
                <w:lang w:val="lv-LV"/>
              </w:rPr>
              <w:t xml:space="preserve"> </w:t>
            </w:r>
          </w:p>
          <w:p w14:paraId="0A72A40C" w14:textId="5B67B5DB" w:rsidR="006A41E2" w:rsidRPr="003A3A17" w:rsidRDefault="00556EC4" w:rsidP="00E45665">
            <w:pPr>
              <w:pStyle w:val="Personnequisigne"/>
              <w:rPr>
                <w:noProof/>
                <w:lang w:val="lv-LV"/>
              </w:rPr>
            </w:pPr>
            <w:hyperlink r:id="rId14" w:history="1">
              <w:r w:rsidR="000114FF" w:rsidRPr="003A3A17">
                <w:rPr>
                  <w:rStyle w:val="Hyperlink"/>
                  <w:noProof/>
                  <w:color w:val="auto"/>
                  <w:lang w:val="lv-LV"/>
                </w:rPr>
                <w:t>https://www.iem.gov.lv/lv/eiropas-savienibas-fondi</w:t>
              </w:r>
            </w:hyperlink>
            <w:r w:rsidR="000114FF" w:rsidRPr="003A3A17">
              <w:rPr>
                <w:noProof/>
                <w:lang w:val="lv-LV"/>
              </w:rPr>
              <w:t xml:space="preserve"> </w:t>
            </w:r>
          </w:p>
        </w:tc>
      </w:tr>
    </w:tbl>
    <w:p w14:paraId="4B25161C" w14:textId="6DB28F32" w:rsidR="006A41E2" w:rsidRPr="00D74E7A" w:rsidRDefault="00B32C89" w:rsidP="00B32C89">
      <w:pPr>
        <w:pStyle w:val="ManualHeading1"/>
        <w:rPr>
          <w:bCs/>
          <w:noProof/>
          <w:lang w:val="lv-LV"/>
        </w:rPr>
      </w:pPr>
      <w:r w:rsidRPr="00D74E7A">
        <w:rPr>
          <w:lang w:val="lv-LV"/>
        </w:rPr>
        <w:t>5.</w:t>
      </w:r>
      <w:r w:rsidRPr="00D74E7A">
        <w:rPr>
          <w:lang w:val="lv-LV"/>
        </w:rPr>
        <w:tab/>
      </w:r>
      <w:r w:rsidR="006A41E2" w:rsidRPr="00D74E7A">
        <w:rPr>
          <w:noProof/>
          <w:lang w:val="lv-LV"/>
        </w:rPr>
        <w:t>Veicinošie nosacījumi un horizontālie principi</w:t>
      </w:r>
    </w:p>
    <w:p w14:paraId="68CE0ECE" w14:textId="23A0DFB3" w:rsidR="006A41E2" w:rsidRPr="00D74E7A" w:rsidRDefault="00B32C89" w:rsidP="00B32C89">
      <w:pPr>
        <w:pStyle w:val="ManualHeading2"/>
        <w:rPr>
          <w:noProof/>
          <w:lang w:val="lv-LV"/>
        </w:rPr>
      </w:pPr>
      <w:r w:rsidRPr="00D74E7A">
        <w:rPr>
          <w:lang w:val="lv-LV"/>
        </w:rPr>
        <w:t>5.1.</w:t>
      </w:r>
      <w:r w:rsidRPr="00D74E7A">
        <w:rPr>
          <w:lang w:val="lv-LV"/>
        </w:rPr>
        <w:tab/>
      </w:r>
      <w:r w:rsidR="006A41E2" w:rsidRPr="00D74E7A">
        <w:rPr>
          <w:noProof/>
          <w:lang w:val="lv-LV"/>
        </w:rPr>
        <w:t xml:space="preserve">Veicinošie nosacījumi – Regulas (ES) 2021/1149 30. panta 2. punkta f) apakšpunkts </w:t>
      </w:r>
    </w:p>
    <w:p w14:paraId="441ADE7C" w14:textId="77777777" w:rsidR="006A41E2" w:rsidRPr="00D74E7A" w:rsidRDefault="001B037F" w:rsidP="006A41E2">
      <w:pPr>
        <w:rPr>
          <w:noProof/>
          <w:lang w:val="lv-LV"/>
        </w:rPr>
      </w:pPr>
      <w:r w:rsidRPr="00D74E7A">
        <w:rPr>
          <w:noProof/>
          <w:lang w:val="lv-LV"/>
        </w:rPr>
        <w:t>Aprakstiet, kā tika nodrošināts, ka ir izpildīti un visa grāmatvedības gada laikā tikuši piemēroti Regulas (ES) 2021/1060 III pielikumā paredzētie piemērojamie veicinošie nosacījumi, jo īpaši attiecībā uz Eiropas Savienības Pamattiesību hartas ievērošanu. Attiecīgā gadījumā aprakstiet visas izmaiņas, kas ietekmējušas veicinošo nosacījumu izpildi, kā paredzēts Regulas (ES) 2021/1060 15. panta 6. punktā.</w:t>
      </w:r>
    </w:p>
    <w:tbl>
      <w:tblPr>
        <w:tblStyle w:val="TableGrid"/>
        <w:tblW w:w="0" w:type="auto"/>
        <w:tblLook w:val="04A0" w:firstRow="1" w:lastRow="0" w:firstColumn="1" w:lastColumn="0" w:noHBand="0" w:noVBand="1"/>
      </w:tblPr>
      <w:tblGrid>
        <w:gridCol w:w="9063"/>
      </w:tblGrid>
      <w:tr w:rsidR="003A3A17" w:rsidRPr="00037FD2" w14:paraId="1192D2A4" w14:textId="77777777" w:rsidTr="00E45665">
        <w:tc>
          <w:tcPr>
            <w:tcW w:w="9289" w:type="dxa"/>
          </w:tcPr>
          <w:p w14:paraId="43E0A259" w14:textId="77777777" w:rsidR="006A41E2" w:rsidRPr="00D74E7A" w:rsidRDefault="00FF0E7F" w:rsidP="009E5C5D">
            <w:pPr>
              <w:pStyle w:val="Personnequisigne"/>
              <w:rPr>
                <w:noProof/>
                <w:lang w:val="lv-LV"/>
              </w:rPr>
            </w:pPr>
            <w:r w:rsidRPr="00D74E7A">
              <w:rPr>
                <w:noProof/>
                <w:lang w:val="lv-LV"/>
              </w:rPr>
              <w:t>Šeit ierakstiet tekstu. Ne vairāk kā 5000 rakstzīmes.</w:t>
            </w:r>
          </w:p>
          <w:p w14:paraId="66E19415" w14:textId="76FAC6E9" w:rsidR="002642C0" w:rsidRPr="00D74E7A" w:rsidRDefault="008A5DA7" w:rsidP="002642C0">
            <w:pPr>
              <w:keepNext/>
              <w:tabs>
                <w:tab w:val="left" w:pos="4252"/>
              </w:tabs>
              <w:rPr>
                <w:lang w:val="lv-LV"/>
              </w:rPr>
            </w:pPr>
            <w:r w:rsidRPr="00D74E7A">
              <w:rPr>
                <w:lang w:val="lv-LV"/>
              </w:rPr>
              <w:t>Veicinošie nosacījumi:</w:t>
            </w:r>
          </w:p>
          <w:p w14:paraId="41B06989" w14:textId="2BDBA655" w:rsidR="004E19E0" w:rsidRPr="00D74E7A" w:rsidRDefault="004E19E0" w:rsidP="00F248DA">
            <w:pPr>
              <w:pStyle w:val="ListParagraph"/>
              <w:numPr>
                <w:ilvl w:val="0"/>
                <w:numId w:val="33"/>
              </w:numPr>
              <w:tabs>
                <w:tab w:val="left" w:pos="4252"/>
              </w:tabs>
              <w:rPr>
                <w:rFonts w:eastAsia="Times New Roman"/>
                <w:lang w:val="lv-LV"/>
              </w:rPr>
            </w:pPr>
            <w:r w:rsidRPr="00D74E7A">
              <w:rPr>
                <w:rFonts w:eastAsia="Times New Roman"/>
                <w:b/>
                <w:lang w:val="lv-LV"/>
              </w:rPr>
              <w:t>Efektīvi publiskā iepirkuma tirgus uzraudzības mehānismi</w:t>
            </w:r>
            <w:r w:rsidRPr="00D74E7A">
              <w:rPr>
                <w:rFonts w:eastAsia="Times New Roman"/>
                <w:lang w:val="lv-LV"/>
              </w:rPr>
              <w:t xml:space="preserve"> - grāmatvedības </w:t>
            </w:r>
            <w:r w:rsidR="000066B0" w:rsidRPr="00D74E7A">
              <w:rPr>
                <w:rFonts w:eastAsia="Times New Roman"/>
                <w:lang w:val="lv-LV"/>
              </w:rPr>
              <w:t>periodā</w:t>
            </w:r>
            <w:r w:rsidRPr="00D74E7A">
              <w:rPr>
                <w:rFonts w:eastAsia="Times New Roman"/>
                <w:lang w:val="lv-LV"/>
              </w:rPr>
              <w:t xml:space="preserve"> ir nodrošināta veicinošā nosacījuma izpilde:</w:t>
            </w:r>
          </w:p>
          <w:p w14:paraId="550EC85B" w14:textId="33292007" w:rsidR="00CB0BD9" w:rsidRPr="00D74E7A" w:rsidRDefault="004E19E0" w:rsidP="00CB0BD9">
            <w:pPr>
              <w:keepNext/>
              <w:tabs>
                <w:tab w:val="left" w:pos="4252"/>
              </w:tabs>
              <w:rPr>
                <w:i/>
                <w:lang w:val="lv-LV"/>
              </w:rPr>
            </w:pPr>
            <w:r w:rsidRPr="00D74E7A">
              <w:rPr>
                <w:i/>
                <w:lang w:val="lv-LV"/>
              </w:rPr>
              <w:t xml:space="preserve"> </w:t>
            </w:r>
          </w:p>
          <w:p w14:paraId="27CD8423" w14:textId="5D37568A" w:rsidR="004E19E0" w:rsidRPr="00D74E7A" w:rsidRDefault="004E19E0" w:rsidP="00F248DA">
            <w:pPr>
              <w:pStyle w:val="ListParagraph"/>
              <w:keepNext/>
              <w:numPr>
                <w:ilvl w:val="0"/>
                <w:numId w:val="30"/>
              </w:numPr>
              <w:tabs>
                <w:tab w:val="left" w:pos="4252"/>
              </w:tabs>
              <w:rPr>
                <w:rFonts w:eastAsia="Times New Roman"/>
                <w:lang w:val="lv-LV"/>
              </w:rPr>
            </w:pPr>
            <w:r w:rsidRPr="00D74E7A">
              <w:rPr>
                <w:lang w:val="lv-LV"/>
              </w:rPr>
              <w:t xml:space="preserve">Iepirkumu uzraudzības birojs ir īstenojis </w:t>
            </w:r>
            <w:r w:rsidRPr="00D74E7A">
              <w:rPr>
                <w:rFonts w:eastAsia="Times New Roman"/>
                <w:lang w:val="lv-LV"/>
              </w:rPr>
              <w:t>publisko iepirkumu uzraudzību atbilstoši Publisko iepirkumu likumam;</w:t>
            </w:r>
          </w:p>
          <w:p w14:paraId="1253049D" w14:textId="53E288E3" w:rsidR="004E19E0" w:rsidRPr="00D74E7A" w:rsidRDefault="00CB0BD9" w:rsidP="00F248DA">
            <w:pPr>
              <w:pStyle w:val="ListParagraph"/>
              <w:keepNext/>
              <w:numPr>
                <w:ilvl w:val="0"/>
                <w:numId w:val="30"/>
              </w:numPr>
              <w:tabs>
                <w:tab w:val="left" w:pos="4252"/>
              </w:tabs>
              <w:rPr>
                <w:rFonts w:eastAsia="Times New Roman"/>
                <w:lang w:val="lv-LV"/>
              </w:rPr>
            </w:pPr>
            <w:r w:rsidRPr="00D74E7A">
              <w:rPr>
                <w:lang w:val="lv-LV"/>
              </w:rPr>
              <w:t>v</w:t>
            </w:r>
            <w:r w:rsidR="004E19E0" w:rsidRPr="00D74E7A">
              <w:rPr>
                <w:lang w:val="lv-LV"/>
              </w:rPr>
              <w:t xml:space="preserve">adošā iestāde ir nodrošinājusi iepirkumu </w:t>
            </w:r>
            <w:proofErr w:type="spellStart"/>
            <w:r w:rsidR="004E19E0" w:rsidRPr="00D74E7A">
              <w:rPr>
                <w:lang w:val="lv-LV"/>
              </w:rPr>
              <w:t>pirmspārbaužu</w:t>
            </w:r>
            <w:proofErr w:type="spellEnd"/>
            <w:r w:rsidR="004E19E0" w:rsidRPr="00D74E7A">
              <w:rPr>
                <w:lang w:val="lv-LV"/>
              </w:rPr>
              <w:t xml:space="preserve"> veikšanu.</w:t>
            </w:r>
          </w:p>
          <w:p w14:paraId="34AA5F8E" w14:textId="77777777" w:rsidR="00CB0BD9" w:rsidRPr="00D74E7A" w:rsidRDefault="00CB0BD9" w:rsidP="00CB0BD9">
            <w:pPr>
              <w:keepNext/>
              <w:tabs>
                <w:tab w:val="left" w:pos="4252"/>
              </w:tabs>
              <w:ind w:left="502"/>
              <w:rPr>
                <w:rFonts w:eastAsia="Times New Roman"/>
                <w:lang w:val="lv-LV"/>
              </w:rPr>
            </w:pPr>
          </w:p>
          <w:p w14:paraId="15E4C2F8" w14:textId="384C17A2" w:rsidR="004E19E0" w:rsidRPr="00D74E7A" w:rsidRDefault="004E19E0" w:rsidP="00F248DA">
            <w:pPr>
              <w:pStyle w:val="ListParagraph"/>
              <w:keepNext/>
              <w:numPr>
                <w:ilvl w:val="0"/>
                <w:numId w:val="32"/>
              </w:numPr>
              <w:tabs>
                <w:tab w:val="left" w:pos="4252"/>
              </w:tabs>
              <w:rPr>
                <w:rFonts w:eastAsia="Times New Roman"/>
                <w:lang w:val="lv-LV"/>
              </w:rPr>
            </w:pPr>
            <w:proofErr w:type="spellStart"/>
            <w:r w:rsidRPr="00D74E7A">
              <w:rPr>
                <w:rFonts w:eastAsia="Times New Roman"/>
                <w:b/>
                <w:lang w:val="lv-LV"/>
              </w:rPr>
              <w:t>Pamattiesību</w:t>
            </w:r>
            <w:proofErr w:type="spellEnd"/>
            <w:r w:rsidRPr="00D74E7A">
              <w:rPr>
                <w:rFonts w:eastAsia="Times New Roman"/>
                <w:b/>
                <w:lang w:val="lv-LV"/>
              </w:rPr>
              <w:t xml:space="preserve"> hartas efektīva piemērošana un īstenošana</w:t>
            </w:r>
            <w:r w:rsidRPr="00D74E7A">
              <w:rPr>
                <w:rFonts w:eastAsia="Times New Roman"/>
                <w:lang w:val="lv-LV"/>
              </w:rPr>
              <w:t xml:space="preserve"> – grāmatvedības gada laikā ir nodrošināta veicinošā nosacījuma izpilde:</w:t>
            </w:r>
          </w:p>
          <w:p w14:paraId="5A3386DB" w14:textId="77777777" w:rsidR="00D67DEC" w:rsidRPr="00D74E7A" w:rsidRDefault="00D67DEC" w:rsidP="00D67DEC">
            <w:pPr>
              <w:pStyle w:val="ListParagraph"/>
              <w:keepNext/>
              <w:tabs>
                <w:tab w:val="left" w:pos="4252"/>
              </w:tabs>
              <w:rPr>
                <w:rFonts w:eastAsia="Times New Roman"/>
                <w:lang w:val="lv-LV"/>
              </w:rPr>
            </w:pPr>
          </w:p>
          <w:p w14:paraId="041865F6" w14:textId="51FF5FF0" w:rsidR="004E19E0" w:rsidRPr="00D74E7A" w:rsidRDefault="00B67418" w:rsidP="00F248DA">
            <w:pPr>
              <w:pStyle w:val="ListParagraph"/>
              <w:numPr>
                <w:ilvl w:val="0"/>
                <w:numId w:val="31"/>
              </w:numPr>
              <w:tabs>
                <w:tab w:val="left" w:pos="4252"/>
              </w:tabs>
              <w:rPr>
                <w:lang w:val="lv-LV"/>
              </w:rPr>
            </w:pPr>
            <w:r>
              <w:rPr>
                <w:lang w:val="lv-LV"/>
              </w:rPr>
              <w:t>UK</w:t>
            </w:r>
            <w:r w:rsidRPr="00D74E7A">
              <w:rPr>
                <w:lang w:val="lv-LV"/>
              </w:rPr>
              <w:t xml:space="preserve"> </w:t>
            </w:r>
            <w:r w:rsidR="004E19E0" w:rsidRPr="00D74E7A">
              <w:rPr>
                <w:lang w:val="lv-LV"/>
              </w:rPr>
              <w:t xml:space="preserve">sastāvā kā </w:t>
            </w:r>
            <w:r>
              <w:rPr>
                <w:lang w:val="lv-LV"/>
              </w:rPr>
              <w:t>UK</w:t>
            </w:r>
            <w:r w:rsidRPr="00D74E7A">
              <w:rPr>
                <w:lang w:val="lv-LV"/>
              </w:rPr>
              <w:t xml:space="preserve"> </w:t>
            </w:r>
            <w:r w:rsidR="004E19E0" w:rsidRPr="00D74E7A">
              <w:rPr>
                <w:lang w:val="lv-LV"/>
              </w:rPr>
              <w:t xml:space="preserve">loceklis ar balsstiesībām ir iekļauts Labklājības ministrijas pārstāvis, kurš ir atbildīgs par </w:t>
            </w:r>
            <w:r w:rsidR="004E19E0" w:rsidRPr="00D74E7A">
              <w:rPr>
                <w:noProof/>
                <w:lang w:val="lv-LV"/>
              </w:rPr>
              <w:t>Regulas (ES) 2021/1060</w:t>
            </w:r>
            <w:r w:rsidR="003A3A17" w:rsidRPr="00D74E7A">
              <w:rPr>
                <w:noProof/>
                <w:lang w:val="lv-LV"/>
              </w:rPr>
              <w:t xml:space="preserve"> </w:t>
            </w:r>
            <w:r w:rsidR="004E19E0" w:rsidRPr="00D74E7A">
              <w:rPr>
                <w:lang w:val="lv-LV"/>
              </w:rPr>
              <w:t xml:space="preserve">9. panta 1., 2. un 3. punktā minēto horizontālo principu koordināciju; </w:t>
            </w:r>
          </w:p>
          <w:p w14:paraId="18291822" w14:textId="5E017CE9" w:rsidR="008570D3" w:rsidRPr="00D74E7A" w:rsidRDefault="004E19E0" w:rsidP="00F248DA">
            <w:pPr>
              <w:pStyle w:val="ListParagraph"/>
              <w:numPr>
                <w:ilvl w:val="0"/>
                <w:numId w:val="31"/>
              </w:numPr>
              <w:tabs>
                <w:tab w:val="left" w:pos="4252"/>
              </w:tabs>
              <w:rPr>
                <w:lang w:val="lv-LV"/>
              </w:rPr>
            </w:pPr>
            <w:r w:rsidRPr="00D74E7A">
              <w:rPr>
                <w:lang w:val="lv-LV"/>
              </w:rPr>
              <w:t>projekta iesniegumā un projekta iesnieguma vērtēšanas metodikā ir noteikti Horizontālā principa kritēriji;</w:t>
            </w:r>
          </w:p>
          <w:p w14:paraId="6AFD3040" w14:textId="0A787EC7" w:rsidR="008570D3" w:rsidRPr="00D74E7A" w:rsidRDefault="004E19E0" w:rsidP="00F248DA">
            <w:pPr>
              <w:pStyle w:val="ListParagraph"/>
              <w:numPr>
                <w:ilvl w:val="0"/>
                <w:numId w:val="31"/>
              </w:numPr>
              <w:tabs>
                <w:tab w:val="left" w:pos="4252"/>
              </w:tabs>
              <w:rPr>
                <w:lang w:val="lv-LV"/>
              </w:rPr>
            </w:pPr>
            <w:r w:rsidRPr="00D74E7A">
              <w:rPr>
                <w:lang w:val="lv-LV"/>
              </w:rPr>
              <w:lastRenderedPageBreak/>
              <w:t>sniegts metodiskais atbalsts un o</w:t>
            </w:r>
            <w:r w:rsidRPr="00D74E7A">
              <w:rPr>
                <w:rFonts w:eastAsia="Times New Roman"/>
                <w:lang w:val="lv-LV"/>
              </w:rPr>
              <w:t>rganizētas konsultācijas Fondu vadībā un īstenošanā</w:t>
            </w:r>
            <w:r w:rsidR="008570D3" w:rsidRPr="00D74E7A">
              <w:rPr>
                <w:rFonts w:eastAsia="Times New Roman"/>
                <w:lang w:val="lv-LV"/>
              </w:rPr>
              <w:t xml:space="preserve"> </w:t>
            </w:r>
            <w:r w:rsidRPr="00D74E7A">
              <w:rPr>
                <w:rFonts w:eastAsia="Times New Roman"/>
                <w:lang w:val="lv-LV"/>
              </w:rPr>
              <w:t>projektu</w:t>
            </w:r>
            <w:r w:rsidR="003A3A17" w:rsidRPr="00D74E7A">
              <w:rPr>
                <w:rFonts w:eastAsia="Times New Roman"/>
                <w:lang w:val="lv-LV"/>
              </w:rPr>
              <w:t xml:space="preserve"> </w:t>
            </w:r>
            <w:r w:rsidRPr="00D74E7A">
              <w:rPr>
                <w:rFonts w:eastAsia="Times New Roman"/>
                <w:lang w:val="lv-LV"/>
              </w:rPr>
              <w:t xml:space="preserve">iesaistītajiem, t.sk. ir izstrādātas Vadlīnijas horizontālā principa “Vienlīdzība, iekļaušana, </w:t>
            </w:r>
            <w:proofErr w:type="spellStart"/>
            <w:r w:rsidRPr="00D74E7A">
              <w:rPr>
                <w:rFonts w:eastAsia="Times New Roman"/>
                <w:lang w:val="lv-LV"/>
              </w:rPr>
              <w:t>nediskriminācija</w:t>
            </w:r>
            <w:proofErr w:type="spellEnd"/>
            <w:r w:rsidRPr="00D74E7A">
              <w:rPr>
                <w:rFonts w:eastAsia="Times New Roman"/>
                <w:lang w:val="lv-LV"/>
              </w:rPr>
              <w:t xml:space="preserve"> un </w:t>
            </w:r>
            <w:proofErr w:type="spellStart"/>
            <w:r w:rsidRPr="00D74E7A">
              <w:rPr>
                <w:rFonts w:eastAsia="Times New Roman"/>
                <w:lang w:val="lv-LV"/>
              </w:rPr>
              <w:t>pamattiesību</w:t>
            </w:r>
            <w:proofErr w:type="spellEnd"/>
            <w:r w:rsidRPr="00D74E7A">
              <w:rPr>
                <w:rFonts w:eastAsia="Times New Roman"/>
                <w:lang w:val="lv-LV"/>
              </w:rPr>
              <w:t xml:space="preserve"> ievērošana” īstenošanai un uzraudzībai (IDF, IRPVP, PMIF) 2021-2027 </w:t>
            </w:r>
            <w:r w:rsidRPr="00D74E7A">
              <w:rPr>
                <w:rStyle w:val="FootnoteReference"/>
                <w:rFonts w:eastAsia="Times New Roman"/>
                <w:lang w:val="lv-LV"/>
              </w:rPr>
              <w:footnoteReference w:id="23"/>
            </w:r>
            <w:r w:rsidR="008570D3" w:rsidRPr="00D74E7A">
              <w:rPr>
                <w:rFonts w:eastAsia="Times New Roman"/>
                <w:lang w:val="lv-LV"/>
              </w:rPr>
              <w:t xml:space="preserve"> </w:t>
            </w:r>
            <w:r w:rsidRPr="00D74E7A">
              <w:rPr>
                <w:rFonts w:eastAsia="Times New Roman"/>
                <w:lang w:val="lv-LV"/>
              </w:rPr>
              <w:t>(turpmāk – HP vadlīnijas);</w:t>
            </w:r>
          </w:p>
          <w:p w14:paraId="735F3F33" w14:textId="4D1FD6A4" w:rsidR="008570D3" w:rsidRPr="00D74E7A" w:rsidRDefault="00722DBD" w:rsidP="00F248DA">
            <w:pPr>
              <w:pStyle w:val="ListParagraph"/>
              <w:numPr>
                <w:ilvl w:val="0"/>
                <w:numId w:val="31"/>
              </w:numPr>
              <w:tabs>
                <w:tab w:val="left" w:pos="4252"/>
              </w:tabs>
              <w:rPr>
                <w:lang w:val="lv-LV"/>
              </w:rPr>
            </w:pPr>
            <w:r w:rsidRPr="00722DBD">
              <w:rPr>
                <w:lang w:val="lv-LV"/>
              </w:rPr>
              <w:t>Ministru kabineta 2022.</w:t>
            </w:r>
            <w:r>
              <w:rPr>
                <w:lang w:val="lv-LV"/>
              </w:rPr>
              <w:t xml:space="preserve"> </w:t>
            </w:r>
            <w:r w:rsidRPr="00722DBD">
              <w:rPr>
                <w:lang w:val="lv-LV"/>
              </w:rPr>
              <w:t>gada 18.</w:t>
            </w:r>
            <w:r>
              <w:rPr>
                <w:lang w:val="lv-LV"/>
              </w:rPr>
              <w:t xml:space="preserve"> </w:t>
            </w:r>
            <w:r w:rsidRPr="00722DBD">
              <w:rPr>
                <w:lang w:val="lv-LV"/>
              </w:rPr>
              <w:t>oktobra noteikumu Nr.</w:t>
            </w:r>
            <w:r>
              <w:rPr>
                <w:lang w:val="lv-LV"/>
              </w:rPr>
              <w:t xml:space="preserve"> </w:t>
            </w:r>
            <w:r w:rsidRPr="00722DBD">
              <w:rPr>
                <w:lang w:val="lv-LV"/>
              </w:rPr>
              <w:t>651</w:t>
            </w:r>
            <w:r w:rsidR="00430D9E">
              <w:rPr>
                <w:rStyle w:val="FootnoteReference"/>
                <w:lang w:val="lv-LV"/>
              </w:rPr>
              <w:footnoteReference w:id="24"/>
            </w:r>
            <w:r w:rsidRPr="00722DBD">
              <w:rPr>
                <w:lang w:val="lv-LV"/>
              </w:rPr>
              <w:t xml:space="preserve"> “Iekšējās drošības fonda, Patvēruma, migrācijas un integrācijas fonda un Finansiāla atbalsta instrumenta robežu pārvaldībai un vīzu politikai 2021.–2027. gada plānošanas perioda īstenošanas vadības kārtība” </w:t>
            </w:r>
            <w:r>
              <w:rPr>
                <w:lang w:val="lv-LV"/>
              </w:rPr>
              <w:t xml:space="preserve">(turpmāk – MK noteikumi Nr. 651) </w:t>
            </w:r>
            <w:r w:rsidR="004E19E0" w:rsidRPr="00D74E7A">
              <w:rPr>
                <w:rFonts w:eastAsia="Times New Roman"/>
                <w:lang w:val="lv-LV"/>
              </w:rPr>
              <w:t>123.</w:t>
            </w:r>
            <w:r>
              <w:rPr>
                <w:rFonts w:eastAsia="Times New Roman"/>
                <w:lang w:val="lv-LV"/>
              </w:rPr>
              <w:t xml:space="preserve"> </w:t>
            </w:r>
            <w:r w:rsidR="004E19E0" w:rsidRPr="00D74E7A">
              <w:rPr>
                <w:rFonts w:eastAsia="Times New Roman"/>
                <w:lang w:val="lv-LV"/>
              </w:rPr>
              <w:t xml:space="preserve">punktā ir noteikta </w:t>
            </w:r>
            <w:r w:rsidR="003A3A17" w:rsidRPr="00D74E7A">
              <w:rPr>
                <w:rFonts w:eastAsia="Times New Roman"/>
                <w:lang w:val="lv-LV"/>
              </w:rPr>
              <w:t xml:space="preserve">kārtība, kādā </w:t>
            </w:r>
            <w:r w:rsidR="004E19E0" w:rsidRPr="00D74E7A">
              <w:rPr>
                <w:rFonts w:eastAsia="Times New Roman"/>
                <w:lang w:val="lv-LV"/>
              </w:rPr>
              <w:t xml:space="preserve">Fonda vadībā un īstenošanā iesaistītās institūcijas, konstatējot horizontālo principu pārkāpumus vai saņemot sūdzības par </w:t>
            </w:r>
            <w:r w:rsidR="003A5978">
              <w:rPr>
                <w:rFonts w:eastAsia="Times New Roman"/>
                <w:lang w:val="lv-LV"/>
              </w:rPr>
              <w:t>ES</w:t>
            </w:r>
            <w:r w:rsidR="003A5978" w:rsidRPr="00D74E7A">
              <w:rPr>
                <w:rFonts w:eastAsia="Times New Roman"/>
                <w:lang w:val="lv-LV"/>
              </w:rPr>
              <w:t xml:space="preserve"> </w:t>
            </w:r>
            <w:r w:rsidR="004E19E0" w:rsidRPr="00D74E7A">
              <w:rPr>
                <w:rFonts w:eastAsia="Times New Roman"/>
                <w:lang w:val="lv-LV"/>
              </w:rPr>
              <w:t xml:space="preserve">fondu atbalstīto darbību neatbilstību </w:t>
            </w:r>
            <w:r w:rsidR="003A5978">
              <w:rPr>
                <w:rFonts w:eastAsia="Times New Roman"/>
                <w:lang w:val="lv-LV"/>
              </w:rPr>
              <w:t>ES</w:t>
            </w:r>
            <w:r w:rsidR="003A5978" w:rsidRPr="00D74E7A">
              <w:rPr>
                <w:rFonts w:eastAsia="Times New Roman"/>
                <w:lang w:val="lv-LV"/>
              </w:rPr>
              <w:t xml:space="preserve"> </w:t>
            </w:r>
            <w:proofErr w:type="spellStart"/>
            <w:r w:rsidR="004E19E0" w:rsidRPr="00D74E7A">
              <w:rPr>
                <w:rFonts w:eastAsia="Times New Roman"/>
                <w:lang w:val="lv-LV"/>
              </w:rPr>
              <w:t>Pamattiesību</w:t>
            </w:r>
            <w:proofErr w:type="spellEnd"/>
            <w:r w:rsidR="004E19E0" w:rsidRPr="00D74E7A">
              <w:rPr>
                <w:rFonts w:eastAsia="Times New Roman"/>
                <w:lang w:val="lv-LV"/>
              </w:rPr>
              <w:t xml:space="preserve"> hartai (vienlīdzība, </w:t>
            </w:r>
            <w:proofErr w:type="spellStart"/>
            <w:r w:rsidR="004E19E0" w:rsidRPr="00D74E7A">
              <w:rPr>
                <w:rFonts w:eastAsia="Times New Roman"/>
                <w:lang w:val="lv-LV"/>
              </w:rPr>
              <w:t>nediskriminācija</w:t>
            </w:r>
            <w:proofErr w:type="spellEnd"/>
            <w:r w:rsidR="004E19E0" w:rsidRPr="00D74E7A">
              <w:rPr>
                <w:rFonts w:eastAsia="Times New Roman"/>
                <w:lang w:val="lv-LV"/>
              </w:rPr>
              <w:t xml:space="preserve">, iekļaušana un </w:t>
            </w:r>
            <w:proofErr w:type="spellStart"/>
            <w:r w:rsidR="004E19E0" w:rsidRPr="00D74E7A">
              <w:rPr>
                <w:rFonts w:eastAsia="Times New Roman"/>
                <w:lang w:val="lv-LV"/>
              </w:rPr>
              <w:t>pamattiesību</w:t>
            </w:r>
            <w:proofErr w:type="spellEnd"/>
            <w:r w:rsidR="004E19E0" w:rsidRPr="00D74E7A">
              <w:rPr>
                <w:rFonts w:eastAsia="Times New Roman"/>
                <w:lang w:val="lv-LV"/>
              </w:rPr>
              <w:t xml:space="preserve"> ievērošana) un ANO Konvencijā par personu ar invaliditāti tiesībām </w:t>
            </w:r>
            <w:r w:rsidR="003A3A17" w:rsidRPr="00D74E7A">
              <w:rPr>
                <w:rFonts w:eastAsia="Times New Roman"/>
                <w:lang w:val="lv-LV"/>
              </w:rPr>
              <w:t>ietverto vienlīdzīgo iespēju</w:t>
            </w:r>
            <w:r w:rsidR="004E19E0" w:rsidRPr="00D74E7A">
              <w:rPr>
                <w:rFonts w:eastAsia="Times New Roman"/>
                <w:lang w:val="lv-LV"/>
              </w:rPr>
              <w:t xml:space="preserve"> principiem, piecu darbdienu laikā ziņo </w:t>
            </w:r>
            <w:proofErr w:type="spellStart"/>
            <w:r w:rsidR="004E19E0" w:rsidRPr="00D74E7A">
              <w:rPr>
                <w:rFonts w:eastAsia="Times New Roman"/>
                <w:lang w:val="lv-LV"/>
              </w:rPr>
              <w:t>Iekšlietu</w:t>
            </w:r>
            <w:proofErr w:type="spellEnd"/>
            <w:r w:rsidR="004E19E0" w:rsidRPr="00D74E7A">
              <w:rPr>
                <w:rFonts w:eastAsia="Times New Roman"/>
                <w:lang w:val="lv-LV"/>
              </w:rPr>
              <w:t xml:space="preserve"> ministrijai un kārtība, kādā sūdzības tiek izskatītas. Papildus jebkurai personai ir tiesības ar iesniegumu vērsties kompetentajās institūcijās par ar projektu īstenošanu saistītu vienlīdzīgu iespēju neievērošanu, t.sk., pie </w:t>
            </w:r>
            <w:proofErr w:type="spellStart"/>
            <w:r w:rsidR="004E19E0" w:rsidRPr="00D74E7A">
              <w:rPr>
                <w:rFonts w:eastAsia="Times New Roman"/>
                <w:lang w:val="lv-LV"/>
              </w:rPr>
              <w:t>tiesībsarga</w:t>
            </w:r>
            <w:proofErr w:type="spellEnd"/>
            <w:r w:rsidR="00B63E06" w:rsidRPr="00D74E7A">
              <w:rPr>
                <w:rFonts w:eastAsia="Times New Roman"/>
                <w:lang w:val="lv-LV"/>
              </w:rPr>
              <w:t>.</w:t>
            </w:r>
          </w:p>
          <w:p w14:paraId="5CCFAD43" w14:textId="77777777" w:rsidR="004E19E0" w:rsidRPr="00D74E7A" w:rsidRDefault="004E19E0" w:rsidP="00D67DEC">
            <w:pPr>
              <w:contextualSpacing/>
              <w:rPr>
                <w:lang w:val="lv-LV"/>
              </w:rPr>
            </w:pPr>
          </w:p>
          <w:p w14:paraId="215FAD35" w14:textId="295F63E3" w:rsidR="004E19E0" w:rsidRPr="00D74E7A" w:rsidRDefault="004E19E0" w:rsidP="00F248DA">
            <w:pPr>
              <w:pStyle w:val="ListParagraph"/>
              <w:numPr>
                <w:ilvl w:val="0"/>
                <w:numId w:val="32"/>
              </w:numPr>
              <w:tabs>
                <w:tab w:val="left" w:pos="4252"/>
              </w:tabs>
              <w:rPr>
                <w:rFonts w:eastAsia="Times New Roman"/>
                <w:lang w:val="lv-LV"/>
              </w:rPr>
            </w:pPr>
            <w:r w:rsidRPr="00D74E7A">
              <w:rPr>
                <w:rFonts w:eastAsia="Times New Roman"/>
                <w:b/>
                <w:lang w:val="lv-LV"/>
              </w:rPr>
              <w:t>ANO Konvencijas par personu ar invaliditāti tiesībām (UNCRPD) īstenošana un piemērošana atbilstoši Padomes Lēmumam Nr. 2010/48/EK</w:t>
            </w:r>
            <w:r w:rsidRPr="00D74E7A">
              <w:rPr>
                <w:rFonts w:eastAsia="Times New Roman"/>
                <w:lang w:val="lv-LV"/>
              </w:rPr>
              <w:t xml:space="preserve"> -</w:t>
            </w:r>
            <w:r w:rsidRPr="00D74E7A">
              <w:rPr>
                <w:i/>
                <w:lang w:val="lv-LV"/>
              </w:rPr>
              <w:t xml:space="preserve"> </w:t>
            </w:r>
            <w:r w:rsidRPr="00D74E7A">
              <w:rPr>
                <w:rFonts w:eastAsia="Times New Roman"/>
                <w:lang w:val="lv-LV"/>
              </w:rPr>
              <w:t>grāmatvedības gada laikā ir nodrošināta veicinošā nosacījuma izpilde:</w:t>
            </w:r>
          </w:p>
          <w:p w14:paraId="4B87BF6D" w14:textId="77777777" w:rsidR="00800E63" w:rsidRPr="00D74E7A" w:rsidRDefault="00800E63" w:rsidP="00800E63">
            <w:pPr>
              <w:pStyle w:val="ListParagraph"/>
              <w:tabs>
                <w:tab w:val="left" w:pos="4252"/>
              </w:tabs>
              <w:rPr>
                <w:rFonts w:eastAsia="Times New Roman"/>
                <w:lang w:val="lv-LV"/>
              </w:rPr>
            </w:pPr>
          </w:p>
          <w:p w14:paraId="6F38485D" w14:textId="7FFDF7FE" w:rsidR="004E19E0" w:rsidRPr="00D74E7A" w:rsidRDefault="00722DBD" w:rsidP="00F248DA">
            <w:pPr>
              <w:pStyle w:val="ListParagraph"/>
              <w:keepNext/>
              <w:numPr>
                <w:ilvl w:val="0"/>
                <w:numId w:val="31"/>
              </w:numPr>
              <w:tabs>
                <w:tab w:val="left" w:pos="4252"/>
              </w:tabs>
              <w:rPr>
                <w:rFonts w:eastAsia="Times New Roman"/>
                <w:lang w:val="lv-LV"/>
              </w:rPr>
            </w:pPr>
            <w:r>
              <w:rPr>
                <w:lang w:val="lv-LV"/>
              </w:rPr>
              <w:t>Ar Ministru kabineta 2024. gada 21. maija rīkojumu Nr. 396 “</w:t>
            </w:r>
            <w:r w:rsidRPr="00722DBD">
              <w:rPr>
                <w:lang w:val="lv-LV"/>
              </w:rPr>
              <w:t>Plāns personu ar invaliditāti vienlīdzīgu iespēju veicināšanai 2024.–2027. gadam</w:t>
            </w:r>
            <w:r>
              <w:rPr>
                <w:lang w:val="lv-LV"/>
              </w:rPr>
              <w:t>”</w:t>
            </w:r>
            <w:r w:rsidR="00430D9E">
              <w:rPr>
                <w:lang w:val="lv-LV"/>
              </w:rPr>
              <w:t xml:space="preserve"> </w:t>
            </w:r>
            <w:r>
              <w:rPr>
                <w:lang w:val="lv-LV"/>
              </w:rPr>
              <w:t xml:space="preserve">ir </w:t>
            </w:r>
            <w:r w:rsidR="004E19E0" w:rsidRPr="00D74E7A">
              <w:rPr>
                <w:lang w:val="lv-LV"/>
              </w:rPr>
              <w:t xml:space="preserve">apstiprināts </w:t>
            </w:r>
            <w:r>
              <w:rPr>
                <w:lang w:val="lv-LV"/>
              </w:rPr>
              <w:t>“</w:t>
            </w:r>
            <w:r w:rsidR="004E19E0" w:rsidRPr="00D74E7A">
              <w:rPr>
                <w:lang w:val="lv-LV"/>
              </w:rPr>
              <w:t>Plāns personu ar invaliditāti iespēju veicināšanai 2024-2027</w:t>
            </w:r>
            <w:r w:rsidR="004E19E0" w:rsidRPr="00D74E7A">
              <w:rPr>
                <w:rStyle w:val="FootnoteReference"/>
                <w:lang w:val="lv-LV"/>
              </w:rPr>
              <w:footnoteReference w:id="25"/>
            </w:r>
            <w:r>
              <w:rPr>
                <w:lang w:val="lv-LV"/>
              </w:rPr>
              <w:t>”</w:t>
            </w:r>
            <w:r w:rsidR="004E19E0" w:rsidRPr="00D74E7A">
              <w:rPr>
                <w:lang w:val="lv-LV"/>
              </w:rPr>
              <w:t xml:space="preserve"> (turpmāk – Plāns), kas ir izstrādāts, pamatojoties uz SADTPP</w:t>
            </w:r>
            <w:r w:rsidR="004E19E0" w:rsidRPr="00D74E7A">
              <w:rPr>
                <w:rStyle w:val="FootnoteReference"/>
                <w:lang w:val="lv-LV"/>
              </w:rPr>
              <w:footnoteReference w:id="26"/>
            </w:r>
            <w:r w:rsidR="004E19E0" w:rsidRPr="00D74E7A">
              <w:rPr>
                <w:lang w:val="lv-LV"/>
              </w:rPr>
              <w:t>, UNCRPD</w:t>
            </w:r>
            <w:r w:rsidR="004E19E0" w:rsidRPr="00D74E7A">
              <w:rPr>
                <w:rStyle w:val="FootnoteReference"/>
                <w:lang w:val="lv-LV"/>
              </w:rPr>
              <w:footnoteReference w:id="27"/>
            </w:r>
            <w:r w:rsidR="004E19E0" w:rsidRPr="00D74E7A">
              <w:rPr>
                <w:lang w:val="lv-LV"/>
              </w:rPr>
              <w:t xml:space="preserve"> un izvirza rādītājus un turpina Plāna 2021-2023 pasākumu īstenošanu, saglabājot piecus rīcības virzienus – invaliditātes noteikšanas sistēmas pilnveidošana, atbalsta pakalpojumu attīstība, nodarbinātības veicināšana, </w:t>
            </w:r>
            <w:proofErr w:type="spellStart"/>
            <w:r w:rsidR="004E19E0" w:rsidRPr="00D74E7A">
              <w:rPr>
                <w:lang w:val="lv-LV"/>
              </w:rPr>
              <w:t>piekļūstamības</w:t>
            </w:r>
            <w:proofErr w:type="spellEnd"/>
            <w:r w:rsidR="004E19E0" w:rsidRPr="00D74E7A">
              <w:rPr>
                <w:lang w:val="lv-LV"/>
              </w:rPr>
              <w:t xml:space="preserve"> un sabiedrības izpratnes veicināšana. Plāns turpina pasākumus vides, informācijas un pakalpojumu </w:t>
            </w:r>
            <w:proofErr w:type="spellStart"/>
            <w:r w:rsidR="004E19E0" w:rsidRPr="00D74E7A">
              <w:rPr>
                <w:lang w:val="lv-LV"/>
              </w:rPr>
              <w:t>piekļūstamības</w:t>
            </w:r>
            <w:proofErr w:type="spellEnd"/>
            <w:r w:rsidR="004E19E0" w:rsidRPr="00D74E7A">
              <w:rPr>
                <w:lang w:val="lv-LV"/>
              </w:rPr>
              <w:t xml:space="preserve"> sekmēšanai un</w:t>
            </w:r>
            <w:r w:rsidR="003A3A17" w:rsidRPr="00D74E7A">
              <w:rPr>
                <w:lang w:val="lv-LV"/>
              </w:rPr>
              <w:t xml:space="preserve"> </w:t>
            </w:r>
            <w:r w:rsidR="004E19E0" w:rsidRPr="00D74E7A">
              <w:rPr>
                <w:lang w:val="lv-LV"/>
              </w:rPr>
              <w:t xml:space="preserve">iekļaujošas sabiedrības veidošanai, kas tika uzsākti Plānā 2021-2023, un paredz veicināt kultūras dzīves, elektronisko plašsaziņas līdzekļu, multimediālā satura </w:t>
            </w:r>
            <w:proofErr w:type="spellStart"/>
            <w:r w:rsidR="004E19E0" w:rsidRPr="00D74E7A">
              <w:rPr>
                <w:lang w:val="lv-LV"/>
              </w:rPr>
              <w:t>piekļūstamību</w:t>
            </w:r>
            <w:proofErr w:type="spellEnd"/>
            <w:r w:rsidR="004E19E0" w:rsidRPr="00D74E7A">
              <w:rPr>
                <w:lang w:val="lv-LV"/>
              </w:rPr>
              <w:t xml:space="preserve"> personām ar invaliditāti un funkcionāliem traucējumiem</w:t>
            </w:r>
            <w:r w:rsidR="008570D3" w:rsidRPr="00D74E7A">
              <w:rPr>
                <w:lang w:val="lv-LV"/>
              </w:rPr>
              <w:t>;</w:t>
            </w:r>
          </w:p>
          <w:p w14:paraId="268E3320" w14:textId="6E2EA0D8" w:rsidR="00D67DEC" w:rsidRPr="00D74E7A" w:rsidRDefault="008570D3" w:rsidP="00F248DA">
            <w:pPr>
              <w:pStyle w:val="ListParagraph"/>
              <w:keepNext/>
              <w:numPr>
                <w:ilvl w:val="0"/>
                <w:numId w:val="31"/>
              </w:numPr>
              <w:tabs>
                <w:tab w:val="left" w:pos="4252"/>
              </w:tabs>
              <w:rPr>
                <w:rFonts w:eastAsia="Times New Roman"/>
                <w:lang w:val="lv-LV"/>
              </w:rPr>
            </w:pPr>
            <w:proofErr w:type="spellStart"/>
            <w:r w:rsidRPr="00D74E7A">
              <w:rPr>
                <w:lang w:val="lv-LV"/>
              </w:rPr>
              <w:t>p</w:t>
            </w:r>
            <w:r w:rsidR="004E19E0" w:rsidRPr="00D74E7A">
              <w:rPr>
                <w:lang w:val="lv-LV"/>
              </w:rPr>
              <w:t>iekļūstamības</w:t>
            </w:r>
            <w:proofErr w:type="spellEnd"/>
            <w:r w:rsidR="004E19E0" w:rsidRPr="00D74E7A">
              <w:rPr>
                <w:lang w:val="lv-LV"/>
              </w:rPr>
              <w:t xml:space="preserve"> prasības ir noteiktas Latvijas normatīvajos aktos, vadlīnijās un standartos. Par būvniecības politiku valstī ir atbildīga EM, taču LM kā atbildīgā par invaliditātes politiku izstrādā ieteikumus valsts un pašvaldību iestādēm par piekļūstamas un iekļaujošas vides veidošanu. LM publicē informatīvus materiālus ES fondu finansējuma saņēmējiem par vides un informācijas </w:t>
            </w:r>
            <w:proofErr w:type="spellStart"/>
            <w:r w:rsidR="003A3A17" w:rsidRPr="00D74E7A">
              <w:rPr>
                <w:lang w:val="lv-LV"/>
              </w:rPr>
              <w:t>piekļūstamību</w:t>
            </w:r>
            <w:proofErr w:type="spellEnd"/>
            <w:r w:rsidR="004E19E0" w:rsidRPr="00D74E7A">
              <w:rPr>
                <w:lang w:val="lv-LV"/>
              </w:rPr>
              <w:t xml:space="preserve"> (pieejams šeit: </w:t>
            </w:r>
            <w:hyperlink r:id="rId15" w:history="1">
              <w:r w:rsidR="004E19E0" w:rsidRPr="00D74E7A">
                <w:rPr>
                  <w:rStyle w:val="Hyperlink"/>
                  <w:color w:val="auto"/>
                  <w:lang w:val="lv-LV"/>
                </w:rPr>
                <w:t>https://www.lm.gov.lv/lv/labas-prakses-piemeri-2</w:t>
              </w:r>
            </w:hyperlink>
            <w:r w:rsidR="004E19E0" w:rsidRPr="00D74E7A">
              <w:rPr>
                <w:lang w:val="lv-LV"/>
              </w:rPr>
              <w:t>)</w:t>
            </w:r>
            <w:r w:rsidR="00D67DEC" w:rsidRPr="00D74E7A">
              <w:rPr>
                <w:lang w:val="lv-LV"/>
              </w:rPr>
              <w:t>;</w:t>
            </w:r>
          </w:p>
          <w:p w14:paraId="69FB7E0E" w14:textId="34342604" w:rsidR="004E19E0" w:rsidRPr="00D74E7A" w:rsidRDefault="004E19E0" w:rsidP="00F248DA">
            <w:pPr>
              <w:pStyle w:val="ListParagraph"/>
              <w:keepNext/>
              <w:numPr>
                <w:ilvl w:val="0"/>
                <w:numId w:val="31"/>
              </w:numPr>
              <w:tabs>
                <w:tab w:val="left" w:pos="4252"/>
              </w:tabs>
              <w:rPr>
                <w:rFonts w:eastAsia="Times New Roman"/>
                <w:lang w:val="lv-LV"/>
              </w:rPr>
            </w:pPr>
            <w:r w:rsidRPr="00D74E7A">
              <w:rPr>
                <w:lang w:val="lv-LV"/>
              </w:rPr>
              <w:t>MK noteikumu Nr. 651 123.</w:t>
            </w:r>
            <w:r w:rsidR="00722DBD">
              <w:rPr>
                <w:lang w:val="lv-LV"/>
              </w:rPr>
              <w:t xml:space="preserve"> </w:t>
            </w:r>
            <w:r w:rsidRPr="00D74E7A">
              <w:rPr>
                <w:lang w:val="lv-LV"/>
              </w:rPr>
              <w:t>punktā ir noteikta kārtība, kādā</w:t>
            </w:r>
            <w:r w:rsidR="003A3A17" w:rsidRPr="00D74E7A">
              <w:rPr>
                <w:lang w:val="lv-LV"/>
              </w:rPr>
              <w:t xml:space="preserve"> </w:t>
            </w:r>
            <w:r w:rsidRPr="00D74E7A">
              <w:rPr>
                <w:lang w:val="lv-LV"/>
              </w:rPr>
              <w:t xml:space="preserve">Fonda vadībā un īstenošanā iesaistītās institūcijas, konstatējot horizontālo principu pārkāpumus vai saņemot sūdzības par </w:t>
            </w:r>
            <w:r w:rsidR="003A5978">
              <w:rPr>
                <w:lang w:val="lv-LV"/>
              </w:rPr>
              <w:t>ES</w:t>
            </w:r>
            <w:r w:rsidR="003A5978" w:rsidRPr="00D74E7A">
              <w:rPr>
                <w:lang w:val="lv-LV"/>
              </w:rPr>
              <w:t xml:space="preserve"> </w:t>
            </w:r>
            <w:r w:rsidRPr="00D74E7A">
              <w:rPr>
                <w:lang w:val="lv-LV"/>
              </w:rPr>
              <w:t xml:space="preserve">fondu atbalstīto darbību neatbilstību </w:t>
            </w:r>
            <w:r w:rsidR="003A5978">
              <w:rPr>
                <w:lang w:val="lv-LV"/>
              </w:rPr>
              <w:t>ES</w:t>
            </w:r>
            <w:r w:rsidR="003A5978" w:rsidRPr="00D74E7A">
              <w:rPr>
                <w:lang w:val="lv-LV"/>
              </w:rPr>
              <w:t xml:space="preserve"> </w:t>
            </w:r>
            <w:proofErr w:type="spellStart"/>
            <w:r w:rsidRPr="00D74E7A">
              <w:rPr>
                <w:lang w:val="lv-LV"/>
              </w:rPr>
              <w:t>Pamattiesību</w:t>
            </w:r>
            <w:proofErr w:type="spellEnd"/>
            <w:r w:rsidRPr="00D74E7A">
              <w:rPr>
                <w:lang w:val="lv-LV"/>
              </w:rPr>
              <w:t xml:space="preserve"> hartai (vienlīdzība, </w:t>
            </w:r>
            <w:proofErr w:type="spellStart"/>
            <w:r w:rsidRPr="00D74E7A">
              <w:rPr>
                <w:lang w:val="lv-LV"/>
              </w:rPr>
              <w:t>nediskriminācija</w:t>
            </w:r>
            <w:proofErr w:type="spellEnd"/>
            <w:r w:rsidRPr="00D74E7A">
              <w:rPr>
                <w:lang w:val="lv-LV"/>
              </w:rPr>
              <w:t xml:space="preserve">, iekļaušana un </w:t>
            </w:r>
            <w:proofErr w:type="spellStart"/>
            <w:r w:rsidRPr="00D74E7A">
              <w:rPr>
                <w:lang w:val="lv-LV"/>
              </w:rPr>
              <w:t>pamattiesību</w:t>
            </w:r>
            <w:proofErr w:type="spellEnd"/>
            <w:r w:rsidRPr="00D74E7A">
              <w:rPr>
                <w:lang w:val="lv-LV"/>
              </w:rPr>
              <w:t xml:space="preserve"> ievērošana) un ANO Konvencijā par personu ar invaliditāti tiesībām </w:t>
            </w:r>
            <w:r w:rsidR="003A3A17" w:rsidRPr="00D74E7A">
              <w:rPr>
                <w:lang w:val="lv-LV"/>
              </w:rPr>
              <w:t>ietverto vienlīdzīgo iespēju</w:t>
            </w:r>
            <w:r w:rsidRPr="00D74E7A">
              <w:rPr>
                <w:lang w:val="lv-LV"/>
              </w:rPr>
              <w:t xml:space="preserve"> principiem. Papildus jebkurai personai ir tiesības ar iesniegumu vērsties kompetentajās institūcijās par ar projektu īstenošanu saistītu vienlīdzīgu iespēju neievērošanu, t.sk., pie </w:t>
            </w:r>
            <w:proofErr w:type="spellStart"/>
            <w:r w:rsidRPr="00D74E7A">
              <w:rPr>
                <w:lang w:val="lv-LV"/>
              </w:rPr>
              <w:t>tiesībsarga</w:t>
            </w:r>
            <w:proofErr w:type="spellEnd"/>
            <w:r w:rsidRPr="00D74E7A">
              <w:rPr>
                <w:lang w:val="lv-LV"/>
              </w:rPr>
              <w:t xml:space="preserve">. </w:t>
            </w:r>
          </w:p>
          <w:p w14:paraId="7C1E9C44" w14:textId="77777777" w:rsidR="00D67DEC" w:rsidRPr="00D74E7A" w:rsidRDefault="00D67DEC" w:rsidP="004E19E0">
            <w:pPr>
              <w:jc w:val="left"/>
              <w:rPr>
                <w:lang w:val="lv-LV"/>
              </w:rPr>
            </w:pPr>
          </w:p>
          <w:p w14:paraId="1183CE88" w14:textId="22272CF4" w:rsidR="004E19E0" w:rsidRPr="00D74E7A" w:rsidRDefault="004E19E0" w:rsidP="004E19E0">
            <w:pPr>
              <w:jc w:val="left"/>
              <w:rPr>
                <w:lang w:val="lv-LV" w:eastAsia="lv-LV"/>
              </w:rPr>
            </w:pPr>
            <w:r w:rsidRPr="00D74E7A">
              <w:rPr>
                <w:lang w:val="lv-LV"/>
              </w:rPr>
              <w:lastRenderedPageBreak/>
              <w:t>Grāmatvedības gada laikā iesniegumi par pārkāpumiem nav saņemti.</w:t>
            </w:r>
            <w:r w:rsidRPr="00D74E7A">
              <w:rPr>
                <w:lang w:val="lv-LV" w:eastAsia="lv-LV"/>
              </w:rPr>
              <w:t xml:space="preserve"> </w:t>
            </w:r>
          </w:p>
          <w:p w14:paraId="55D6193B" w14:textId="1F7AB64D" w:rsidR="008A5DA7" w:rsidRPr="00D74E7A" w:rsidRDefault="008A5DA7" w:rsidP="002642C0">
            <w:pPr>
              <w:pStyle w:val="Institutionquisigne"/>
              <w:spacing w:before="0"/>
              <w:ind w:left="284" w:hanging="142"/>
              <w:rPr>
                <w:i w:val="0"/>
                <w:lang w:val="lv-LV"/>
              </w:rPr>
            </w:pPr>
          </w:p>
        </w:tc>
      </w:tr>
    </w:tbl>
    <w:p w14:paraId="48A787C3" w14:textId="0E81C64B" w:rsidR="006A41E2" w:rsidRPr="00D74E7A" w:rsidRDefault="00B32C89" w:rsidP="00B32C89">
      <w:pPr>
        <w:pStyle w:val="ManualHeading2"/>
        <w:rPr>
          <w:noProof/>
          <w:lang w:val="lv-LV"/>
        </w:rPr>
      </w:pPr>
      <w:r w:rsidRPr="00D74E7A">
        <w:rPr>
          <w:lang w:val="lv-LV"/>
        </w:rPr>
        <w:lastRenderedPageBreak/>
        <w:t>5.2.</w:t>
      </w:r>
      <w:r w:rsidRPr="00D74E7A">
        <w:rPr>
          <w:lang w:val="lv-LV"/>
        </w:rPr>
        <w:tab/>
      </w:r>
      <w:r w:rsidR="0001528B" w:rsidRPr="00D74E7A">
        <w:rPr>
          <w:noProof/>
          <w:lang w:val="lv-LV"/>
        </w:rPr>
        <w:t>Horizontālo principu ievērošana – Regulas (ES) 2021/1060 9. pants</w:t>
      </w:r>
    </w:p>
    <w:p w14:paraId="5E1027CB" w14:textId="77777777" w:rsidR="006A41E2" w:rsidRPr="00D74E7A" w:rsidRDefault="001B037F" w:rsidP="006A41E2">
      <w:pPr>
        <w:rPr>
          <w:noProof/>
          <w:lang w:val="lv-LV"/>
        </w:rPr>
      </w:pPr>
      <w:r w:rsidRPr="00D74E7A">
        <w:rPr>
          <w:noProof/>
          <w:lang w:val="lv-LV"/>
        </w:rPr>
        <w:t>Aprakstiet, kā grāmatvedības gadā nodrošinājāt atbilstību Kopīgo noteikumu regulā noteiktajiem horizontālajiem principiem, jo īpaši vīriešu un sieviešu līdztiesībai un dzimumu līdztiesības aspekta integrēšanai, kā arī dzimuma, rases vai etniskās izcelsmes, ticības vai pārliecības, invaliditātes, vecuma vai seksuālās orientācijas dēļ iespējamas diskriminācijas novēršanai.</w:t>
      </w:r>
    </w:p>
    <w:tbl>
      <w:tblPr>
        <w:tblStyle w:val="TableGrid"/>
        <w:tblW w:w="0" w:type="auto"/>
        <w:tblLook w:val="04A0" w:firstRow="1" w:lastRow="0" w:firstColumn="1" w:lastColumn="0" w:noHBand="0" w:noVBand="1"/>
      </w:tblPr>
      <w:tblGrid>
        <w:gridCol w:w="9063"/>
      </w:tblGrid>
      <w:tr w:rsidR="003A3A17" w:rsidRPr="00037FD2" w14:paraId="485927BB" w14:textId="77777777" w:rsidTr="00E45665">
        <w:tc>
          <w:tcPr>
            <w:tcW w:w="9289" w:type="dxa"/>
          </w:tcPr>
          <w:p w14:paraId="3C9C1FA2" w14:textId="77777777" w:rsidR="005A34FA" w:rsidRPr="00D74E7A" w:rsidRDefault="005A34FA" w:rsidP="005A34FA">
            <w:pPr>
              <w:pStyle w:val="Personnequisigne"/>
              <w:rPr>
                <w:noProof/>
                <w:lang w:val="lv-LV"/>
              </w:rPr>
            </w:pPr>
            <w:r w:rsidRPr="00D74E7A">
              <w:rPr>
                <w:noProof/>
                <w:lang w:val="lv-LV"/>
              </w:rPr>
              <w:t>Šeit ierakstiet tekstu. Ne vairāk kā 5000 rakstzīmes.</w:t>
            </w:r>
          </w:p>
          <w:p w14:paraId="2DBD4997" w14:textId="31F987F5" w:rsidR="00D67DEC" w:rsidRPr="00D74E7A" w:rsidRDefault="00D67DEC" w:rsidP="00DB1D8E">
            <w:pPr>
              <w:keepNext/>
              <w:tabs>
                <w:tab w:val="left" w:pos="1380"/>
                <w:tab w:val="left" w:pos="4252"/>
              </w:tabs>
              <w:ind w:firstLine="709"/>
              <w:contextualSpacing/>
              <w:rPr>
                <w:lang w:val="lv-LV"/>
              </w:rPr>
            </w:pPr>
            <w:r w:rsidRPr="00D74E7A">
              <w:rPr>
                <w:lang w:val="lv-LV"/>
              </w:rPr>
              <w:t xml:space="preserve">Saskaņā ar </w:t>
            </w:r>
            <w:r w:rsidR="00321DF1">
              <w:rPr>
                <w:lang w:val="lv-LV"/>
              </w:rPr>
              <w:t>MK</w:t>
            </w:r>
            <w:r w:rsidRPr="00D74E7A">
              <w:rPr>
                <w:lang w:val="lv-LV"/>
              </w:rPr>
              <w:t xml:space="preserve"> noteikumiem</w:t>
            </w:r>
            <w:r w:rsidR="00321DF1">
              <w:rPr>
                <w:lang w:val="lv-LV"/>
              </w:rPr>
              <w:t xml:space="preserve"> Nr. 651</w:t>
            </w:r>
            <w:r w:rsidRPr="00D74E7A">
              <w:rPr>
                <w:vertAlign w:val="superscript"/>
                <w:lang w:val="lv-LV"/>
              </w:rPr>
              <w:footnoteReference w:id="28"/>
            </w:r>
            <w:r w:rsidR="003A3A17" w:rsidRPr="00D74E7A">
              <w:rPr>
                <w:lang w:val="lv-LV"/>
              </w:rPr>
              <w:t xml:space="preserve"> </w:t>
            </w:r>
            <w:r w:rsidRPr="00D74E7A">
              <w:rPr>
                <w:lang w:val="lv-LV"/>
              </w:rPr>
              <w:t xml:space="preserve">Latvijā ir noteiktas atbildīgās institūcijas par horizontālo principu koordināciju šī fonda ietvaros: Labklājības ministrija par regulas Nr. 2021/1060 9. panta 1., 2. un 3. punktu, aptverot tādas jomas kā </w:t>
            </w:r>
            <w:proofErr w:type="spellStart"/>
            <w:r w:rsidRPr="00D74E7A">
              <w:rPr>
                <w:lang w:val="lv-LV"/>
              </w:rPr>
              <w:t>pamattiesību</w:t>
            </w:r>
            <w:proofErr w:type="spellEnd"/>
            <w:r w:rsidRPr="00D74E7A">
              <w:rPr>
                <w:lang w:val="lv-LV"/>
              </w:rPr>
              <w:t xml:space="preserve"> ievērošana, vīriešu un sieviešu līdztiesības veicināšana, diskriminācijas novēršana dzimuma, rases vai etniskās izcelsmes, reliģijas vai pārliecības, invaliditātes, vecuma vai </w:t>
            </w:r>
            <w:proofErr w:type="spellStart"/>
            <w:r w:rsidRPr="00D74E7A">
              <w:rPr>
                <w:lang w:val="lv-LV"/>
              </w:rPr>
              <w:t>dzimumorientācijas</w:t>
            </w:r>
            <w:proofErr w:type="spellEnd"/>
            <w:r w:rsidRPr="00D74E7A">
              <w:rPr>
                <w:lang w:val="lv-LV"/>
              </w:rPr>
              <w:t xml:space="preserve"> dēļ, bet </w:t>
            </w:r>
            <w:proofErr w:type="spellStart"/>
            <w:r w:rsidRPr="00D74E7A">
              <w:rPr>
                <w:lang w:val="lv-LV"/>
              </w:rPr>
              <w:t>Iekšlietu</w:t>
            </w:r>
            <w:proofErr w:type="spellEnd"/>
            <w:r w:rsidRPr="00D74E7A">
              <w:rPr>
                <w:lang w:val="lv-LV"/>
              </w:rPr>
              <w:t xml:space="preserve"> ministrija un Kultūras ministrija par regulas Nr. 2021/1060 9. panta 4. punktu”. </w:t>
            </w:r>
          </w:p>
          <w:p w14:paraId="5831BDC9" w14:textId="1A698643" w:rsidR="00D67DEC" w:rsidRPr="00D74E7A" w:rsidRDefault="00D67DEC" w:rsidP="00DB1D8E">
            <w:pPr>
              <w:keepNext/>
              <w:tabs>
                <w:tab w:val="left" w:pos="4252"/>
              </w:tabs>
              <w:ind w:firstLine="709"/>
              <w:contextualSpacing/>
              <w:rPr>
                <w:lang w:val="lv-LV"/>
              </w:rPr>
            </w:pPr>
            <w:r w:rsidRPr="00D74E7A">
              <w:rPr>
                <w:lang w:val="lv-LV"/>
              </w:rPr>
              <w:t xml:space="preserve">Lai sniegtu atbalstu horizontālo principu ievērošanas uzraudzībai, Labklājības ministrija ir sagatavojusi Vadlīnijas horizontālā principa “Vienlīdzība, iekļaušana, </w:t>
            </w:r>
            <w:proofErr w:type="spellStart"/>
            <w:r w:rsidRPr="00D74E7A">
              <w:rPr>
                <w:lang w:val="lv-LV"/>
              </w:rPr>
              <w:t>nediskriminācija</w:t>
            </w:r>
            <w:proofErr w:type="spellEnd"/>
            <w:r w:rsidRPr="00D74E7A">
              <w:rPr>
                <w:lang w:val="lv-LV"/>
              </w:rPr>
              <w:t xml:space="preserve"> un </w:t>
            </w:r>
            <w:proofErr w:type="spellStart"/>
            <w:r w:rsidRPr="00D74E7A">
              <w:rPr>
                <w:lang w:val="lv-LV"/>
              </w:rPr>
              <w:t>pamattiesību</w:t>
            </w:r>
            <w:proofErr w:type="spellEnd"/>
            <w:r w:rsidRPr="00D74E7A">
              <w:rPr>
                <w:lang w:val="lv-LV"/>
              </w:rPr>
              <w:t xml:space="preserve"> ievērošana” īstenošanai un uzraudzībai (IDF, IRPVP, PMIF) 2021-2027”</w:t>
            </w:r>
            <w:r w:rsidRPr="00D74E7A">
              <w:rPr>
                <w:vertAlign w:val="superscript"/>
                <w:lang w:val="lv-LV"/>
              </w:rPr>
              <w:footnoteReference w:id="29"/>
            </w:r>
            <w:r w:rsidRPr="00D74E7A">
              <w:rPr>
                <w:lang w:val="lv-LV"/>
              </w:rPr>
              <w:t xml:space="preserve">. </w:t>
            </w:r>
          </w:p>
          <w:p w14:paraId="4E2A486B" w14:textId="466FF87A" w:rsidR="00D67DEC" w:rsidRPr="00D74E7A" w:rsidRDefault="00D67DEC" w:rsidP="00DB1D8E">
            <w:pPr>
              <w:keepNext/>
              <w:tabs>
                <w:tab w:val="left" w:pos="4252"/>
              </w:tabs>
              <w:ind w:firstLine="709"/>
              <w:contextualSpacing/>
              <w:rPr>
                <w:lang w:val="lv-LV"/>
              </w:rPr>
            </w:pPr>
            <w:r w:rsidRPr="00D74E7A">
              <w:rPr>
                <w:lang w:val="lv-LV"/>
              </w:rPr>
              <w:t xml:space="preserve">Vadlīnijas paredz, ka visiem projektiem ar tiešu ietekmi un netiešu ietekmi uz horizontālo principu ir jāplāno vispārīgas un specifiskas darbības, kas nodrošina diskriminācijas </w:t>
            </w:r>
            <w:proofErr w:type="spellStart"/>
            <w:r w:rsidRPr="00D74E7A">
              <w:rPr>
                <w:lang w:val="lv-LV"/>
              </w:rPr>
              <w:t>novēršānu</w:t>
            </w:r>
            <w:proofErr w:type="spellEnd"/>
            <w:r w:rsidRPr="00D74E7A">
              <w:rPr>
                <w:lang w:val="lv-LV"/>
              </w:rPr>
              <w:t xml:space="preserve"> un veicina vienlīdzīgas iespējas, kā arī jānosaka horizontālā principa sasniedzamos rādītājus. Savukārt projektiem, kuru īstenotajām darbībām nav ietekmes uz horizontālo principu ir jāparedz vismaz viena vispārīgā darbība, kas attiecas uz dzimumu līdztiesības veicināšanu projekta vadības un īstenošanas personālam, informācijas </w:t>
            </w:r>
            <w:proofErr w:type="spellStart"/>
            <w:r w:rsidRPr="00D74E7A">
              <w:rPr>
                <w:lang w:val="lv-LV"/>
              </w:rPr>
              <w:t>piekļūstamību</w:t>
            </w:r>
            <w:proofErr w:type="spellEnd"/>
            <w:r w:rsidRPr="00D74E7A">
              <w:rPr>
                <w:lang w:val="lv-LV"/>
              </w:rPr>
              <w:t xml:space="preserve"> un sociāli atbildīgiem iepirkumiem. Vadlīnijās ir arī noteikta projektu iesniegumu vērtēšanas sistēma, kā arī sniegti skaidrojumi par projektu ietekmes uz horizontālo principu novērtēšanai un vispārīgo un specifisko darbību piemēri, kas veicina</w:t>
            </w:r>
            <w:r w:rsidR="003A3A17" w:rsidRPr="00D74E7A">
              <w:rPr>
                <w:lang w:val="lv-LV"/>
              </w:rPr>
              <w:t xml:space="preserve"> </w:t>
            </w:r>
            <w:r w:rsidRPr="00D74E7A">
              <w:rPr>
                <w:lang w:val="lv-LV"/>
              </w:rPr>
              <w:t>vīriešu un sieviešu līdztiesību, kā arī diskriminācijas dzimuma, rases vai etniskās izcelsmes, ticības vai pārliecības, invaliditātes, vecuma vai seksuālās orientācijas dēļ novēršanu.</w:t>
            </w:r>
          </w:p>
          <w:p w14:paraId="2BB2D1BF" w14:textId="7C7C44FF" w:rsidR="00D67DEC" w:rsidRPr="00D74E7A" w:rsidRDefault="00D67DEC" w:rsidP="00DB1D8E">
            <w:pPr>
              <w:keepNext/>
              <w:tabs>
                <w:tab w:val="left" w:pos="4252"/>
              </w:tabs>
              <w:ind w:firstLine="709"/>
              <w:contextualSpacing/>
              <w:rPr>
                <w:lang w:val="lv-LV"/>
              </w:rPr>
            </w:pPr>
            <w:r w:rsidRPr="00D74E7A">
              <w:rPr>
                <w:lang w:val="lv-LV"/>
              </w:rPr>
              <w:t xml:space="preserve">Lai sniegtu atbalstu IDF, RPVP un PMIF fondu vadībā iesaistītajiem, </w:t>
            </w:r>
            <w:r w:rsidR="003A3A17" w:rsidRPr="00D74E7A">
              <w:rPr>
                <w:lang w:val="lv-LV"/>
              </w:rPr>
              <w:t>2024. gada</w:t>
            </w:r>
            <w:r w:rsidRPr="00D74E7A">
              <w:rPr>
                <w:lang w:val="lv-LV"/>
              </w:rPr>
              <w:t xml:space="preserve"> </w:t>
            </w:r>
            <w:r w:rsidR="003A3A17" w:rsidRPr="00D74E7A">
              <w:rPr>
                <w:lang w:val="lv-LV"/>
              </w:rPr>
              <w:t>15. maijā</w:t>
            </w:r>
            <w:r w:rsidRPr="00D74E7A">
              <w:rPr>
                <w:lang w:val="lv-LV"/>
              </w:rPr>
              <w:t xml:space="preserve"> LM sniedza prezentāciju par horizontālā principa ieviešanu IDF, IRPVP un PMIF projektos. </w:t>
            </w:r>
          </w:p>
          <w:p w14:paraId="77E4AA63" w14:textId="77777777" w:rsidR="00DB1D8E" w:rsidRDefault="00D67DEC" w:rsidP="00DB1D8E">
            <w:pPr>
              <w:pStyle w:val="Personnequisigne"/>
              <w:ind w:firstLine="709"/>
              <w:jc w:val="both"/>
              <w:rPr>
                <w:i w:val="0"/>
                <w:lang w:val="lv-LV"/>
              </w:rPr>
            </w:pPr>
            <w:r w:rsidRPr="00D74E7A">
              <w:rPr>
                <w:i w:val="0"/>
                <w:lang w:val="lv-LV"/>
              </w:rPr>
              <w:t>Horizontālo principu ievērošana tika nodrošināt</w:t>
            </w:r>
            <w:r w:rsidR="00ED6995">
              <w:rPr>
                <w:i w:val="0"/>
                <w:lang w:val="lv-LV"/>
              </w:rPr>
              <w:t>a</w:t>
            </w:r>
            <w:r w:rsidRPr="00D74E7A">
              <w:rPr>
                <w:i w:val="0"/>
                <w:lang w:val="lv-LV"/>
              </w:rPr>
              <w:t xml:space="preserve">, </w:t>
            </w:r>
            <w:r w:rsidR="00ED6995">
              <w:rPr>
                <w:i w:val="0"/>
                <w:lang w:val="lv-LV"/>
              </w:rPr>
              <w:t>sniedzot</w:t>
            </w:r>
            <w:r w:rsidRPr="00D74E7A">
              <w:rPr>
                <w:i w:val="0"/>
                <w:lang w:val="lv-LV"/>
              </w:rPr>
              <w:t xml:space="preserve"> informāciju par publiskajā telpā, t.sk. tīmeklī, paredzot, ka informācijas saturs ir piekļūstams cilvēkiem ar funkcionāliem traucējumiem, izmantojot vairākus sensoros (redze, dzirde) kanālus.</w:t>
            </w:r>
          </w:p>
          <w:p w14:paraId="2CD37C6D" w14:textId="5134F696" w:rsidR="00453788" w:rsidRPr="003A3A17" w:rsidRDefault="00D67DEC" w:rsidP="00DB1D8E">
            <w:pPr>
              <w:pStyle w:val="Personnequisigne"/>
              <w:ind w:firstLine="709"/>
              <w:jc w:val="both"/>
              <w:rPr>
                <w:i w:val="0"/>
                <w:lang w:val="lv-LV"/>
              </w:rPr>
            </w:pPr>
            <w:r w:rsidRPr="00D74E7A">
              <w:rPr>
                <w:i w:val="0"/>
                <w:lang w:val="lv-LV"/>
              </w:rPr>
              <w:t>Organizējot komunikācijas aktivitātes, ti</w:t>
            </w:r>
            <w:r w:rsidR="007C6174" w:rsidRPr="00D74E7A">
              <w:rPr>
                <w:i w:val="0"/>
                <w:lang w:val="lv-LV"/>
              </w:rPr>
              <w:t>ka un tiek</w:t>
            </w:r>
            <w:r w:rsidRPr="00D74E7A">
              <w:rPr>
                <w:i w:val="0"/>
                <w:lang w:val="lv-LV"/>
              </w:rPr>
              <w:t xml:space="preserve"> ņemts vērā </w:t>
            </w:r>
            <w:proofErr w:type="spellStart"/>
            <w:r w:rsidRPr="00D74E7A">
              <w:rPr>
                <w:i w:val="0"/>
                <w:lang w:val="lv-LV"/>
              </w:rPr>
              <w:t>piekļūstamības</w:t>
            </w:r>
            <w:proofErr w:type="spellEnd"/>
            <w:r w:rsidRPr="00D74E7A">
              <w:rPr>
                <w:i w:val="0"/>
                <w:lang w:val="lv-LV"/>
              </w:rPr>
              <w:t xml:space="preserve"> princips, kā to paredz Apvienoto Nāciju Organizācijas Konvencija par personu ar invaliditāti tiesībām. Piemēram, </w:t>
            </w:r>
            <w:r w:rsidR="007C6174" w:rsidRPr="00D74E7A">
              <w:rPr>
                <w:i w:val="0"/>
                <w:lang w:val="lv-LV"/>
              </w:rPr>
              <w:t xml:space="preserve">2024. gada 15. maija diskusija tika veidota tiešraidē, nodrošinot </w:t>
            </w:r>
            <w:proofErr w:type="spellStart"/>
            <w:r w:rsidR="007C6174" w:rsidRPr="00D74E7A">
              <w:rPr>
                <w:i w:val="0"/>
                <w:lang w:val="lv-LV"/>
              </w:rPr>
              <w:t>surdotulku</w:t>
            </w:r>
            <w:proofErr w:type="spellEnd"/>
            <w:r w:rsidR="007C6174" w:rsidRPr="00D74E7A">
              <w:rPr>
                <w:i w:val="0"/>
                <w:lang w:val="lv-LV"/>
              </w:rPr>
              <w:t>, kā arī informācijas video par notikušo Industrijas dienu – 2024, tika titrēts.</w:t>
            </w:r>
            <w:r w:rsidR="007C6174" w:rsidRPr="003A3A17">
              <w:rPr>
                <w:i w:val="0"/>
                <w:lang w:val="lv-LV"/>
              </w:rPr>
              <w:t xml:space="preserve"> </w:t>
            </w:r>
          </w:p>
        </w:tc>
      </w:tr>
    </w:tbl>
    <w:p w14:paraId="1F560B60" w14:textId="4B1562F2" w:rsidR="006A41E2" w:rsidRPr="003A3A17" w:rsidRDefault="00B32C89" w:rsidP="00B32C89">
      <w:pPr>
        <w:pStyle w:val="ManualHeading1"/>
        <w:rPr>
          <w:noProof/>
          <w:lang w:val="lv-LV"/>
        </w:rPr>
      </w:pPr>
      <w:r w:rsidRPr="003A3A17">
        <w:rPr>
          <w:lang w:val="lv-LV"/>
        </w:rPr>
        <w:t>6.</w:t>
      </w:r>
      <w:r w:rsidRPr="003A3A17">
        <w:rPr>
          <w:lang w:val="lv-LV"/>
        </w:rPr>
        <w:tab/>
      </w:r>
      <w:r w:rsidR="006A41E2" w:rsidRPr="003A3A17">
        <w:rPr>
          <w:noProof/>
          <w:lang w:val="lv-LV"/>
        </w:rPr>
        <w:t>Projekti trešās valstīs vai saistībā ar tām – Regulas (ES) 2021/1149 30. panta 2. punkta g) apakšpunkts</w:t>
      </w:r>
    </w:p>
    <w:p w14:paraId="42FF1E91" w14:textId="187FFF97" w:rsidR="006A41E2" w:rsidRPr="003A3A17" w:rsidRDefault="001B037F" w:rsidP="006A41E2">
      <w:pPr>
        <w:rPr>
          <w:noProof/>
          <w:lang w:val="lv-LV"/>
        </w:rPr>
      </w:pPr>
      <w:r w:rsidRPr="003A3A17">
        <w:rPr>
          <w:noProof/>
          <w:lang w:val="lv-LV"/>
        </w:rPr>
        <w:t xml:space="preserve">Aprakstiet visas darbības, kas grāmatvedības gadā notikušas trešās valstīs vai saistībā ar tām, un to, kā tās nodrošina Savienības pievienoto vērtību fonda mērķu sasniegšanā. Miniet attiecīgo trešo valstu nosaukumus. Attiecīgā gadījumā norādiet, vai pirms projekta apstiprināšanas ir notikusi apspriešanās ar Komisiju (Regulas (ES) 2021/1149 13. panta 11. punkts). </w:t>
      </w:r>
    </w:p>
    <w:tbl>
      <w:tblPr>
        <w:tblStyle w:val="TableGrid"/>
        <w:tblW w:w="0" w:type="auto"/>
        <w:tblLook w:val="04A0" w:firstRow="1" w:lastRow="0" w:firstColumn="1" w:lastColumn="0" w:noHBand="0" w:noVBand="1"/>
      </w:tblPr>
      <w:tblGrid>
        <w:gridCol w:w="9063"/>
      </w:tblGrid>
      <w:tr w:rsidR="003A3A17" w:rsidRPr="00037FD2" w14:paraId="6EDAA316" w14:textId="77777777" w:rsidTr="00E45665">
        <w:tc>
          <w:tcPr>
            <w:tcW w:w="9289" w:type="dxa"/>
          </w:tcPr>
          <w:p w14:paraId="108F2C51" w14:textId="77777777" w:rsidR="006A41E2" w:rsidRPr="003A3A17" w:rsidRDefault="00FF0E7F" w:rsidP="009E5C5D">
            <w:pPr>
              <w:pStyle w:val="Personnequisigne"/>
              <w:rPr>
                <w:noProof/>
                <w:lang w:val="lv-LV"/>
              </w:rPr>
            </w:pPr>
            <w:r w:rsidRPr="003A3A17">
              <w:rPr>
                <w:noProof/>
                <w:lang w:val="lv-LV"/>
              </w:rPr>
              <w:t>Šeit ierakstiet tekstu. Ne vairāk kā 6000 rakstzīmes.</w:t>
            </w:r>
          </w:p>
          <w:p w14:paraId="50447F76" w14:textId="438562B1" w:rsidR="006C4EFB" w:rsidRPr="003A3A17" w:rsidRDefault="006C4EFB" w:rsidP="00446E37">
            <w:pPr>
              <w:pStyle w:val="Institutionquisigne"/>
              <w:spacing w:before="120"/>
              <w:rPr>
                <w:b/>
                <w:lang w:val="lv-LV"/>
              </w:rPr>
            </w:pPr>
            <w:r w:rsidRPr="003A3A17">
              <w:rPr>
                <w:i w:val="0"/>
                <w:lang w:val="lv-LV"/>
              </w:rPr>
              <w:t xml:space="preserve">Nav attiecināms, darbības trešajās valstīs vai saistībā ar tām nav </w:t>
            </w:r>
            <w:r w:rsidR="00CB52F7" w:rsidRPr="003A3A17">
              <w:rPr>
                <w:i w:val="0"/>
                <w:lang w:val="lv-LV"/>
              </w:rPr>
              <w:t>paredzētas</w:t>
            </w:r>
            <w:r w:rsidR="00E32323" w:rsidRPr="003A3A17">
              <w:rPr>
                <w:i w:val="0"/>
                <w:lang w:val="lv-LV"/>
              </w:rPr>
              <w:t xml:space="preserve"> IDF</w:t>
            </w:r>
            <w:r w:rsidR="00CB52F7" w:rsidRPr="003A3A17">
              <w:rPr>
                <w:i w:val="0"/>
                <w:lang w:val="lv-LV"/>
              </w:rPr>
              <w:t xml:space="preserve"> programmā, grāmatvedības gadā nav īstenotas</w:t>
            </w:r>
            <w:r w:rsidRPr="003A3A17">
              <w:rPr>
                <w:i w:val="0"/>
                <w:lang w:val="lv-LV"/>
              </w:rPr>
              <w:t>.</w:t>
            </w:r>
          </w:p>
        </w:tc>
      </w:tr>
    </w:tbl>
    <w:p w14:paraId="54AF7F4C" w14:textId="36E6B0B2" w:rsidR="006A41E2" w:rsidRPr="003A3A17" w:rsidRDefault="00B32C89" w:rsidP="00B32C89">
      <w:pPr>
        <w:pStyle w:val="ManualHeading1"/>
        <w:rPr>
          <w:noProof/>
          <w:lang w:val="lv-LV"/>
        </w:rPr>
      </w:pPr>
      <w:r w:rsidRPr="003A3A17">
        <w:rPr>
          <w:lang w:val="lv-LV"/>
        </w:rPr>
        <w:lastRenderedPageBreak/>
        <w:t>7.</w:t>
      </w:r>
      <w:r w:rsidRPr="003A3A17">
        <w:rPr>
          <w:lang w:val="lv-LV"/>
        </w:rPr>
        <w:tab/>
      </w:r>
      <w:r w:rsidR="006A41E2" w:rsidRPr="003A3A17">
        <w:rPr>
          <w:noProof/>
          <w:lang w:val="lv-LV"/>
        </w:rPr>
        <w:t>Kopsavilkums – Regulas (ES) 2021/1149 30. panta 2. punkts</w:t>
      </w:r>
    </w:p>
    <w:p w14:paraId="6BB36DA2" w14:textId="77777777" w:rsidR="006A41E2" w:rsidRPr="003A3A17" w:rsidRDefault="00093D5B" w:rsidP="006A41E2">
      <w:pPr>
        <w:rPr>
          <w:noProof/>
          <w:lang w:val="lv-LV"/>
        </w:rPr>
      </w:pPr>
      <w:r w:rsidRPr="003A3A17">
        <w:rPr>
          <w:noProof/>
          <w:lang w:val="lv-LV"/>
        </w:rPr>
        <w:t xml:space="preserve">Sniedziet kopsavilkumu par 1.–6. iedaļu – tas tiks pārtulkots un darīts pieejams sabiedrībai. </w:t>
      </w:r>
    </w:p>
    <w:p w14:paraId="5D81D6B0" w14:textId="77777777" w:rsidR="006A41E2" w:rsidRPr="003A3A17" w:rsidRDefault="006A41E2" w:rsidP="006A41E2">
      <w:pPr>
        <w:rPr>
          <w:noProof/>
          <w:lang w:val="lv-LV"/>
        </w:rPr>
      </w:pPr>
      <w:r w:rsidRPr="003A3A17">
        <w:rPr>
          <w:noProof/>
          <w:lang w:val="lv-LV"/>
        </w:rPr>
        <w:t xml:space="preserve">Kopsavilkumā jāietver vismaz visi 30. panta 2. punktā uzskaitītie apakšpunkti, ap kuriem to vēlams strukturēt. </w:t>
      </w:r>
    </w:p>
    <w:p w14:paraId="5915FB12" w14:textId="77777777" w:rsidR="006A41E2" w:rsidRPr="003A3A17" w:rsidRDefault="006A41E2" w:rsidP="006A41E2">
      <w:pPr>
        <w:rPr>
          <w:noProof/>
          <w:lang w:val="lv-LV"/>
        </w:rPr>
      </w:pPr>
      <w:r w:rsidRPr="003A3A17">
        <w:rPr>
          <w:noProof/>
          <w:lang w:val="lv-LV"/>
        </w:rPr>
        <w:t xml:space="preserve">Ieteicams izmantot aizzīmes, treknrakstu vai informatīvus virsrakstus, lai ieinteresētās personas varētu viegli izprast programmas galvenos sasniegumus un galvenos jautājumus, kas ietekmē tās sniegumu. </w:t>
      </w:r>
    </w:p>
    <w:tbl>
      <w:tblPr>
        <w:tblStyle w:val="TableGrid"/>
        <w:tblW w:w="0" w:type="auto"/>
        <w:tblLook w:val="04A0" w:firstRow="1" w:lastRow="0" w:firstColumn="1" w:lastColumn="0" w:noHBand="0" w:noVBand="1"/>
      </w:tblPr>
      <w:tblGrid>
        <w:gridCol w:w="9063"/>
      </w:tblGrid>
      <w:tr w:rsidR="006A41E2" w:rsidRPr="00E028A8" w14:paraId="3495364F" w14:textId="77777777" w:rsidTr="00E45665">
        <w:tc>
          <w:tcPr>
            <w:tcW w:w="9289" w:type="dxa"/>
          </w:tcPr>
          <w:p w14:paraId="5B28F252" w14:textId="563873E0" w:rsidR="00427E21" w:rsidRDefault="00FF0E7F" w:rsidP="00E028A8">
            <w:pPr>
              <w:pStyle w:val="Personnequisigne"/>
              <w:rPr>
                <w:noProof/>
                <w:lang w:val="lv-LV"/>
              </w:rPr>
            </w:pPr>
            <w:r w:rsidRPr="003A3A17">
              <w:rPr>
                <w:noProof/>
                <w:lang w:val="lv-LV"/>
              </w:rPr>
              <w:t>Šeit ierakstiet tekstu. Ne vairāk kā 7500 rakstzīmes.</w:t>
            </w:r>
          </w:p>
          <w:p w14:paraId="7D988233" w14:textId="2930A0D7" w:rsidR="00E028A8" w:rsidRPr="00163461" w:rsidRDefault="00E028A8" w:rsidP="00E028A8">
            <w:pPr>
              <w:pStyle w:val="Institutionquisigne"/>
              <w:spacing w:before="240" w:after="120"/>
              <w:rPr>
                <w:b/>
                <w:i w:val="0"/>
                <w:szCs w:val="24"/>
                <w:lang w:val="lv-LV"/>
              </w:rPr>
            </w:pPr>
            <w:r w:rsidRPr="00163461">
              <w:rPr>
                <w:b/>
                <w:i w:val="0"/>
                <w:szCs w:val="24"/>
                <w:lang w:val="lv-LV"/>
              </w:rPr>
              <w:t>a) Īstenošanā gūtais progress</w:t>
            </w:r>
          </w:p>
          <w:p w14:paraId="5B77A11C" w14:textId="78D6D35F" w:rsidR="00577FFB" w:rsidRPr="00DB1D8E" w:rsidRDefault="00743B6E" w:rsidP="00DB1D8E">
            <w:pPr>
              <w:pStyle w:val="Personnequisigne"/>
              <w:ind w:firstLine="743"/>
              <w:rPr>
                <w:i w:val="0"/>
                <w:iCs/>
                <w:lang w:val="lv-LV"/>
              </w:rPr>
            </w:pPr>
            <w:r w:rsidRPr="00163461">
              <w:rPr>
                <w:i w:val="0"/>
                <w:iCs/>
                <w:lang w:val="lv-LV"/>
              </w:rPr>
              <w:t>Grāmatvedības period</w:t>
            </w:r>
            <w:r w:rsidR="00577FFB" w:rsidRPr="00163461">
              <w:rPr>
                <w:i w:val="0"/>
                <w:iCs/>
                <w:lang w:val="lv-LV"/>
              </w:rPr>
              <w:t xml:space="preserve">ā tika īstenoti 9 projekti, no kuriem turpināti 3 projekti un uzsākti 6 jauni projekti. </w:t>
            </w:r>
          </w:p>
          <w:p w14:paraId="7E19AA4D" w14:textId="2EE7582B" w:rsidR="00577FFB" w:rsidRDefault="00577FFB" w:rsidP="00DB1D8E">
            <w:pPr>
              <w:pStyle w:val="Institutionquisigne"/>
              <w:spacing w:before="0"/>
              <w:ind w:firstLine="743"/>
              <w:rPr>
                <w:i w:val="0"/>
                <w:iCs/>
              </w:rPr>
            </w:pPr>
            <w:proofErr w:type="spellStart"/>
            <w:r w:rsidRPr="00577FFB">
              <w:rPr>
                <w:i w:val="0"/>
                <w:iCs/>
              </w:rPr>
              <w:t>Projektu</w:t>
            </w:r>
            <w:proofErr w:type="spellEnd"/>
            <w:r w:rsidRPr="00577FFB">
              <w:rPr>
                <w:i w:val="0"/>
                <w:iCs/>
              </w:rPr>
              <w:t xml:space="preserve"> </w:t>
            </w:r>
            <w:proofErr w:type="spellStart"/>
            <w:r w:rsidRPr="00577FFB">
              <w:rPr>
                <w:i w:val="0"/>
                <w:iCs/>
              </w:rPr>
              <w:t>mērķi</w:t>
            </w:r>
            <w:proofErr w:type="spellEnd"/>
            <w:r w:rsidRPr="00577FFB">
              <w:rPr>
                <w:i w:val="0"/>
                <w:iCs/>
              </w:rPr>
              <w:t xml:space="preserve"> </w:t>
            </w:r>
            <w:proofErr w:type="spellStart"/>
            <w:r w:rsidRPr="00577FFB">
              <w:rPr>
                <w:i w:val="0"/>
                <w:iCs/>
              </w:rPr>
              <w:t>ir</w:t>
            </w:r>
            <w:proofErr w:type="spellEnd"/>
            <w:r w:rsidRPr="00577FFB">
              <w:rPr>
                <w:i w:val="0"/>
                <w:iCs/>
              </w:rPr>
              <w:t xml:space="preserve"> </w:t>
            </w:r>
            <w:proofErr w:type="spellStart"/>
            <w:r w:rsidRPr="00577FFB">
              <w:rPr>
                <w:i w:val="0"/>
                <w:iCs/>
              </w:rPr>
              <w:t>sekojoši</w:t>
            </w:r>
            <w:proofErr w:type="spellEnd"/>
            <w:r w:rsidRPr="00577FFB">
              <w:rPr>
                <w:i w:val="0"/>
                <w:iCs/>
              </w:rPr>
              <w:t>:</w:t>
            </w:r>
            <w:r>
              <w:rPr>
                <w:i w:val="0"/>
                <w:iCs/>
              </w:rPr>
              <w:t xml:space="preserve"> </w:t>
            </w:r>
          </w:p>
          <w:p w14:paraId="469F5C4C" w14:textId="241509DA" w:rsidR="00577FFB" w:rsidRDefault="00577FFB" w:rsidP="00F248DA">
            <w:pPr>
              <w:pStyle w:val="ListParagraph"/>
              <w:numPr>
                <w:ilvl w:val="0"/>
                <w:numId w:val="40"/>
              </w:numPr>
              <w:rPr>
                <w:rFonts w:eastAsia="Times New Roman"/>
                <w:lang w:eastAsia="lv-LV"/>
              </w:rPr>
            </w:pPr>
            <w:proofErr w:type="spellStart"/>
            <w:r w:rsidRPr="00577FFB">
              <w:rPr>
                <w:rFonts w:eastAsia="Times New Roman"/>
                <w:lang w:eastAsia="lv-LV"/>
              </w:rPr>
              <w:t>mazināt</w:t>
            </w:r>
            <w:proofErr w:type="spellEnd"/>
            <w:r w:rsidRPr="00577FFB">
              <w:rPr>
                <w:rFonts w:eastAsia="Times New Roman"/>
                <w:lang w:eastAsia="lv-LV"/>
              </w:rPr>
              <w:t xml:space="preserve"> </w:t>
            </w:r>
            <w:proofErr w:type="spellStart"/>
            <w:r w:rsidRPr="00577FFB">
              <w:rPr>
                <w:rFonts w:eastAsia="Times New Roman"/>
                <w:lang w:eastAsia="lv-LV"/>
              </w:rPr>
              <w:t>nelegālo</w:t>
            </w:r>
            <w:proofErr w:type="spellEnd"/>
            <w:r w:rsidRPr="00577FFB">
              <w:rPr>
                <w:rFonts w:eastAsia="Times New Roman"/>
                <w:lang w:eastAsia="lv-LV"/>
              </w:rPr>
              <w:t xml:space="preserve"> </w:t>
            </w:r>
            <w:proofErr w:type="spellStart"/>
            <w:r w:rsidRPr="00577FFB">
              <w:rPr>
                <w:rFonts w:eastAsia="Times New Roman"/>
                <w:lang w:eastAsia="lv-LV"/>
              </w:rPr>
              <w:t>akcīzes</w:t>
            </w:r>
            <w:proofErr w:type="spellEnd"/>
            <w:r w:rsidRPr="00577FFB">
              <w:rPr>
                <w:rFonts w:eastAsia="Times New Roman"/>
                <w:lang w:eastAsia="lv-LV"/>
              </w:rPr>
              <w:t xml:space="preserve"> </w:t>
            </w:r>
            <w:proofErr w:type="spellStart"/>
            <w:r w:rsidRPr="00577FFB">
              <w:rPr>
                <w:rFonts w:eastAsia="Times New Roman"/>
                <w:lang w:eastAsia="lv-LV"/>
              </w:rPr>
              <w:t>preču</w:t>
            </w:r>
            <w:proofErr w:type="spellEnd"/>
            <w:r w:rsidRPr="00577FFB">
              <w:rPr>
                <w:rFonts w:eastAsia="Times New Roman"/>
                <w:lang w:eastAsia="lv-LV"/>
              </w:rPr>
              <w:t xml:space="preserve"> </w:t>
            </w:r>
            <w:proofErr w:type="spellStart"/>
            <w:r w:rsidRPr="00577FFB">
              <w:rPr>
                <w:rFonts w:eastAsia="Times New Roman"/>
                <w:lang w:eastAsia="lv-LV"/>
              </w:rPr>
              <w:t>apriti</w:t>
            </w:r>
            <w:proofErr w:type="spellEnd"/>
            <w:r w:rsidRPr="00577FFB">
              <w:rPr>
                <w:rFonts w:eastAsia="Times New Roman"/>
                <w:lang w:eastAsia="lv-LV"/>
              </w:rPr>
              <w:t xml:space="preserve"> un </w:t>
            </w:r>
            <w:proofErr w:type="spellStart"/>
            <w:r w:rsidRPr="00577FFB">
              <w:rPr>
                <w:rFonts w:eastAsia="Times New Roman"/>
                <w:lang w:eastAsia="lv-LV"/>
              </w:rPr>
              <w:t>akcīzes</w:t>
            </w:r>
            <w:proofErr w:type="spellEnd"/>
            <w:r w:rsidRPr="00577FFB">
              <w:rPr>
                <w:rFonts w:eastAsia="Times New Roman"/>
                <w:lang w:eastAsia="lv-LV"/>
              </w:rPr>
              <w:t xml:space="preserve"> </w:t>
            </w:r>
            <w:proofErr w:type="spellStart"/>
            <w:r w:rsidRPr="00577FFB">
              <w:rPr>
                <w:rFonts w:eastAsia="Times New Roman"/>
                <w:lang w:eastAsia="lv-LV"/>
              </w:rPr>
              <w:t>nodokļa</w:t>
            </w:r>
            <w:proofErr w:type="spellEnd"/>
            <w:r w:rsidRPr="00577FFB">
              <w:rPr>
                <w:rFonts w:eastAsia="Times New Roman"/>
                <w:lang w:eastAsia="lv-LV"/>
              </w:rPr>
              <w:t xml:space="preserve"> </w:t>
            </w:r>
            <w:proofErr w:type="spellStart"/>
            <w:r w:rsidRPr="00577FFB">
              <w:rPr>
                <w:rFonts w:eastAsia="Times New Roman"/>
                <w:lang w:eastAsia="lv-LV"/>
              </w:rPr>
              <w:t>plaisu</w:t>
            </w:r>
            <w:proofErr w:type="spellEnd"/>
            <w:r w:rsidRPr="00577FFB">
              <w:rPr>
                <w:rFonts w:eastAsia="Times New Roman"/>
                <w:lang w:eastAsia="lv-LV"/>
              </w:rPr>
              <w:t xml:space="preserve"> </w:t>
            </w:r>
            <w:proofErr w:type="spellStart"/>
            <w:r w:rsidRPr="00577FFB">
              <w:rPr>
                <w:rFonts w:eastAsia="Times New Roman"/>
                <w:lang w:eastAsia="lv-LV"/>
              </w:rPr>
              <w:t>Baltijas</w:t>
            </w:r>
            <w:proofErr w:type="spellEnd"/>
            <w:r w:rsidRPr="00577FFB">
              <w:rPr>
                <w:rFonts w:eastAsia="Times New Roman"/>
                <w:lang w:eastAsia="lv-LV"/>
              </w:rPr>
              <w:t xml:space="preserve"> </w:t>
            </w:r>
            <w:proofErr w:type="spellStart"/>
            <w:r w:rsidRPr="00577FFB">
              <w:rPr>
                <w:rFonts w:eastAsia="Times New Roman"/>
                <w:lang w:eastAsia="lv-LV"/>
              </w:rPr>
              <w:t>reģionā</w:t>
            </w:r>
            <w:proofErr w:type="spellEnd"/>
            <w:r w:rsidR="00844529">
              <w:rPr>
                <w:rFonts w:eastAsia="Times New Roman"/>
                <w:lang w:eastAsia="lv-LV"/>
              </w:rPr>
              <w:t>;</w:t>
            </w:r>
          </w:p>
          <w:p w14:paraId="1FF5CF0C" w14:textId="76979ADD" w:rsidR="00577FFB" w:rsidRDefault="00577FFB" w:rsidP="00F248DA">
            <w:pPr>
              <w:pStyle w:val="ListParagraph"/>
              <w:numPr>
                <w:ilvl w:val="0"/>
                <w:numId w:val="40"/>
              </w:numPr>
              <w:rPr>
                <w:rFonts w:eastAsia="Times New Roman"/>
                <w:lang w:eastAsia="lv-LV"/>
              </w:rPr>
            </w:pPr>
            <w:proofErr w:type="spellStart"/>
            <w:r w:rsidRPr="0074763E">
              <w:rPr>
                <w:rFonts w:eastAsia="Times New Roman"/>
                <w:lang w:eastAsia="lv-LV"/>
              </w:rPr>
              <w:t>uzlabot</w:t>
            </w:r>
            <w:proofErr w:type="spellEnd"/>
            <w:r w:rsidRPr="0074763E">
              <w:rPr>
                <w:rFonts w:eastAsia="Times New Roman"/>
                <w:lang w:eastAsia="lv-LV"/>
              </w:rPr>
              <w:t xml:space="preserve"> </w:t>
            </w:r>
            <w:proofErr w:type="spellStart"/>
            <w:r>
              <w:rPr>
                <w:rFonts w:eastAsia="Times New Roman"/>
                <w:lang w:eastAsia="lv-LV"/>
              </w:rPr>
              <w:t>Valsts</w:t>
            </w:r>
            <w:proofErr w:type="spellEnd"/>
            <w:r>
              <w:rPr>
                <w:rFonts w:eastAsia="Times New Roman"/>
                <w:lang w:eastAsia="lv-LV"/>
              </w:rPr>
              <w:t xml:space="preserve"> </w:t>
            </w:r>
            <w:proofErr w:type="spellStart"/>
            <w:r>
              <w:rPr>
                <w:rFonts w:eastAsia="Times New Roman"/>
                <w:lang w:eastAsia="lv-LV"/>
              </w:rPr>
              <w:t>policijas</w:t>
            </w:r>
            <w:proofErr w:type="spellEnd"/>
            <w:r w:rsidR="003B5C2B">
              <w:rPr>
                <w:rFonts w:eastAsia="Times New Roman"/>
                <w:lang w:eastAsia="lv-LV"/>
              </w:rPr>
              <w:t xml:space="preserve"> (</w:t>
            </w:r>
            <w:proofErr w:type="spellStart"/>
            <w:r w:rsidR="003B5C2B">
              <w:rPr>
                <w:rFonts w:eastAsia="Times New Roman"/>
                <w:lang w:eastAsia="lv-LV"/>
              </w:rPr>
              <w:t>turpmāk</w:t>
            </w:r>
            <w:proofErr w:type="spellEnd"/>
            <w:r w:rsidR="003B5C2B">
              <w:rPr>
                <w:rFonts w:eastAsia="Times New Roman"/>
                <w:lang w:eastAsia="lv-LV"/>
              </w:rPr>
              <w:t xml:space="preserve"> – VP)</w:t>
            </w:r>
            <w:r>
              <w:rPr>
                <w:rFonts w:eastAsia="Times New Roman"/>
                <w:lang w:eastAsia="lv-LV"/>
              </w:rPr>
              <w:t xml:space="preserve"> </w:t>
            </w:r>
            <w:proofErr w:type="spellStart"/>
            <w:r w:rsidRPr="0074763E">
              <w:rPr>
                <w:rFonts w:eastAsia="Times New Roman"/>
                <w:lang w:eastAsia="lv-LV"/>
              </w:rPr>
              <w:t>operatīvās</w:t>
            </w:r>
            <w:proofErr w:type="spellEnd"/>
            <w:r w:rsidRPr="0074763E">
              <w:rPr>
                <w:rFonts w:eastAsia="Times New Roman"/>
                <w:lang w:eastAsia="lv-LV"/>
              </w:rPr>
              <w:t xml:space="preserve"> </w:t>
            </w:r>
            <w:proofErr w:type="spellStart"/>
            <w:r w:rsidRPr="0074763E">
              <w:rPr>
                <w:rFonts w:eastAsia="Times New Roman"/>
                <w:lang w:eastAsia="lv-LV"/>
              </w:rPr>
              <w:t>vadības</w:t>
            </w:r>
            <w:proofErr w:type="spellEnd"/>
            <w:r w:rsidRPr="0074763E">
              <w:rPr>
                <w:rFonts w:eastAsia="Times New Roman"/>
                <w:lang w:eastAsia="lv-LV"/>
              </w:rPr>
              <w:t xml:space="preserve"> </w:t>
            </w:r>
            <w:proofErr w:type="spellStart"/>
            <w:r w:rsidRPr="0074763E">
              <w:rPr>
                <w:rFonts w:eastAsia="Times New Roman"/>
                <w:lang w:eastAsia="lv-LV"/>
              </w:rPr>
              <w:t>struktūrvienību</w:t>
            </w:r>
            <w:proofErr w:type="spellEnd"/>
            <w:r w:rsidRPr="0074763E">
              <w:rPr>
                <w:rFonts w:eastAsia="Times New Roman"/>
                <w:lang w:eastAsia="lv-LV"/>
              </w:rPr>
              <w:t xml:space="preserve"> </w:t>
            </w:r>
            <w:proofErr w:type="spellStart"/>
            <w:r w:rsidRPr="0074763E">
              <w:rPr>
                <w:rFonts w:eastAsia="Times New Roman"/>
                <w:lang w:eastAsia="lv-LV"/>
              </w:rPr>
              <w:t>materiāltehnisko</w:t>
            </w:r>
            <w:proofErr w:type="spellEnd"/>
            <w:r w:rsidRPr="0074763E">
              <w:rPr>
                <w:rFonts w:eastAsia="Times New Roman"/>
                <w:lang w:eastAsia="lv-LV"/>
              </w:rPr>
              <w:t xml:space="preserve"> </w:t>
            </w:r>
            <w:proofErr w:type="spellStart"/>
            <w:r w:rsidRPr="0074763E">
              <w:rPr>
                <w:rFonts w:eastAsia="Times New Roman"/>
                <w:lang w:eastAsia="lv-LV"/>
              </w:rPr>
              <w:t>nodrošinājumu</w:t>
            </w:r>
            <w:proofErr w:type="spellEnd"/>
            <w:r>
              <w:rPr>
                <w:rFonts w:eastAsia="Times New Roman"/>
                <w:lang w:eastAsia="lv-LV"/>
              </w:rPr>
              <w:t>;</w:t>
            </w:r>
          </w:p>
          <w:p w14:paraId="0FCAE938" w14:textId="4F508F03" w:rsidR="00577FFB" w:rsidRDefault="00577FFB" w:rsidP="00F248DA">
            <w:pPr>
              <w:pStyle w:val="ListParagraph"/>
              <w:numPr>
                <w:ilvl w:val="0"/>
                <w:numId w:val="40"/>
              </w:numPr>
              <w:rPr>
                <w:rFonts w:eastAsia="Times New Roman"/>
                <w:lang w:eastAsia="lv-LV"/>
              </w:rPr>
            </w:pPr>
            <w:proofErr w:type="spellStart"/>
            <w:r w:rsidRPr="0074763E">
              <w:rPr>
                <w:rFonts w:eastAsia="Times New Roman"/>
                <w:lang w:eastAsia="lv-LV"/>
              </w:rPr>
              <w:t>stiprināt</w:t>
            </w:r>
            <w:proofErr w:type="spellEnd"/>
            <w:r w:rsidRPr="0074763E">
              <w:rPr>
                <w:rFonts w:eastAsia="Times New Roman"/>
                <w:lang w:eastAsia="lv-LV"/>
              </w:rPr>
              <w:t xml:space="preserve"> </w:t>
            </w:r>
            <w:proofErr w:type="spellStart"/>
            <w:r w:rsidR="00844529">
              <w:rPr>
                <w:rFonts w:eastAsia="Times New Roman"/>
                <w:lang w:eastAsia="lv-LV"/>
              </w:rPr>
              <w:t>S</w:t>
            </w:r>
            <w:r w:rsidRPr="0074763E">
              <w:rPr>
                <w:rFonts w:eastAsia="Times New Roman"/>
                <w:lang w:eastAsia="lv-LV"/>
              </w:rPr>
              <w:t>peciālo</w:t>
            </w:r>
            <w:proofErr w:type="spellEnd"/>
            <w:r w:rsidRPr="0074763E">
              <w:rPr>
                <w:rFonts w:eastAsia="Times New Roman"/>
                <w:lang w:eastAsia="lv-LV"/>
              </w:rPr>
              <w:t xml:space="preserve"> </w:t>
            </w:r>
            <w:proofErr w:type="spellStart"/>
            <w:r w:rsidRPr="0074763E">
              <w:rPr>
                <w:rFonts w:eastAsia="Times New Roman"/>
                <w:lang w:eastAsia="lv-LV"/>
              </w:rPr>
              <w:t>uzdevumu</w:t>
            </w:r>
            <w:proofErr w:type="spellEnd"/>
            <w:r w:rsidRPr="0074763E">
              <w:rPr>
                <w:rFonts w:eastAsia="Times New Roman"/>
                <w:lang w:eastAsia="lv-LV"/>
              </w:rPr>
              <w:t xml:space="preserve"> </w:t>
            </w:r>
            <w:proofErr w:type="spellStart"/>
            <w:r w:rsidRPr="0074763E">
              <w:rPr>
                <w:rFonts w:eastAsia="Times New Roman"/>
                <w:lang w:eastAsia="lv-LV"/>
              </w:rPr>
              <w:t>vienības</w:t>
            </w:r>
            <w:proofErr w:type="spellEnd"/>
            <w:r w:rsidRPr="0074763E">
              <w:rPr>
                <w:rFonts w:eastAsia="Times New Roman"/>
                <w:lang w:eastAsia="lv-LV"/>
              </w:rPr>
              <w:t xml:space="preserve"> </w:t>
            </w:r>
            <w:proofErr w:type="spellStart"/>
            <w:r w:rsidRPr="0074763E">
              <w:rPr>
                <w:rFonts w:eastAsia="Times New Roman"/>
                <w:lang w:eastAsia="lv-LV"/>
              </w:rPr>
              <w:t>kapacitāti</w:t>
            </w:r>
            <w:proofErr w:type="spellEnd"/>
            <w:r>
              <w:rPr>
                <w:rFonts w:eastAsia="Times New Roman"/>
                <w:lang w:eastAsia="lv-LV"/>
              </w:rPr>
              <w:t>;</w:t>
            </w:r>
          </w:p>
          <w:p w14:paraId="2E49E4DE" w14:textId="74B57737" w:rsidR="00577FFB" w:rsidRPr="00577FFB" w:rsidRDefault="00577FFB" w:rsidP="00F248DA">
            <w:pPr>
              <w:pStyle w:val="ListParagraph"/>
              <w:numPr>
                <w:ilvl w:val="0"/>
                <w:numId w:val="40"/>
              </w:numPr>
              <w:rPr>
                <w:rFonts w:eastAsia="Times New Roman"/>
                <w:lang w:eastAsia="lv-LV"/>
              </w:rPr>
            </w:pPr>
            <w:proofErr w:type="spellStart"/>
            <w:r w:rsidRPr="00577FFB">
              <w:rPr>
                <w:rFonts w:eastAsia="Times New Roman"/>
                <w:color w:val="212529"/>
              </w:rPr>
              <w:t>uzlabot</w:t>
            </w:r>
            <w:proofErr w:type="spellEnd"/>
            <w:r w:rsidRPr="00577FFB">
              <w:rPr>
                <w:rFonts w:eastAsia="Times New Roman"/>
                <w:color w:val="212529"/>
              </w:rPr>
              <w:t xml:space="preserve"> </w:t>
            </w:r>
            <w:r>
              <w:rPr>
                <w:rFonts w:eastAsia="Times New Roman"/>
                <w:color w:val="212529"/>
              </w:rPr>
              <w:t>V</w:t>
            </w:r>
            <w:r w:rsidR="003B5C2B">
              <w:rPr>
                <w:rFonts w:eastAsia="Times New Roman"/>
                <w:color w:val="212529"/>
              </w:rPr>
              <w:t xml:space="preserve">P </w:t>
            </w:r>
            <w:r w:rsidRPr="00577FFB">
              <w:rPr>
                <w:rFonts w:eastAsia="Times New Roman"/>
                <w:color w:val="212529"/>
              </w:rPr>
              <w:t xml:space="preserve">un </w:t>
            </w:r>
            <w:proofErr w:type="spellStart"/>
            <w:r w:rsidRPr="00577FFB">
              <w:rPr>
                <w:rFonts w:eastAsia="Times New Roman"/>
                <w:color w:val="212529"/>
              </w:rPr>
              <w:t>citu</w:t>
            </w:r>
            <w:proofErr w:type="spellEnd"/>
            <w:r w:rsidRPr="00577FFB">
              <w:rPr>
                <w:rFonts w:eastAsia="Times New Roman"/>
                <w:color w:val="212529"/>
              </w:rPr>
              <w:t xml:space="preserve"> </w:t>
            </w:r>
            <w:proofErr w:type="spellStart"/>
            <w:r w:rsidRPr="00577FFB">
              <w:rPr>
                <w:rFonts w:eastAsia="Times New Roman"/>
                <w:color w:val="212529"/>
              </w:rPr>
              <w:t>Latvijas</w:t>
            </w:r>
            <w:proofErr w:type="spellEnd"/>
            <w:r w:rsidRPr="00577FFB">
              <w:rPr>
                <w:rFonts w:eastAsia="Times New Roman"/>
                <w:color w:val="212529"/>
              </w:rPr>
              <w:t xml:space="preserve"> </w:t>
            </w:r>
            <w:proofErr w:type="spellStart"/>
            <w:r w:rsidRPr="00577FFB">
              <w:rPr>
                <w:rFonts w:eastAsia="Times New Roman"/>
                <w:color w:val="212529"/>
              </w:rPr>
              <w:t>tiesībaizsardzības</w:t>
            </w:r>
            <w:proofErr w:type="spellEnd"/>
            <w:r w:rsidRPr="00577FFB">
              <w:rPr>
                <w:rFonts w:eastAsia="Times New Roman"/>
                <w:color w:val="212529"/>
              </w:rPr>
              <w:t xml:space="preserve"> </w:t>
            </w:r>
            <w:proofErr w:type="spellStart"/>
            <w:r w:rsidRPr="00577FFB">
              <w:rPr>
                <w:rFonts w:eastAsia="Times New Roman"/>
                <w:color w:val="212529"/>
              </w:rPr>
              <w:t>iestāžu</w:t>
            </w:r>
            <w:proofErr w:type="spellEnd"/>
            <w:r w:rsidRPr="00577FFB">
              <w:rPr>
                <w:rFonts w:eastAsia="Times New Roman"/>
                <w:color w:val="212529"/>
              </w:rPr>
              <w:t xml:space="preserve"> </w:t>
            </w:r>
            <w:proofErr w:type="spellStart"/>
            <w:r w:rsidRPr="00577FFB">
              <w:rPr>
                <w:rFonts w:eastAsia="Times New Roman"/>
                <w:color w:val="212529"/>
              </w:rPr>
              <w:t>kopējo</w:t>
            </w:r>
            <w:proofErr w:type="spellEnd"/>
            <w:r w:rsidRPr="00577FFB">
              <w:rPr>
                <w:rFonts w:eastAsia="Times New Roman"/>
                <w:color w:val="212529"/>
              </w:rPr>
              <w:t xml:space="preserve"> </w:t>
            </w:r>
            <w:proofErr w:type="spellStart"/>
            <w:r w:rsidRPr="00577FFB">
              <w:rPr>
                <w:rFonts w:eastAsia="Times New Roman"/>
                <w:color w:val="212529"/>
              </w:rPr>
              <w:t>darba</w:t>
            </w:r>
            <w:proofErr w:type="spellEnd"/>
            <w:r w:rsidRPr="00577FFB">
              <w:rPr>
                <w:rFonts w:eastAsia="Times New Roman"/>
                <w:color w:val="212529"/>
              </w:rPr>
              <w:t xml:space="preserve"> </w:t>
            </w:r>
            <w:proofErr w:type="spellStart"/>
            <w:r w:rsidRPr="00577FFB">
              <w:rPr>
                <w:rFonts w:eastAsia="Times New Roman"/>
                <w:color w:val="212529"/>
              </w:rPr>
              <w:t>plūsmu</w:t>
            </w:r>
            <w:proofErr w:type="spellEnd"/>
            <w:r w:rsidRPr="00577FFB">
              <w:rPr>
                <w:rFonts w:eastAsia="Times New Roman"/>
                <w:color w:val="212529"/>
              </w:rPr>
              <w:t xml:space="preserve"> un </w:t>
            </w:r>
            <w:proofErr w:type="spellStart"/>
            <w:r w:rsidRPr="00577FFB">
              <w:rPr>
                <w:rFonts w:eastAsia="Times New Roman"/>
                <w:color w:val="212529"/>
              </w:rPr>
              <w:t>starptautiskās</w:t>
            </w:r>
            <w:proofErr w:type="spellEnd"/>
            <w:r w:rsidRPr="00577FFB">
              <w:rPr>
                <w:rFonts w:eastAsia="Times New Roman"/>
                <w:color w:val="212529"/>
              </w:rPr>
              <w:t xml:space="preserve"> </w:t>
            </w:r>
            <w:proofErr w:type="spellStart"/>
            <w:r w:rsidRPr="00577FFB">
              <w:rPr>
                <w:rFonts w:eastAsia="Times New Roman"/>
                <w:color w:val="212529"/>
              </w:rPr>
              <w:t>sadarbības</w:t>
            </w:r>
            <w:proofErr w:type="spellEnd"/>
            <w:r w:rsidRPr="00577FFB">
              <w:rPr>
                <w:rFonts w:eastAsia="Times New Roman"/>
                <w:color w:val="212529"/>
              </w:rPr>
              <w:t xml:space="preserve"> </w:t>
            </w:r>
            <w:proofErr w:type="spellStart"/>
            <w:r w:rsidRPr="00577FFB">
              <w:rPr>
                <w:rFonts w:eastAsia="Times New Roman"/>
                <w:color w:val="212529"/>
              </w:rPr>
              <w:t>iespējas</w:t>
            </w:r>
            <w:proofErr w:type="spellEnd"/>
            <w:r>
              <w:rPr>
                <w:rFonts w:eastAsia="Times New Roman"/>
                <w:color w:val="212529"/>
              </w:rPr>
              <w:t>;</w:t>
            </w:r>
          </w:p>
          <w:p w14:paraId="3A47F7E4" w14:textId="57713288" w:rsidR="00577FFB" w:rsidRPr="00577FFB" w:rsidRDefault="00577FFB" w:rsidP="00F248DA">
            <w:pPr>
              <w:pStyle w:val="ListParagraph"/>
              <w:numPr>
                <w:ilvl w:val="0"/>
                <w:numId w:val="40"/>
              </w:numPr>
              <w:rPr>
                <w:rFonts w:eastAsia="Times New Roman"/>
                <w:lang w:eastAsia="lv-LV"/>
              </w:rPr>
            </w:pPr>
            <w:proofErr w:type="spellStart"/>
            <w:r>
              <w:rPr>
                <w:rFonts w:eastAsia="Times New Roman"/>
                <w:color w:val="212529"/>
              </w:rPr>
              <w:t>uzlabot</w:t>
            </w:r>
            <w:proofErr w:type="spellEnd"/>
            <w:r>
              <w:rPr>
                <w:rFonts w:eastAsia="Times New Roman"/>
                <w:color w:val="212529"/>
              </w:rPr>
              <w:t xml:space="preserve"> </w:t>
            </w:r>
            <w:r w:rsidRPr="00577FFB">
              <w:rPr>
                <w:rFonts w:eastAsia="Times New Roman"/>
                <w:lang w:eastAsia="lv-LV"/>
              </w:rPr>
              <w:t>CBRNE (Chemical, biological, radiological, nuclear, explosives</w:t>
            </w:r>
            <w:r w:rsidR="009339B0">
              <w:rPr>
                <w:rFonts w:eastAsia="Times New Roman"/>
                <w:lang w:eastAsia="lv-LV"/>
              </w:rPr>
              <w:t xml:space="preserve">) </w:t>
            </w:r>
            <w:r w:rsidRPr="00577FFB">
              <w:rPr>
                <w:rFonts w:eastAsia="Times New Roman"/>
                <w:lang w:eastAsia="lv-LV"/>
              </w:rPr>
              <w:t xml:space="preserve">un </w:t>
            </w:r>
            <w:proofErr w:type="spellStart"/>
            <w:r w:rsidRPr="00577FFB">
              <w:rPr>
                <w:rFonts w:eastAsia="Times New Roman"/>
                <w:lang w:eastAsia="lv-LV"/>
              </w:rPr>
              <w:t>cilvēku</w:t>
            </w:r>
            <w:proofErr w:type="spellEnd"/>
            <w:r w:rsidRPr="00577FFB">
              <w:rPr>
                <w:rFonts w:eastAsia="Times New Roman"/>
                <w:lang w:eastAsia="lv-LV"/>
              </w:rPr>
              <w:t xml:space="preserve"> </w:t>
            </w:r>
            <w:proofErr w:type="spellStart"/>
            <w:r w:rsidRPr="00577FFB">
              <w:rPr>
                <w:rFonts w:eastAsia="Times New Roman"/>
                <w:lang w:eastAsia="lv-LV"/>
              </w:rPr>
              <w:t>izraisītu</w:t>
            </w:r>
            <w:proofErr w:type="spellEnd"/>
            <w:r w:rsidRPr="00577FFB">
              <w:rPr>
                <w:rFonts w:eastAsia="Times New Roman"/>
                <w:lang w:eastAsia="lv-LV"/>
              </w:rPr>
              <w:t xml:space="preserve"> </w:t>
            </w:r>
            <w:proofErr w:type="spellStart"/>
            <w:r w:rsidRPr="00577FFB">
              <w:rPr>
                <w:rFonts w:eastAsia="Times New Roman"/>
                <w:lang w:eastAsia="lv-LV"/>
              </w:rPr>
              <w:t>katastrofu</w:t>
            </w:r>
            <w:proofErr w:type="spellEnd"/>
            <w:r w:rsidRPr="00577FFB">
              <w:rPr>
                <w:rFonts w:eastAsia="Times New Roman"/>
                <w:lang w:eastAsia="lv-LV"/>
              </w:rPr>
              <w:t xml:space="preserve"> </w:t>
            </w:r>
            <w:proofErr w:type="spellStart"/>
            <w:r w:rsidRPr="00577FFB">
              <w:rPr>
                <w:rFonts w:eastAsia="Times New Roman"/>
                <w:lang w:eastAsia="lv-LV"/>
              </w:rPr>
              <w:t>pārvaldīšanas</w:t>
            </w:r>
            <w:proofErr w:type="spellEnd"/>
            <w:r w:rsidRPr="00577FFB">
              <w:rPr>
                <w:rFonts w:eastAsia="Times New Roman"/>
                <w:lang w:eastAsia="lv-LV"/>
              </w:rPr>
              <w:t xml:space="preserve"> </w:t>
            </w:r>
            <w:proofErr w:type="spellStart"/>
            <w:r w:rsidRPr="00577FFB">
              <w:rPr>
                <w:rFonts w:eastAsia="Times New Roman"/>
                <w:lang w:eastAsia="lv-LV"/>
              </w:rPr>
              <w:t>procesus</w:t>
            </w:r>
            <w:proofErr w:type="spellEnd"/>
            <w:r w:rsidRPr="00577FFB">
              <w:rPr>
                <w:rFonts w:eastAsia="Times New Roman"/>
                <w:lang w:eastAsia="lv-LV"/>
              </w:rPr>
              <w:t xml:space="preserve"> un </w:t>
            </w:r>
            <w:proofErr w:type="spellStart"/>
            <w:r w:rsidRPr="00577FFB">
              <w:rPr>
                <w:rFonts w:eastAsia="Times New Roman"/>
                <w:lang w:eastAsia="lv-LV"/>
              </w:rPr>
              <w:t>mazināt</w:t>
            </w:r>
            <w:proofErr w:type="spellEnd"/>
            <w:r w:rsidRPr="00577FFB">
              <w:rPr>
                <w:rFonts w:eastAsia="Times New Roman"/>
                <w:lang w:eastAsia="lv-LV"/>
              </w:rPr>
              <w:t xml:space="preserve"> </w:t>
            </w:r>
            <w:proofErr w:type="spellStart"/>
            <w:r w:rsidRPr="00577FFB">
              <w:rPr>
                <w:rFonts w:eastAsia="Times New Roman"/>
                <w:lang w:eastAsia="lv-LV"/>
              </w:rPr>
              <w:t>riskus</w:t>
            </w:r>
            <w:proofErr w:type="spellEnd"/>
            <w:r w:rsidR="00844529">
              <w:rPr>
                <w:rFonts w:eastAsia="Times New Roman"/>
                <w:lang w:eastAsia="lv-LV"/>
              </w:rPr>
              <w:t>;</w:t>
            </w:r>
          </w:p>
          <w:p w14:paraId="53328B93" w14:textId="039199AF" w:rsidR="00577FFB" w:rsidRDefault="00844529" w:rsidP="00F248DA">
            <w:pPr>
              <w:pStyle w:val="ListParagraph"/>
              <w:numPr>
                <w:ilvl w:val="0"/>
                <w:numId w:val="40"/>
              </w:numPr>
              <w:rPr>
                <w:rFonts w:eastAsia="Times New Roman"/>
                <w:lang w:eastAsia="lv-LV"/>
              </w:rPr>
            </w:pPr>
            <w:proofErr w:type="spellStart"/>
            <w:r>
              <w:rPr>
                <w:rFonts w:eastAsia="Times New Roman"/>
                <w:lang w:eastAsia="lv-LV"/>
              </w:rPr>
              <w:t>izveidot</w:t>
            </w:r>
            <w:proofErr w:type="spellEnd"/>
            <w:r>
              <w:rPr>
                <w:rFonts w:eastAsia="Times New Roman"/>
                <w:lang w:eastAsia="lv-LV"/>
              </w:rPr>
              <w:t xml:space="preserve"> </w:t>
            </w:r>
            <w:proofErr w:type="spellStart"/>
            <w:r>
              <w:rPr>
                <w:rFonts w:eastAsia="Times New Roman"/>
                <w:lang w:eastAsia="lv-LV"/>
              </w:rPr>
              <w:t>n</w:t>
            </w:r>
            <w:r w:rsidR="009339B0" w:rsidRPr="00480A44">
              <w:rPr>
                <w:rFonts w:eastAsia="Times New Roman"/>
                <w:lang w:eastAsia="lv-LV"/>
              </w:rPr>
              <w:t>acionālās</w:t>
            </w:r>
            <w:proofErr w:type="spellEnd"/>
            <w:r w:rsidR="009339B0" w:rsidRPr="00480A44">
              <w:rPr>
                <w:rFonts w:eastAsia="Times New Roman"/>
                <w:lang w:eastAsia="lv-LV"/>
              </w:rPr>
              <w:t xml:space="preserve"> </w:t>
            </w:r>
            <w:proofErr w:type="spellStart"/>
            <w:r w:rsidR="009339B0" w:rsidRPr="00480A44">
              <w:rPr>
                <w:rFonts w:eastAsia="Times New Roman"/>
                <w:lang w:eastAsia="lv-LV"/>
              </w:rPr>
              <w:t>kriminālizlūkošanas</w:t>
            </w:r>
            <w:proofErr w:type="spellEnd"/>
            <w:r w:rsidR="009339B0" w:rsidRPr="00480A44">
              <w:rPr>
                <w:rFonts w:eastAsia="Times New Roman"/>
                <w:lang w:eastAsia="lv-LV"/>
              </w:rPr>
              <w:t xml:space="preserve"> </w:t>
            </w:r>
            <w:proofErr w:type="spellStart"/>
            <w:r w:rsidR="009339B0" w:rsidRPr="00480A44">
              <w:rPr>
                <w:rFonts w:eastAsia="Times New Roman"/>
                <w:lang w:eastAsia="lv-LV"/>
              </w:rPr>
              <w:t>informācijas</w:t>
            </w:r>
            <w:proofErr w:type="spellEnd"/>
            <w:r w:rsidR="009339B0" w:rsidRPr="00480A44">
              <w:rPr>
                <w:rFonts w:eastAsia="Times New Roman"/>
                <w:lang w:eastAsia="lv-LV"/>
              </w:rPr>
              <w:t xml:space="preserve"> </w:t>
            </w:r>
            <w:proofErr w:type="spellStart"/>
            <w:r w:rsidR="009339B0" w:rsidRPr="00480A44">
              <w:rPr>
                <w:rFonts w:eastAsia="Times New Roman"/>
                <w:lang w:eastAsia="lv-LV"/>
              </w:rPr>
              <w:t>sistēm</w:t>
            </w:r>
            <w:r>
              <w:rPr>
                <w:rFonts w:eastAsia="Times New Roman"/>
                <w:lang w:eastAsia="lv-LV"/>
              </w:rPr>
              <w:t>u</w:t>
            </w:r>
            <w:proofErr w:type="spellEnd"/>
            <w:r>
              <w:rPr>
                <w:rFonts w:eastAsia="Times New Roman"/>
                <w:lang w:eastAsia="lv-LV"/>
              </w:rPr>
              <w:t>;</w:t>
            </w:r>
          </w:p>
          <w:p w14:paraId="0081C00C" w14:textId="2E07858E" w:rsidR="009339B0" w:rsidRPr="009339B0" w:rsidRDefault="009339B0" w:rsidP="00F248DA">
            <w:pPr>
              <w:pStyle w:val="ListParagraph"/>
              <w:numPr>
                <w:ilvl w:val="0"/>
                <w:numId w:val="40"/>
              </w:numPr>
              <w:rPr>
                <w:rFonts w:eastAsia="Times New Roman"/>
                <w:lang w:eastAsia="lv-LV"/>
              </w:rPr>
            </w:pPr>
            <w:proofErr w:type="spellStart"/>
            <w:r>
              <w:rPr>
                <w:rFonts w:eastAsia="Times New Roman"/>
                <w:lang w:eastAsia="lv-LV"/>
              </w:rPr>
              <w:t>st</w:t>
            </w:r>
            <w:r w:rsidRPr="00AF32CE">
              <w:t>iprināt</w:t>
            </w:r>
            <w:proofErr w:type="spellEnd"/>
            <w:r w:rsidRPr="00AF32CE">
              <w:t xml:space="preserve"> </w:t>
            </w:r>
            <w:proofErr w:type="spellStart"/>
            <w:r w:rsidRPr="00AF32CE">
              <w:t>starptautisko</w:t>
            </w:r>
            <w:proofErr w:type="spellEnd"/>
            <w:r w:rsidRPr="00AF32CE">
              <w:t xml:space="preserve"> </w:t>
            </w:r>
            <w:proofErr w:type="spellStart"/>
            <w:r w:rsidRPr="00AF32CE">
              <w:t>sadarbību</w:t>
            </w:r>
            <w:proofErr w:type="spellEnd"/>
            <w:r w:rsidRPr="00AF32CE">
              <w:t xml:space="preserve"> </w:t>
            </w:r>
            <w:proofErr w:type="spellStart"/>
            <w:r w:rsidRPr="00AF32CE">
              <w:t>starp</w:t>
            </w:r>
            <w:proofErr w:type="spellEnd"/>
            <w:r w:rsidRPr="00AF32CE">
              <w:t xml:space="preserve"> </w:t>
            </w:r>
            <w:r w:rsidR="003A5978">
              <w:t>ES</w:t>
            </w:r>
            <w:r w:rsidR="003A5978" w:rsidRPr="00AF32CE">
              <w:t xml:space="preserve"> </w:t>
            </w:r>
            <w:proofErr w:type="spellStart"/>
            <w:r w:rsidRPr="00AF32CE">
              <w:t>dalībvalstīm</w:t>
            </w:r>
            <w:proofErr w:type="spellEnd"/>
            <w:r w:rsidRPr="00AF32CE">
              <w:t xml:space="preserve"> un </w:t>
            </w:r>
            <w:proofErr w:type="spellStart"/>
            <w:r w:rsidRPr="00AF32CE">
              <w:t>trešajām</w:t>
            </w:r>
            <w:proofErr w:type="spellEnd"/>
            <w:r w:rsidRPr="00AF32CE">
              <w:t xml:space="preserve"> </w:t>
            </w:r>
            <w:proofErr w:type="spellStart"/>
            <w:r w:rsidRPr="00AF32CE">
              <w:t>pusēm</w:t>
            </w:r>
            <w:proofErr w:type="spellEnd"/>
            <w:r w:rsidRPr="00AF32CE">
              <w:t xml:space="preserve">, kuru </w:t>
            </w:r>
            <w:proofErr w:type="spellStart"/>
            <w:r w:rsidRPr="00AF32CE">
              <w:t>mērķis</w:t>
            </w:r>
            <w:proofErr w:type="spellEnd"/>
            <w:r w:rsidRPr="00AF32CE">
              <w:t xml:space="preserve"> </w:t>
            </w:r>
            <w:proofErr w:type="spellStart"/>
            <w:r w:rsidRPr="00AF32CE">
              <w:t>ir</w:t>
            </w:r>
            <w:proofErr w:type="spellEnd"/>
            <w:r w:rsidRPr="00AF32CE">
              <w:t xml:space="preserve"> </w:t>
            </w:r>
            <w:proofErr w:type="spellStart"/>
            <w:r w:rsidRPr="00AF32CE">
              <w:t>augsta</w:t>
            </w:r>
            <w:proofErr w:type="spellEnd"/>
            <w:r w:rsidRPr="00AF32CE">
              <w:t xml:space="preserve"> </w:t>
            </w:r>
            <w:proofErr w:type="spellStart"/>
            <w:r w:rsidRPr="00AF32CE">
              <w:t>riska</w:t>
            </w:r>
            <w:proofErr w:type="spellEnd"/>
            <w:r w:rsidRPr="00AF32CE">
              <w:t xml:space="preserve"> </w:t>
            </w:r>
            <w:proofErr w:type="spellStart"/>
            <w:r w:rsidRPr="00AF32CE">
              <w:t>noziedznieku</w:t>
            </w:r>
            <w:proofErr w:type="spellEnd"/>
            <w:r w:rsidRPr="00AF32CE">
              <w:t xml:space="preserve"> </w:t>
            </w:r>
            <w:proofErr w:type="spellStart"/>
            <w:r w:rsidRPr="00AF32CE">
              <w:t>tīklu</w:t>
            </w:r>
            <w:proofErr w:type="spellEnd"/>
            <w:r w:rsidRPr="00AF32CE">
              <w:t xml:space="preserve"> </w:t>
            </w:r>
            <w:proofErr w:type="spellStart"/>
            <w:r w:rsidRPr="00AF32CE">
              <w:t>atklāšana</w:t>
            </w:r>
            <w:proofErr w:type="spellEnd"/>
            <w:r w:rsidR="00844529">
              <w:t>;</w:t>
            </w:r>
          </w:p>
          <w:p w14:paraId="74946C90" w14:textId="2391AC60" w:rsidR="009339B0" w:rsidRDefault="009339B0" w:rsidP="00F248DA">
            <w:pPr>
              <w:pStyle w:val="ListParagraph"/>
              <w:numPr>
                <w:ilvl w:val="0"/>
                <w:numId w:val="40"/>
              </w:numPr>
              <w:rPr>
                <w:rFonts w:eastAsia="Times New Roman"/>
                <w:lang w:eastAsia="lv-LV"/>
              </w:rPr>
            </w:pPr>
            <w:proofErr w:type="spellStart"/>
            <w:r>
              <w:rPr>
                <w:rFonts w:eastAsia="Times New Roman"/>
                <w:lang w:eastAsia="lv-LV"/>
              </w:rPr>
              <w:t>uzlabot</w:t>
            </w:r>
            <w:proofErr w:type="spellEnd"/>
            <w:r>
              <w:rPr>
                <w:rFonts w:eastAsia="Times New Roman"/>
                <w:lang w:eastAsia="lv-LV"/>
              </w:rPr>
              <w:t xml:space="preserve"> V</w:t>
            </w:r>
            <w:r w:rsidR="003B5C2B">
              <w:rPr>
                <w:rFonts w:eastAsia="Times New Roman"/>
                <w:lang w:eastAsia="lv-LV"/>
              </w:rPr>
              <w:t xml:space="preserve">P </w:t>
            </w:r>
            <w:proofErr w:type="spellStart"/>
            <w:r>
              <w:rPr>
                <w:rFonts w:eastAsia="Times New Roman"/>
                <w:lang w:eastAsia="lv-LV"/>
              </w:rPr>
              <w:t>spējas</w:t>
            </w:r>
            <w:proofErr w:type="spellEnd"/>
            <w:r>
              <w:rPr>
                <w:rFonts w:eastAsia="Times New Roman"/>
                <w:lang w:eastAsia="lv-LV"/>
              </w:rPr>
              <w:t xml:space="preserve"> </w:t>
            </w:r>
            <w:proofErr w:type="spellStart"/>
            <w:r w:rsidRPr="00D3048C">
              <w:rPr>
                <w:rFonts w:eastAsia="Times New Roman"/>
                <w:lang w:eastAsia="lv-LV"/>
              </w:rPr>
              <w:t>novērst</w:t>
            </w:r>
            <w:proofErr w:type="spellEnd"/>
            <w:r w:rsidRPr="00D3048C">
              <w:rPr>
                <w:rFonts w:eastAsia="Times New Roman"/>
                <w:lang w:eastAsia="lv-LV"/>
              </w:rPr>
              <w:t xml:space="preserve"> un </w:t>
            </w:r>
            <w:proofErr w:type="spellStart"/>
            <w:r w:rsidRPr="00D3048C">
              <w:rPr>
                <w:rFonts w:eastAsia="Times New Roman"/>
                <w:lang w:eastAsia="lv-LV"/>
              </w:rPr>
              <w:t>atklāt</w:t>
            </w:r>
            <w:proofErr w:type="spellEnd"/>
            <w:r w:rsidRPr="00D3048C">
              <w:rPr>
                <w:rFonts w:eastAsia="Times New Roman"/>
                <w:lang w:eastAsia="lv-LV"/>
              </w:rPr>
              <w:t xml:space="preserve"> </w:t>
            </w:r>
            <w:proofErr w:type="spellStart"/>
            <w:r w:rsidRPr="00D3048C">
              <w:rPr>
                <w:rFonts w:eastAsia="Times New Roman"/>
                <w:lang w:eastAsia="lv-LV"/>
              </w:rPr>
              <w:t>organizēto</w:t>
            </w:r>
            <w:proofErr w:type="spellEnd"/>
            <w:r w:rsidRPr="00D3048C">
              <w:rPr>
                <w:rFonts w:eastAsia="Times New Roman"/>
                <w:lang w:eastAsia="lv-LV"/>
              </w:rPr>
              <w:t xml:space="preserve"> </w:t>
            </w:r>
            <w:proofErr w:type="spellStart"/>
            <w:r w:rsidRPr="00D3048C">
              <w:rPr>
                <w:rFonts w:eastAsia="Times New Roman"/>
                <w:lang w:eastAsia="lv-LV"/>
              </w:rPr>
              <w:t>noziedzīgo</w:t>
            </w:r>
            <w:proofErr w:type="spellEnd"/>
            <w:r w:rsidRPr="00D3048C">
              <w:rPr>
                <w:rFonts w:eastAsia="Times New Roman"/>
                <w:lang w:eastAsia="lv-LV"/>
              </w:rPr>
              <w:t xml:space="preserve"> </w:t>
            </w:r>
            <w:proofErr w:type="spellStart"/>
            <w:r w:rsidRPr="00D3048C">
              <w:rPr>
                <w:rFonts w:eastAsia="Times New Roman"/>
                <w:lang w:eastAsia="lv-LV"/>
              </w:rPr>
              <w:t>grupu</w:t>
            </w:r>
            <w:proofErr w:type="spellEnd"/>
            <w:r w:rsidRPr="00D3048C">
              <w:rPr>
                <w:rFonts w:eastAsia="Times New Roman"/>
                <w:lang w:eastAsia="lv-LV"/>
              </w:rPr>
              <w:t xml:space="preserve"> </w:t>
            </w:r>
            <w:proofErr w:type="spellStart"/>
            <w:r w:rsidRPr="00D3048C">
              <w:rPr>
                <w:rFonts w:eastAsia="Times New Roman"/>
                <w:lang w:eastAsia="lv-LV"/>
              </w:rPr>
              <w:t>izdarītos</w:t>
            </w:r>
            <w:proofErr w:type="spellEnd"/>
            <w:r w:rsidRPr="00D3048C">
              <w:rPr>
                <w:rFonts w:eastAsia="Times New Roman"/>
                <w:lang w:eastAsia="lv-LV"/>
              </w:rPr>
              <w:t xml:space="preserve"> </w:t>
            </w:r>
            <w:proofErr w:type="spellStart"/>
            <w:r w:rsidRPr="00D3048C">
              <w:rPr>
                <w:rFonts w:eastAsia="Times New Roman"/>
                <w:lang w:eastAsia="lv-LV"/>
              </w:rPr>
              <w:t>noziegumus</w:t>
            </w:r>
            <w:proofErr w:type="spellEnd"/>
            <w:r w:rsidR="00844529">
              <w:rPr>
                <w:rFonts w:eastAsia="Times New Roman"/>
                <w:lang w:eastAsia="lv-LV"/>
              </w:rPr>
              <w:t>;</w:t>
            </w:r>
          </w:p>
          <w:p w14:paraId="14E325E1" w14:textId="5B7F35F6" w:rsidR="009339B0" w:rsidRPr="00551AC6" w:rsidRDefault="009339B0" w:rsidP="00F248DA">
            <w:pPr>
              <w:pStyle w:val="ListParagraph"/>
              <w:numPr>
                <w:ilvl w:val="0"/>
                <w:numId w:val="40"/>
              </w:numPr>
              <w:rPr>
                <w:rFonts w:eastAsia="Times New Roman"/>
                <w:lang w:eastAsia="lv-LV"/>
              </w:rPr>
            </w:pPr>
            <w:proofErr w:type="spellStart"/>
            <w:r w:rsidRPr="009339B0">
              <w:rPr>
                <w:rFonts w:eastAsia="Times New Roman"/>
                <w:lang w:eastAsia="lv-LV"/>
              </w:rPr>
              <w:t>aprīkot</w:t>
            </w:r>
            <w:proofErr w:type="spellEnd"/>
            <w:r w:rsidRPr="009339B0">
              <w:rPr>
                <w:rFonts w:eastAsia="Times New Roman"/>
                <w:lang w:eastAsia="lv-LV"/>
              </w:rPr>
              <w:t xml:space="preserve"> </w:t>
            </w:r>
            <w:proofErr w:type="spellStart"/>
            <w:r w:rsidRPr="009339B0">
              <w:rPr>
                <w:rFonts w:eastAsia="Times New Roman"/>
                <w:lang w:eastAsia="lv-LV"/>
              </w:rPr>
              <w:t>noziedzīgos</w:t>
            </w:r>
            <w:proofErr w:type="spellEnd"/>
            <w:r w:rsidRPr="009339B0">
              <w:rPr>
                <w:rFonts w:eastAsia="Times New Roman"/>
                <w:lang w:eastAsia="lv-LV"/>
              </w:rPr>
              <w:t xml:space="preserve"> </w:t>
            </w:r>
            <w:proofErr w:type="spellStart"/>
            <w:r w:rsidRPr="009339B0">
              <w:rPr>
                <w:rFonts w:eastAsia="Times New Roman"/>
                <w:lang w:eastAsia="lv-LV"/>
              </w:rPr>
              <w:t>nodarījumos</w:t>
            </w:r>
            <w:proofErr w:type="spellEnd"/>
            <w:r w:rsidRPr="009339B0">
              <w:rPr>
                <w:rFonts w:eastAsia="Times New Roman"/>
                <w:lang w:eastAsia="lv-LV"/>
              </w:rPr>
              <w:t xml:space="preserve"> </w:t>
            </w:r>
            <w:proofErr w:type="spellStart"/>
            <w:r w:rsidRPr="009339B0">
              <w:rPr>
                <w:rFonts w:eastAsia="Times New Roman"/>
                <w:lang w:eastAsia="lv-LV"/>
              </w:rPr>
              <w:t>cietušo</w:t>
            </w:r>
            <w:proofErr w:type="spellEnd"/>
            <w:r w:rsidRPr="009339B0">
              <w:rPr>
                <w:rFonts w:eastAsia="Times New Roman"/>
                <w:lang w:eastAsia="lv-LV"/>
              </w:rPr>
              <w:t xml:space="preserve"> </w:t>
            </w:r>
            <w:proofErr w:type="spellStart"/>
            <w:r w:rsidRPr="009339B0">
              <w:rPr>
                <w:rFonts w:eastAsia="Times New Roman"/>
                <w:lang w:eastAsia="lv-LV"/>
              </w:rPr>
              <w:t>nepilngadīgo</w:t>
            </w:r>
            <w:proofErr w:type="spellEnd"/>
            <w:r w:rsidRPr="009339B0">
              <w:rPr>
                <w:rFonts w:eastAsia="Times New Roman"/>
                <w:lang w:eastAsia="lv-LV"/>
              </w:rPr>
              <w:t xml:space="preserve"> un </w:t>
            </w:r>
            <w:proofErr w:type="spellStart"/>
            <w:r w:rsidRPr="009339B0">
              <w:rPr>
                <w:rFonts w:eastAsia="Times New Roman"/>
                <w:lang w:eastAsia="lv-LV"/>
              </w:rPr>
              <w:t>īpaši</w:t>
            </w:r>
            <w:proofErr w:type="spellEnd"/>
            <w:r w:rsidRPr="009339B0">
              <w:rPr>
                <w:rFonts w:eastAsia="Times New Roman"/>
                <w:lang w:eastAsia="lv-LV"/>
              </w:rPr>
              <w:t xml:space="preserve"> </w:t>
            </w:r>
            <w:proofErr w:type="spellStart"/>
            <w:r w:rsidRPr="009339B0">
              <w:rPr>
                <w:rFonts w:eastAsia="Times New Roman"/>
                <w:lang w:eastAsia="lv-LV"/>
              </w:rPr>
              <w:t>aizsargājamo</w:t>
            </w:r>
            <w:proofErr w:type="spellEnd"/>
            <w:r w:rsidRPr="009339B0">
              <w:rPr>
                <w:rFonts w:eastAsia="Times New Roman"/>
                <w:lang w:eastAsia="lv-LV"/>
              </w:rPr>
              <w:t xml:space="preserve"> </w:t>
            </w:r>
            <w:proofErr w:type="spellStart"/>
            <w:r w:rsidRPr="009339B0">
              <w:rPr>
                <w:rFonts w:eastAsia="Times New Roman"/>
                <w:lang w:eastAsia="lv-LV"/>
              </w:rPr>
              <w:t>personu</w:t>
            </w:r>
            <w:proofErr w:type="spellEnd"/>
            <w:r w:rsidRPr="009339B0">
              <w:rPr>
                <w:rFonts w:eastAsia="Times New Roman"/>
                <w:lang w:eastAsia="lv-LV"/>
              </w:rPr>
              <w:t xml:space="preserve"> </w:t>
            </w:r>
            <w:proofErr w:type="spellStart"/>
            <w:r w:rsidRPr="009339B0">
              <w:rPr>
                <w:rFonts w:eastAsia="Times New Roman"/>
                <w:lang w:eastAsia="lv-LV"/>
              </w:rPr>
              <w:t>pratināšanas</w:t>
            </w:r>
            <w:proofErr w:type="spellEnd"/>
            <w:r w:rsidRPr="009339B0">
              <w:rPr>
                <w:rFonts w:eastAsia="Times New Roman"/>
                <w:lang w:eastAsia="lv-LV"/>
              </w:rPr>
              <w:t xml:space="preserve"> </w:t>
            </w:r>
            <w:proofErr w:type="spellStart"/>
            <w:r w:rsidRPr="009339B0">
              <w:rPr>
                <w:rFonts w:eastAsia="Times New Roman"/>
                <w:lang w:eastAsia="lv-LV"/>
              </w:rPr>
              <w:t>telpas</w:t>
            </w:r>
            <w:proofErr w:type="spellEnd"/>
            <w:r w:rsidR="00844529">
              <w:rPr>
                <w:rFonts w:eastAsia="Times New Roman"/>
                <w:lang w:eastAsia="lv-LV"/>
              </w:rPr>
              <w:t>;</w:t>
            </w:r>
          </w:p>
          <w:p w14:paraId="5CA808FF" w14:textId="3F6652AF" w:rsidR="00577FFB" w:rsidRPr="00DB1D8E" w:rsidRDefault="009339B0" w:rsidP="00577FFB">
            <w:pPr>
              <w:pStyle w:val="ListParagraph"/>
              <w:numPr>
                <w:ilvl w:val="0"/>
                <w:numId w:val="40"/>
              </w:numPr>
              <w:rPr>
                <w:rFonts w:eastAsia="Times New Roman"/>
                <w:lang w:eastAsia="lv-LV"/>
              </w:rPr>
            </w:pPr>
            <w:proofErr w:type="spellStart"/>
            <w:r>
              <w:rPr>
                <w:rFonts w:eastAsia="Times New Roman"/>
                <w:lang w:eastAsia="lv-LV"/>
              </w:rPr>
              <w:t>paaugstināt</w:t>
            </w:r>
            <w:proofErr w:type="spellEnd"/>
            <w:r>
              <w:rPr>
                <w:rFonts w:eastAsia="Times New Roman"/>
                <w:lang w:eastAsia="lv-LV"/>
              </w:rPr>
              <w:t xml:space="preserve"> </w:t>
            </w:r>
            <w:r w:rsidRPr="00033B47">
              <w:rPr>
                <w:rFonts w:eastAsia="Times New Roman"/>
                <w:lang w:eastAsia="lv-LV"/>
              </w:rPr>
              <w:t>V</w:t>
            </w:r>
            <w:r w:rsidR="003B5C2B">
              <w:rPr>
                <w:rFonts w:eastAsia="Times New Roman"/>
                <w:lang w:eastAsia="lv-LV"/>
              </w:rPr>
              <w:t xml:space="preserve">P </w:t>
            </w:r>
            <w:proofErr w:type="spellStart"/>
            <w:r>
              <w:rPr>
                <w:rFonts w:eastAsia="Times New Roman"/>
                <w:lang w:eastAsia="lv-LV"/>
              </w:rPr>
              <w:t>pretterorisma</w:t>
            </w:r>
            <w:proofErr w:type="spellEnd"/>
            <w:r>
              <w:rPr>
                <w:rFonts w:eastAsia="Times New Roman"/>
                <w:lang w:eastAsia="lv-LV"/>
              </w:rPr>
              <w:t xml:space="preserve"> </w:t>
            </w:r>
            <w:proofErr w:type="spellStart"/>
            <w:r w:rsidRPr="00933752">
              <w:rPr>
                <w:rFonts w:eastAsia="Times New Roman"/>
                <w:lang w:eastAsia="lv-LV"/>
              </w:rPr>
              <w:t>efektivitāt</w:t>
            </w:r>
            <w:r>
              <w:rPr>
                <w:rFonts w:eastAsia="Times New Roman"/>
                <w:lang w:eastAsia="lv-LV"/>
              </w:rPr>
              <w:t>i</w:t>
            </w:r>
            <w:proofErr w:type="spellEnd"/>
            <w:r>
              <w:rPr>
                <w:rFonts w:eastAsia="Times New Roman"/>
                <w:lang w:eastAsia="lv-LV"/>
              </w:rPr>
              <w:t>.</w:t>
            </w:r>
          </w:p>
          <w:p w14:paraId="4ED8663E" w14:textId="1900284A" w:rsidR="00E028A8" w:rsidRPr="00F85E52" w:rsidRDefault="00E028A8" w:rsidP="00E028A8">
            <w:pPr>
              <w:pStyle w:val="Personnequisigne"/>
              <w:spacing w:before="240" w:after="120"/>
              <w:jc w:val="both"/>
              <w:rPr>
                <w:b/>
                <w:i w:val="0"/>
                <w:szCs w:val="24"/>
              </w:rPr>
            </w:pPr>
            <w:r w:rsidRPr="00F85E52">
              <w:rPr>
                <w:b/>
                <w:i w:val="0"/>
                <w:szCs w:val="24"/>
              </w:rPr>
              <w:t xml:space="preserve">b) </w:t>
            </w:r>
            <w:proofErr w:type="spellStart"/>
            <w:r w:rsidRPr="00F85E52">
              <w:rPr>
                <w:b/>
                <w:i w:val="0"/>
                <w:szCs w:val="24"/>
              </w:rPr>
              <w:t>Jau</w:t>
            </w:r>
            <w:r w:rsidR="00DB1D8E">
              <w:rPr>
                <w:b/>
                <w:i w:val="0"/>
                <w:szCs w:val="24"/>
              </w:rPr>
              <w:t>t</w:t>
            </w:r>
            <w:r w:rsidRPr="00F85E52">
              <w:rPr>
                <w:b/>
                <w:i w:val="0"/>
                <w:szCs w:val="24"/>
              </w:rPr>
              <w:t>ājumi</w:t>
            </w:r>
            <w:proofErr w:type="spellEnd"/>
            <w:r w:rsidRPr="00F85E52">
              <w:rPr>
                <w:b/>
                <w:i w:val="0"/>
                <w:szCs w:val="24"/>
              </w:rPr>
              <w:t xml:space="preserve">, kas </w:t>
            </w:r>
            <w:proofErr w:type="spellStart"/>
            <w:r w:rsidRPr="00F85E52">
              <w:rPr>
                <w:b/>
                <w:i w:val="0"/>
                <w:szCs w:val="24"/>
              </w:rPr>
              <w:t>ietekmē</w:t>
            </w:r>
            <w:proofErr w:type="spellEnd"/>
            <w:r w:rsidRPr="00F85E52">
              <w:rPr>
                <w:b/>
                <w:i w:val="0"/>
                <w:szCs w:val="24"/>
              </w:rPr>
              <w:t xml:space="preserve"> </w:t>
            </w:r>
            <w:proofErr w:type="spellStart"/>
            <w:r w:rsidRPr="00F85E52">
              <w:rPr>
                <w:b/>
                <w:i w:val="0"/>
                <w:szCs w:val="24"/>
              </w:rPr>
              <w:t>programmas</w:t>
            </w:r>
            <w:proofErr w:type="spellEnd"/>
            <w:r w:rsidRPr="00F85E52">
              <w:rPr>
                <w:b/>
                <w:i w:val="0"/>
                <w:szCs w:val="24"/>
              </w:rPr>
              <w:t xml:space="preserve"> </w:t>
            </w:r>
            <w:proofErr w:type="spellStart"/>
            <w:r w:rsidRPr="00F85E52">
              <w:rPr>
                <w:b/>
                <w:i w:val="0"/>
                <w:szCs w:val="24"/>
              </w:rPr>
              <w:t>sniegumu</w:t>
            </w:r>
            <w:proofErr w:type="spellEnd"/>
          </w:p>
          <w:p w14:paraId="5ED7252C" w14:textId="77777777" w:rsidR="00E028A8" w:rsidRPr="00BF392C" w:rsidRDefault="00E028A8" w:rsidP="00DB1D8E">
            <w:pPr>
              <w:pStyle w:val="Institutionquisigne"/>
              <w:spacing w:before="0"/>
              <w:ind w:firstLine="743"/>
              <w:rPr>
                <w:i w:val="0"/>
                <w:szCs w:val="24"/>
              </w:rPr>
            </w:pPr>
            <w:proofErr w:type="spellStart"/>
            <w:r w:rsidRPr="00BF392C">
              <w:rPr>
                <w:i w:val="0"/>
                <w:szCs w:val="24"/>
              </w:rPr>
              <w:t>Izaicinājumu</w:t>
            </w:r>
            <w:proofErr w:type="spellEnd"/>
            <w:r w:rsidRPr="00BF392C">
              <w:rPr>
                <w:i w:val="0"/>
                <w:szCs w:val="24"/>
              </w:rPr>
              <w:t xml:space="preserve"> </w:t>
            </w:r>
            <w:proofErr w:type="spellStart"/>
            <w:r w:rsidRPr="00BF392C">
              <w:rPr>
                <w:i w:val="0"/>
                <w:szCs w:val="24"/>
              </w:rPr>
              <w:t>grāmatvedības</w:t>
            </w:r>
            <w:proofErr w:type="spellEnd"/>
            <w:r>
              <w:rPr>
                <w:i w:val="0"/>
                <w:szCs w:val="24"/>
              </w:rPr>
              <w:t xml:space="preserve"> </w:t>
            </w:r>
            <w:proofErr w:type="spellStart"/>
            <w:r>
              <w:rPr>
                <w:i w:val="0"/>
                <w:szCs w:val="24"/>
              </w:rPr>
              <w:t>gada</w:t>
            </w:r>
            <w:proofErr w:type="spellEnd"/>
            <w:r w:rsidRPr="00BF392C">
              <w:rPr>
                <w:i w:val="0"/>
                <w:szCs w:val="24"/>
              </w:rPr>
              <w:t xml:space="preserve"> </w:t>
            </w:r>
            <w:proofErr w:type="spellStart"/>
            <w:r w:rsidRPr="00BF392C">
              <w:rPr>
                <w:i w:val="0"/>
                <w:szCs w:val="24"/>
              </w:rPr>
              <w:t>periodā</w:t>
            </w:r>
            <w:proofErr w:type="spellEnd"/>
            <w:r w:rsidRPr="00BF392C">
              <w:rPr>
                <w:i w:val="0"/>
                <w:szCs w:val="24"/>
              </w:rPr>
              <w:t xml:space="preserve"> </w:t>
            </w:r>
            <w:proofErr w:type="spellStart"/>
            <w:r w:rsidRPr="00BF392C">
              <w:rPr>
                <w:i w:val="0"/>
                <w:szCs w:val="24"/>
              </w:rPr>
              <w:t>radīja</w:t>
            </w:r>
            <w:proofErr w:type="spellEnd"/>
            <w:r w:rsidRPr="00BF392C">
              <w:rPr>
                <w:i w:val="0"/>
                <w:szCs w:val="24"/>
              </w:rPr>
              <w:t xml:space="preserve"> </w:t>
            </w:r>
            <w:r w:rsidRPr="00BF392C">
              <w:rPr>
                <w:i w:val="0"/>
              </w:rPr>
              <w:t xml:space="preserve">un </w:t>
            </w:r>
            <w:proofErr w:type="spellStart"/>
            <w:r w:rsidRPr="00BF392C">
              <w:rPr>
                <w:i w:val="0"/>
              </w:rPr>
              <w:t>programmas</w:t>
            </w:r>
            <w:proofErr w:type="spellEnd"/>
            <w:r w:rsidRPr="00BF392C">
              <w:rPr>
                <w:i w:val="0"/>
              </w:rPr>
              <w:t xml:space="preserve"> </w:t>
            </w:r>
            <w:proofErr w:type="spellStart"/>
            <w:r w:rsidRPr="00BF392C">
              <w:rPr>
                <w:i w:val="0"/>
              </w:rPr>
              <w:t>sniegumu</w:t>
            </w:r>
            <w:proofErr w:type="spellEnd"/>
            <w:r w:rsidRPr="00BF392C">
              <w:rPr>
                <w:i w:val="0"/>
              </w:rPr>
              <w:t xml:space="preserve"> </w:t>
            </w:r>
            <w:proofErr w:type="spellStart"/>
            <w:r w:rsidRPr="00BF392C">
              <w:rPr>
                <w:i w:val="0"/>
              </w:rPr>
              <w:t>potenciāli</w:t>
            </w:r>
            <w:proofErr w:type="spellEnd"/>
            <w:r w:rsidRPr="00BF392C">
              <w:rPr>
                <w:i w:val="0"/>
              </w:rPr>
              <w:t xml:space="preserve"> </w:t>
            </w:r>
            <w:proofErr w:type="spellStart"/>
            <w:r w:rsidRPr="00BF392C">
              <w:rPr>
                <w:i w:val="0"/>
              </w:rPr>
              <w:t>ietekmēja</w:t>
            </w:r>
            <w:proofErr w:type="spellEnd"/>
            <w:r w:rsidRPr="00BF392C">
              <w:rPr>
                <w:i w:val="0"/>
                <w:szCs w:val="24"/>
              </w:rPr>
              <w:t>:</w:t>
            </w:r>
          </w:p>
          <w:p w14:paraId="7EBA0237" w14:textId="09139FD2" w:rsidR="00E028A8" w:rsidRPr="00BF392C" w:rsidRDefault="00E028A8" w:rsidP="00F248DA">
            <w:pPr>
              <w:pStyle w:val="Institutionquisigne"/>
              <w:numPr>
                <w:ilvl w:val="0"/>
                <w:numId w:val="40"/>
              </w:numPr>
              <w:spacing w:before="0"/>
              <w:rPr>
                <w:i w:val="0"/>
                <w:szCs w:val="24"/>
              </w:rPr>
            </w:pPr>
            <w:proofErr w:type="spellStart"/>
            <w:r w:rsidRPr="00BF392C">
              <w:rPr>
                <w:i w:val="0"/>
                <w:szCs w:val="24"/>
              </w:rPr>
              <w:t>programmas</w:t>
            </w:r>
            <w:proofErr w:type="spellEnd"/>
            <w:r w:rsidRPr="00BF392C">
              <w:rPr>
                <w:i w:val="0"/>
                <w:szCs w:val="24"/>
              </w:rPr>
              <w:t xml:space="preserve"> </w:t>
            </w:r>
            <w:proofErr w:type="spellStart"/>
            <w:r w:rsidRPr="00BF392C">
              <w:rPr>
                <w:i w:val="0"/>
                <w:szCs w:val="24"/>
              </w:rPr>
              <w:t>rādītāju</w:t>
            </w:r>
            <w:proofErr w:type="spellEnd"/>
            <w:r w:rsidRPr="00BF392C">
              <w:rPr>
                <w:i w:val="0"/>
                <w:szCs w:val="24"/>
              </w:rPr>
              <w:t xml:space="preserve"> </w:t>
            </w:r>
            <w:proofErr w:type="spellStart"/>
            <w:r w:rsidRPr="00BF392C">
              <w:rPr>
                <w:i w:val="0"/>
                <w:szCs w:val="24"/>
              </w:rPr>
              <w:t>metodoloģijas</w:t>
            </w:r>
            <w:proofErr w:type="spellEnd"/>
            <w:r w:rsidRPr="00BF392C">
              <w:rPr>
                <w:i w:val="0"/>
                <w:szCs w:val="24"/>
              </w:rPr>
              <w:t xml:space="preserve"> </w:t>
            </w:r>
            <w:proofErr w:type="spellStart"/>
            <w:r w:rsidRPr="00BF392C">
              <w:rPr>
                <w:i w:val="0"/>
                <w:szCs w:val="24"/>
              </w:rPr>
              <w:t>izstrāde</w:t>
            </w:r>
            <w:proofErr w:type="spellEnd"/>
            <w:r w:rsidRPr="00BF392C">
              <w:rPr>
                <w:i w:val="0"/>
                <w:szCs w:val="24"/>
              </w:rPr>
              <w:t xml:space="preserve">, </w:t>
            </w:r>
            <w:proofErr w:type="spellStart"/>
            <w:r w:rsidRPr="00BF392C">
              <w:rPr>
                <w:i w:val="0"/>
                <w:szCs w:val="24"/>
              </w:rPr>
              <w:t>ņemot</w:t>
            </w:r>
            <w:proofErr w:type="spellEnd"/>
            <w:r w:rsidRPr="00BF392C">
              <w:rPr>
                <w:i w:val="0"/>
                <w:szCs w:val="24"/>
              </w:rPr>
              <w:t xml:space="preserve"> </w:t>
            </w:r>
            <w:proofErr w:type="spellStart"/>
            <w:r w:rsidRPr="00BF392C">
              <w:rPr>
                <w:i w:val="0"/>
                <w:szCs w:val="24"/>
              </w:rPr>
              <w:t>vērā</w:t>
            </w:r>
            <w:proofErr w:type="spellEnd"/>
            <w:r w:rsidRPr="00BF392C">
              <w:rPr>
                <w:i w:val="0"/>
                <w:szCs w:val="24"/>
              </w:rPr>
              <w:t xml:space="preserve"> </w:t>
            </w:r>
            <w:proofErr w:type="spellStart"/>
            <w:r w:rsidRPr="00BF392C">
              <w:rPr>
                <w:i w:val="0"/>
                <w:szCs w:val="24"/>
              </w:rPr>
              <w:t>pieaugošo</w:t>
            </w:r>
            <w:proofErr w:type="spellEnd"/>
            <w:r w:rsidRPr="00BF392C">
              <w:rPr>
                <w:i w:val="0"/>
                <w:szCs w:val="24"/>
              </w:rPr>
              <w:t xml:space="preserve"> </w:t>
            </w:r>
            <w:proofErr w:type="spellStart"/>
            <w:r w:rsidRPr="00BF392C">
              <w:rPr>
                <w:i w:val="0"/>
                <w:szCs w:val="24"/>
              </w:rPr>
              <w:t>informācijas</w:t>
            </w:r>
            <w:proofErr w:type="spellEnd"/>
            <w:r w:rsidRPr="00BF392C">
              <w:rPr>
                <w:i w:val="0"/>
                <w:szCs w:val="24"/>
              </w:rPr>
              <w:t xml:space="preserve"> </w:t>
            </w:r>
            <w:proofErr w:type="spellStart"/>
            <w:r w:rsidRPr="00BF392C">
              <w:rPr>
                <w:i w:val="0"/>
                <w:szCs w:val="24"/>
              </w:rPr>
              <w:t>detalizāciju</w:t>
            </w:r>
            <w:proofErr w:type="spellEnd"/>
            <w:r w:rsidRPr="00BF392C">
              <w:rPr>
                <w:i w:val="0"/>
                <w:szCs w:val="24"/>
              </w:rPr>
              <w:t xml:space="preserve">, </w:t>
            </w:r>
            <w:proofErr w:type="spellStart"/>
            <w:r w:rsidRPr="00BF392C">
              <w:rPr>
                <w:i w:val="0"/>
                <w:szCs w:val="24"/>
              </w:rPr>
              <w:t>salīdzinot</w:t>
            </w:r>
            <w:proofErr w:type="spellEnd"/>
            <w:r w:rsidRPr="00BF392C">
              <w:rPr>
                <w:i w:val="0"/>
                <w:szCs w:val="24"/>
              </w:rPr>
              <w:t xml:space="preserve"> </w:t>
            </w:r>
            <w:proofErr w:type="spellStart"/>
            <w:r w:rsidRPr="00BF392C">
              <w:rPr>
                <w:i w:val="0"/>
                <w:szCs w:val="24"/>
              </w:rPr>
              <w:t>ar</w:t>
            </w:r>
            <w:proofErr w:type="spellEnd"/>
            <w:r w:rsidRPr="00BF392C">
              <w:rPr>
                <w:i w:val="0"/>
                <w:szCs w:val="24"/>
              </w:rPr>
              <w:t xml:space="preserve"> </w:t>
            </w:r>
            <w:proofErr w:type="spellStart"/>
            <w:r w:rsidRPr="00BF392C">
              <w:rPr>
                <w:i w:val="0"/>
                <w:szCs w:val="24"/>
              </w:rPr>
              <w:t>iepriekšējo</w:t>
            </w:r>
            <w:proofErr w:type="spellEnd"/>
            <w:r w:rsidRPr="00BF392C">
              <w:rPr>
                <w:i w:val="0"/>
                <w:szCs w:val="24"/>
              </w:rPr>
              <w:t xml:space="preserve"> </w:t>
            </w:r>
            <w:r>
              <w:rPr>
                <w:i w:val="0"/>
                <w:szCs w:val="24"/>
              </w:rPr>
              <w:t>ES</w:t>
            </w:r>
            <w:r w:rsidRPr="00BF392C">
              <w:rPr>
                <w:i w:val="0"/>
                <w:szCs w:val="24"/>
              </w:rPr>
              <w:t xml:space="preserve"> </w:t>
            </w:r>
            <w:proofErr w:type="spellStart"/>
            <w:r w:rsidRPr="00BF392C">
              <w:rPr>
                <w:i w:val="0"/>
                <w:szCs w:val="24"/>
              </w:rPr>
              <w:t>plānošanas</w:t>
            </w:r>
            <w:proofErr w:type="spellEnd"/>
            <w:r w:rsidRPr="00BF392C">
              <w:rPr>
                <w:i w:val="0"/>
                <w:szCs w:val="24"/>
              </w:rPr>
              <w:t xml:space="preserve"> </w:t>
            </w:r>
            <w:proofErr w:type="spellStart"/>
            <w:r w:rsidR="009176E4">
              <w:rPr>
                <w:i w:val="0"/>
                <w:szCs w:val="24"/>
              </w:rPr>
              <w:t>periodu</w:t>
            </w:r>
            <w:proofErr w:type="spellEnd"/>
            <w:r w:rsidR="009176E4">
              <w:rPr>
                <w:i w:val="0"/>
                <w:szCs w:val="24"/>
              </w:rPr>
              <w:t>;</w:t>
            </w:r>
          </w:p>
          <w:p w14:paraId="40F3F423" w14:textId="2AEF6E3C" w:rsidR="00E028A8" w:rsidRPr="00BF392C" w:rsidRDefault="00E028A8" w:rsidP="00F248DA">
            <w:pPr>
              <w:pStyle w:val="Personnequisigne"/>
              <w:keepNext/>
              <w:numPr>
                <w:ilvl w:val="0"/>
                <w:numId w:val="40"/>
              </w:numPr>
              <w:jc w:val="both"/>
              <w:rPr>
                <w:i w:val="0"/>
                <w:szCs w:val="24"/>
              </w:rPr>
            </w:pPr>
            <w:proofErr w:type="spellStart"/>
            <w:r w:rsidRPr="00BF392C">
              <w:rPr>
                <w:i w:val="0"/>
                <w:szCs w:val="24"/>
              </w:rPr>
              <w:t>programmas</w:t>
            </w:r>
            <w:proofErr w:type="spellEnd"/>
            <w:r w:rsidRPr="00BF392C">
              <w:rPr>
                <w:i w:val="0"/>
                <w:szCs w:val="24"/>
              </w:rPr>
              <w:t xml:space="preserve"> </w:t>
            </w:r>
            <w:proofErr w:type="spellStart"/>
            <w:r w:rsidRPr="00BF392C">
              <w:rPr>
                <w:i w:val="0"/>
                <w:szCs w:val="24"/>
              </w:rPr>
              <w:t>novēlota</w:t>
            </w:r>
            <w:proofErr w:type="spellEnd"/>
            <w:r w:rsidRPr="00BF392C">
              <w:rPr>
                <w:i w:val="0"/>
                <w:szCs w:val="24"/>
              </w:rPr>
              <w:t xml:space="preserve"> </w:t>
            </w:r>
            <w:proofErr w:type="spellStart"/>
            <w:r w:rsidRPr="00BF392C">
              <w:rPr>
                <w:i w:val="0"/>
                <w:szCs w:val="24"/>
              </w:rPr>
              <w:t>pieņemšana</w:t>
            </w:r>
            <w:proofErr w:type="spellEnd"/>
            <w:r w:rsidRPr="00BF392C">
              <w:rPr>
                <w:i w:val="0"/>
                <w:szCs w:val="24"/>
              </w:rPr>
              <w:t>, kas</w:t>
            </w:r>
            <w:r w:rsidR="009339B0">
              <w:rPr>
                <w:i w:val="0"/>
                <w:szCs w:val="24"/>
              </w:rPr>
              <w:t xml:space="preserve"> </w:t>
            </w:r>
            <w:proofErr w:type="spellStart"/>
            <w:r w:rsidRPr="00BF392C">
              <w:rPr>
                <w:i w:val="0"/>
                <w:szCs w:val="24"/>
              </w:rPr>
              <w:t>kavēja</w:t>
            </w:r>
            <w:proofErr w:type="spellEnd"/>
            <w:r w:rsidRPr="00BF392C">
              <w:rPr>
                <w:i w:val="0"/>
                <w:szCs w:val="24"/>
              </w:rPr>
              <w:t xml:space="preserve"> </w:t>
            </w:r>
            <w:proofErr w:type="spellStart"/>
            <w:r w:rsidRPr="00BF392C">
              <w:rPr>
                <w:i w:val="0"/>
                <w:szCs w:val="24"/>
              </w:rPr>
              <w:t>programmas</w:t>
            </w:r>
            <w:proofErr w:type="spellEnd"/>
            <w:r w:rsidRPr="00BF392C">
              <w:rPr>
                <w:i w:val="0"/>
                <w:szCs w:val="24"/>
              </w:rPr>
              <w:t xml:space="preserve"> </w:t>
            </w:r>
            <w:proofErr w:type="spellStart"/>
            <w:r w:rsidRPr="00BF392C">
              <w:rPr>
                <w:i w:val="0"/>
                <w:szCs w:val="24"/>
              </w:rPr>
              <w:t>īstenošanu</w:t>
            </w:r>
            <w:proofErr w:type="spellEnd"/>
            <w:r w:rsidRPr="00BF392C">
              <w:rPr>
                <w:i w:val="0"/>
                <w:szCs w:val="24"/>
              </w:rPr>
              <w:t xml:space="preserve"> un </w:t>
            </w:r>
            <w:proofErr w:type="spellStart"/>
            <w:r w:rsidRPr="00BF392C">
              <w:rPr>
                <w:i w:val="0"/>
                <w:szCs w:val="24"/>
              </w:rPr>
              <w:t>projektu</w:t>
            </w:r>
            <w:proofErr w:type="spellEnd"/>
            <w:r w:rsidRPr="00BF392C">
              <w:rPr>
                <w:i w:val="0"/>
                <w:szCs w:val="24"/>
              </w:rPr>
              <w:t xml:space="preserve"> </w:t>
            </w:r>
            <w:proofErr w:type="spellStart"/>
            <w:r w:rsidRPr="00BF392C">
              <w:rPr>
                <w:i w:val="0"/>
                <w:szCs w:val="24"/>
              </w:rPr>
              <w:t>uzsākšanu</w:t>
            </w:r>
            <w:proofErr w:type="spellEnd"/>
            <w:r w:rsidRPr="00BF392C">
              <w:rPr>
                <w:i w:val="0"/>
                <w:szCs w:val="24"/>
              </w:rPr>
              <w:t xml:space="preserve">, </w:t>
            </w:r>
            <w:proofErr w:type="spellStart"/>
            <w:r w:rsidRPr="00BF392C">
              <w:rPr>
                <w:i w:val="0"/>
                <w:szCs w:val="24"/>
              </w:rPr>
              <w:t>tomēr</w:t>
            </w:r>
            <w:proofErr w:type="spellEnd"/>
            <w:r w:rsidRPr="00BF392C">
              <w:rPr>
                <w:i w:val="0"/>
                <w:szCs w:val="24"/>
              </w:rPr>
              <w:t xml:space="preserve"> </w:t>
            </w:r>
            <w:proofErr w:type="spellStart"/>
            <w:r w:rsidRPr="00BF392C">
              <w:rPr>
                <w:i w:val="0"/>
                <w:szCs w:val="24"/>
              </w:rPr>
              <w:t>atsevišķi</w:t>
            </w:r>
            <w:proofErr w:type="spellEnd"/>
            <w:r w:rsidRPr="00BF392C">
              <w:rPr>
                <w:i w:val="0"/>
                <w:szCs w:val="24"/>
              </w:rPr>
              <w:t xml:space="preserve"> </w:t>
            </w:r>
            <w:proofErr w:type="spellStart"/>
            <w:r w:rsidRPr="00BF392C">
              <w:rPr>
                <w:i w:val="0"/>
                <w:szCs w:val="24"/>
              </w:rPr>
              <w:t>projekti</w:t>
            </w:r>
            <w:proofErr w:type="spellEnd"/>
            <w:r w:rsidRPr="00BF392C">
              <w:rPr>
                <w:i w:val="0"/>
                <w:szCs w:val="24"/>
              </w:rPr>
              <w:t xml:space="preserve"> tika </w:t>
            </w:r>
            <w:proofErr w:type="spellStart"/>
            <w:r w:rsidRPr="00BF392C">
              <w:rPr>
                <w:i w:val="0"/>
                <w:szCs w:val="24"/>
              </w:rPr>
              <w:t>uzsākti</w:t>
            </w:r>
            <w:proofErr w:type="spellEnd"/>
            <w:r w:rsidRPr="00BF392C">
              <w:rPr>
                <w:i w:val="0"/>
                <w:szCs w:val="24"/>
              </w:rPr>
              <w:t xml:space="preserve"> </w:t>
            </w:r>
            <w:proofErr w:type="spellStart"/>
            <w:r w:rsidRPr="00BF392C">
              <w:rPr>
                <w:i w:val="0"/>
                <w:szCs w:val="24"/>
              </w:rPr>
              <w:t>pirms</w:t>
            </w:r>
            <w:proofErr w:type="spellEnd"/>
            <w:r w:rsidRPr="00BF392C">
              <w:rPr>
                <w:i w:val="0"/>
                <w:szCs w:val="24"/>
              </w:rPr>
              <w:t xml:space="preserve"> </w:t>
            </w:r>
            <w:proofErr w:type="spellStart"/>
            <w:r w:rsidRPr="00BF392C">
              <w:rPr>
                <w:i w:val="0"/>
                <w:szCs w:val="24"/>
              </w:rPr>
              <w:t>vienošanās</w:t>
            </w:r>
            <w:proofErr w:type="spellEnd"/>
            <w:r w:rsidRPr="00BF392C">
              <w:rPr>
                <w:i w:val="0"/>
                <w:szCs w:val="24"/>
              </w:rPr>
              <w:t xml:space="preserve"> par </w:t>
            </w:r>
            <w:proofErr w:type="spellStart"/>
            <w:r w:rsidRPr="00BF392C">
              <w:rPr>
                <w:i w:val="0"/>
                <w:szCs w:val="24"/>
              </w:rPr>
              <w:t>projektu</w:t>
            </w:r>
            <w:proofErr w:type="spellEnd"/>
            <w:r w:rsidRPr="00BF392C">
              <w:rPr>
                <w:i w:val="0"/>
                <w:szCs w:val="24"/>
              </w:rPr>
              <w:t xml:space="preserve"> </w:t>
            </w:r>
            <w:proofErr w:type="spellStart"/>
            <w:r w:rsidRPr="00BF392C">
              <w:rPr>
                <w:i w:val="0"/>
                <w:szCs w:val="24"/>
              </w:rPr>
              <w:t>īstenošanu</w:t>
            </w:r>
            <w:proofErr w:type="spellEnd"/>
            <w:r w:rsidRPr="00BF392C">
              <w:rPr>
                <w:i w:val="0"/>
                <w:szCs w:val="24"/>
              </w:rPr>
              <w:t xml:space="preserve"> </w:t>
            </w:r>
            <w:proofErr w:type="spellStart"/>
            <w:r w:rsidRPr="00BF392C">
              <w:rPr>
                <w:i w:val="0"/>
                <w:szCs w:val="24"/>
              </w:rPr>
              <w:t>noslēgšanas</w:t>
            </w:r>
            <w:proofErr w:type="spellEnd"/>
            <w:r w:rsidRPr="00BF392C">
              <w:rPr>
                <w:i w:val="0"/>
                <w:szCs w:val="24"/>
              </w:rPr>
              <w:t xml:space="preserve">, </w:t>
            </w:r>
            <w:proofErr w:type="spellStart"/>
            <w:r w:rsidRPr="00BF392C">
              <w:rPr>
                <w:i w:val="0"/>
                <w:szCs w:val="24"/>
              </w:rPr>
              <w:t>vēlāk</w:t>
            </w:r>
            <w:proofErr w:type="spellEnd"/>
            <w:r w:rsidRPr="00BF392C">
              <w:rPr>
                <w:i w:val="0"/>
                <w:szCs w:val="24"/>
              </w:rPr>
              <w:t xml:space="preserve"> </w:t>
            </w:r>
            <w:proofErr w:type="spellStart"/>
            <w:r w:rsidRPr="00BF392C">
              <w:rPr>
                <w:i w:val="0"/>
                <w:szCs w:val="24"/>
              </w:rPr>
              <w:t>attiecinot</w:t>
            </w:r>
            <w:proofErr w:type="spellEnd"/>
            <w:r w:rsidRPr="00BF392C">
              <w:rPr>
                <w:i w:val="0"/>
                <w:szCs w:val="24"/>
              </w:rPr>
              <w:t xml:space="preserve"> </w:t>
            </w:r>
            <w:proofErr w:type="spellStart"/>
            <w:r w:rsidRPr="00BF392C">
              <w:rPr>
                <w:i w:val="0"/>
                <w:szCs w:val="24"/>
              </w:rPr>
              <w:t>jau</w:t>
            </w:r>
            <w:proofErr w:type="spellEnd"/>
            <w:r w:rsidRPr="00BF392C">
              <w:rPr>
                <w:i w:val="0"/>
                <w:szCs w:val="24"/>
              </w:rPr>
              <w:t xml:space="preserve"> </w:t>
            </w:r>
            <w:proofErr w:type="spellStart"/>
            <w:r w:rsidRPr="00BF392C">
              <w:rPr>
                <w:i w:val="0"/>
                <w:szCs w:val="24"/>
              </w:rPr>
              <w:t>iepriekš</w:t>
            </w:r>
            <w:proofErr w:type="spellEnd"/>
            <w:r w:rsidRPr="00BF392C">
              <w:rPr>
                <w:i w:val="0"/>
                <w:szCs w:val="24"/>
              </w:rPr>
              <w:t xml:space="preserve"> </w:t>
            </w:r>
            <w:proofErr w:type="spellStart"/>
            <w:r w:rsidRPr="00BF392C">
              <w:rPr>
                <w:i w:val="0"/>
                <w:szCs w:val="24"/>
              </w:rPr>
              <w:t>veiktās</w:t>
            </w:r>
            <w:proofErr w:type="spellEnd"/>
            <w:r w:rsidRPr="00BF392C">
              <w:rPr>
                <w:i w:val="0"/>
                <w:szCs w:val="24"/>
              </w:rPr>
              <w:t xml:space="preserve"> </w:t>
            </w:r>
            <w:proofErr w:type="spellStart"/>
            <w:r w:rsidRPr="00BF392C">
              <w:rPr>
                <w:i w:val="0"/>
                <w:szCs w:val="24"/>
              </w:rPr>
              <w:t>izmaksas</w:t>
            </w:r>
            <w:proofErr w:type="spellEnd"/>
            <w:r w:rsidR="009339B0">
              <w:rPr>
                <w:i w:val="0"/>
                <w:szCs w:val="24"/>
              </w:rPr>
              <w:t>;</w:t>
            </w:r>
          </w:p>
          <w:p w14:paraId="69E9BBCD" w14:textId="1CFDC795" w:rsidR="00E028A8" w:rsidRDefault="00E028A8" w:rsidP="00F248DA">
            <w:pPr>
              <w:pStyle w:val="Personnequisigne"/>
              <w:keepNext/>
              <w:numPr>
                <w:ilvl w:val="0"/>
                <w:numId w:val="40"/>
              </w:numPr>
              <w:jc w:val="both"/>
              <w:rPr>
                <w:i w:val="0"/>
                <w:szCs w:val="24"/>
              </w:rPr>
            </w:pPr>
            <w:proofErr w:type="spellStart"/>
            <w:r w:rsidRPr="00BF392C">
              <w:rPr>
                <w:i w:val="0"/>
                <w:szCs w:val="24"/>
              </w:rPr>
              <w:t>iekšējo</w:t>
            </w:r>
            <w:proofErr w:type="spellEnd"/>
            <w:r w:rsidRPr="00BF392C">
              <w:rPr>
                <w:i w:val="0"/>
                <w:szCs w:val="24"/>
              </w:rPr>
              <w:t xml:space="preserve"> </w:t>
            </w:r>
            <w:proofErr w:type="spellStart"/>
            <w:r w:rsidRPr="00BF392C">
              <w:rPr>
                <w:i w:val="0"/>
                <w:szCs w:val="24"/>
              </w:rPr>
              <w:t>procedūru</w:t>
            </w:r>
            <w:proofErr w:type="spellEnd"/>
            <w:r w:rsidRPr="00BF392C">
              <w:rPr>
                <w:i w:val="0"/>
                <w:szCs w:val="24"/>
              </w:rPr>
              <w:t xml:space="preserve"> </w:t>
            </w:r>
            <w:proofErr w:type="spellStart"/>
            <w:r w:rsidRPr="00BF392C">
              <w:rPr>
                <w:i w:val="0"/>
                <w:szCs w:val="24"/>
              </w:rPr>
              <w:t>izstrādes</w:t>
            </w:r>
            <w:proofErr w:type="spellEnd"/>
            <w:r w:rsidRPr="00BF392C">
              <w:rPr>
                <w:i w:val="0"/>
                <w:szCs w:val="24"/>
              </w:rPr>
              <w:t xml:space="preserve"> </w:t>
            </w:r>
            <w:proofErr w:type="spellStart"/>
            <w:r w:rsidRPr="00BF392C">
              <w:rPr>
                <w:i w:val="0"/>
                <w:szCs w:val="24"/>
              </w:rPr>
              <w:t>aizkavēšanās</w:t>
            </w:r>
            <w:proofErr w:type="spellEnd"/>
            <w:r w:rsidRPr="00BF392C">
              <w:rPr>
                <w:i w:val="0"/>
                <w:szCs w:val="24"/>
              </w:rPr>
              <w:t xml:space="preserve">, kas </w:t>
            </w:r>
            <w:proofErr w:type="spellStart"/>
            <w:r w:rsidRPr="00BF392C">
              <w:rPr>
                <w:i w:val="0"/>
                <w:szCs w:val="24"/>
              </w:rPr>
              <w:t>ietekmēja</w:t>
            </w:r>
            <w:proofErr w:type="spellEnd"/>
            <w:r w:rsidRPr="00BF392C">
              <w:rPr>
                <w:i w:val="0"/>
                <w:szCs w:val="24"/>
              </w:rPr>
              <w:t xml:space="preserve"> </w:t>
            </w:r>
            <w:proofErr w:type="spellStart"/>
            <w:r w:rsidRPr="00BF392C">
              <w:rPr>
                <w:i w:val="0"/>
                <w:szCs w:val="24"/>
              </w:rPr>
              <w:t>programmas</w:t>
            </w:r>
            <w:proofErr w:type="spellEnd"/>
            <w:r w:rsidRPr="00BF392C">
              <w:rPr>
                <w:i w:val="0"/>
                <w:szCs w:val="24"/>
              </w:rPr>
              <w:t xml:space="preserve"> </w:t>
            </w:r>
            <w:proofErr w:type="spellStart"/>
            <w:r w:rsidRPr="00BF392C">
              <w:rPr>
                <w:i w:val="0"/>
                <w:szCs w:val="24"/>
              </w:rPr>
              <w:t>ieviešanas</w:t>
            </w:r>
            <w:proofErr w:type="spellEnd"/>
            <w:r w:rsidRPr="00BF392C">
              <w:rPr>
                <w:i w:val="0"/>
                <w:szCs w:val="24"/>
              </w:rPr>
              <w:t xml:space="preserve"> </w:t>
            </w:r>
            <w:proofErr w:type="spellStart"/>
            <w:r w:rsidRPr="00BF392C">
              <w:rPr>
                <w:i w:val="0"/>
                <w:szCs w:val="24"/>
              </w:rPr>
              <w:t>Pārvaldības</w:t>
            </w:r>
            <w:proofErr w:type="spellEnd"/>
            <w:r w:rsidRPr="00BF392C">
              <w:rPr>
                <w:i w:val="0"/>
                <w:szCs w:val="24"/>
              </w:rPr>
              <w:t xml:space="preserve"> un </w:t>
            </w:r>
            <w:proofErr w:type="spellStart"/>
            <w:r w:rsidRPr="00BF392C">
              <w:rPr>
                <w:i w:val="0"/>
                <w:szCs w:val="24"/>
              </w:rPr>
              <w:t>kontroles</w:t>
            </w:r>
            <w:proofErr w:type="spellEnd"/>
            <w:r w:rsidRPr="00BF392C">
              <w:rPr>
                <w:i w:val="0"/>
                <w:szCs w:val="24"/>
              </w:rPr>
              <w:t xml:space="preserve"> </w:t>
            </w:r>
            <w:proofErr w:type="spellStart"/>
            <w:r w:rsidRPr="00BF392C">
              <w:rPr>
                <w:i w:val="0"/>
                <w:szCs w:val="24"/>
              </w:rPr>
              <w:t>sist</w:t>
            </w:r>
            <w:r w:rsidR="00310640">
              <w:rPr>
                <w:i w:val="0"/>
                <w:szCs w:val="24"/>
              </w:rPr>
              <w:t>ē</w:t>
            </w:r>
            <w:r w:rsidRPr="00BF392C">
              <w:rPr>
                <w:i w:val="0"/>
                <w:szCs w:val="24"/>
              </w:rPr>
              <w:t>mas</w:t>
            </w:r>
            <w:proofErr w:type="spellEnd"/>
            <w:r w:rsidRPr="00BF392C">
              <w:rPr>
                <w:i w:val="0"/>
                <w:szCs w:val="24"/>
              </w:rPr>
              <w:t xml:space="preserve"> </w:t>
            </w:r>
            <w:proofErr w:type="spellStart"/>
            <w:r w:rsidRPr="00BF392C">
              <w:rPr>
                <w:i w:val="0"/>
                <w:szCs w:val="24"/>
              </w:rPr>
              <w:t>apraksta</w:t>
            </w:r>
            <w:proofErr w:type="spellEnd"/>
            <w:r w:rsidRPr="00BF392C">
              <w:rPr>
                <w:i w:val="0"/>
                <w:szCs w:val="24"/>
              </w:rPr>
              <w:t xml:space="preserve"> </w:t>
            </w:r>
            <w:proofErr w:type="spellStart"/>
            <w:r w:rsidRPr="00BF392C">
              <w:rPr>
                <w:i w:val="0"/>
                <w:szCs w:val="24"/>
              </w:rPr>
              <w:t>izstrādi</w:t>
            </w:r>
            <w:proofErr w:type="spellEnd"/>
            <w:r w:rsidRPr="00BF392C">
              <w:rPr>
                <w:i w:val="0"/>
                <w:szCs w:val="24"/>
              </w:rPr>
              <w:t xml:space="preserve"> un </w:t>
            </w:r>
            <w:proofErr w:type="spellStart"/>
            <w:r w:rsidRPr="00BF392C">
              <w:rPr>
                <w:i w:val="0"/>
                <w:szCs w:val="24"/>
              </w:rPr>
              <w:t>apstiprināšanu</w:t>
            </w:r>
            <w:proofErr w:type="spellEnd"/>
            <w:r w:rsidRPr="00BF392C">
              <w:rPr>
                <w:i w:val="0"/>
                <w:szCs w:val="24"/>
              </w:rPr>
              <w:t>;</w:t>
            </w:r>
          </w:p>
          <w:p w14:paraId="3A4A5D26" w14:textId="4DDB2E62" w:rsidR="00310640" w:rsidRPr="00310640" w:rsidRDefault="009339B0" w:rsidP="00310640">
            <w:pPr>
              <w:pStyle w:val="Personnequisigne"/>
              <w:keepNext/>
              <w:numPr>
                <w:ilvl w:val="0"/>
                <w:numId w:val="40"/>
              </w:numPr>
              <w:jc w:val="both"/>
              <w:rPr>
                <w:i w:val="0"/>
                <w:szCs w:val="24"/>
              </w:rPr>
            </w:pPr>
            <w:proofErr w:type="spellStart"/>
            <w:r w:rsidRPr="00310640">
              <w:rPr>
                <w:i w:val="0"/>
                <w:szCs w:val="24"/>
              </w:rPr>
              <w:t>inflācija</w:t>
            </w:r>
            <w:proofErr w:type="spellEnd"/>
            <w:r w:rsidR="00844529" w:rsidRPr="00310640">
              <w:rPr>
                <w:i w:val="0"/>
                <w:szCs w:val="24"/>
              </w:rPr>
              <w:t xml:space="preserve">, </w:t>
            </w:r>
            <w:proofErr w:type="spellStart"/>
            <w:r w:rsidR="00844529" w:rsidRPr="00310640">
              <w:rPr>
                <w:i w:val="0"/>
                <w:szCs w:val="24"/>
              </w:rPr>
              <w:t>kuras</w:t>
            </w:r>
            <w:proofErr w:type="spellEnd"/>
            <w:r w:rsidRPr="00310640">
              <w:rPr>
                <w:i w:val="0"/>
                <w:szCs w:val="24"/>
              </w:rPr>
              <w:t xml:space="preserve"> </w:t>
            </w:r>
            <w:proofErr w:type="spellStart"/>
            <w:r w:rsidRPr="00310640">
              <w:rPr>
                <w:i w:val="0"/>
                <w:szCs w:val="24"/>
              </w:rPr>
              <w:t>dē</w:t>
            </w:r>
            <w:r w:rsidR="00310640" w:rsidRPr="00310640">
              <w:rPr>
                <w:i w:val="0"/>
                <w:szCs w:val="24"/>
              </w:rPr>
              <w:t>ļ</w:t>
            </w:r>
            <w:proofErr w:type="spellEnd"/>
            <w:r w:rsidRPr="00310640">
              <w:rPr>
                <w:i w:val="0"/>
                <w:szCs w:val="24"/>
              </w:rPr>
              <w:t xml:space="preserve"> nav </w:t>
            </w:r>
            <w:proofErr w:type="spellStart"/>
            <w:r w:rsidRPr="00310640">
              <w:rPr>
                <w:i w:val="0"/>
                <w:szCs w:val="24"/>
              </w:rPr>
              <w:t>iespējams</w:t>
            </w:r>
            <w:proofErr w:type="spellEnd"/>
            <w:r w:rsidRPr="00310640">
              <w:rPr>
                <w:i w:val="0"/>
                <w:szCs w:val="24"/>
              </w:rPr>
              <w:t xml:space="preserve"> </w:t>
            </w:r>
            <w:proofErr w:type="spellStart"/>
            <w:r w:rsidRPr="00310640">
              <w:rPr>
                <w:i w:val="0"/>
                <w:szCs w:val="24"/>
              </w:rPr>
              <w:t>pilnvērtīgi</w:t>
            </w:r>
            <w:proofErr w:type="spellEnd"/>
            <w:r w:rsidRPr="00310640">
              <w:rPr>
                <w:i w:val="0"/>
                <w:szCs w:val="24"/>
              </w:rPr>
              <w:t xml:space="preserve"> </w:t>
            </w:r>
            <w:proofErr w:type="spellStart"/>
            <w:r w:rsidRPr="00310640">
              <w:rPr>
                <w:i w:val="0"/>
                <w:szCs w:val="24"/>
              </w:rPr>
              <w:t>realizēt</w:t>
            </w:r>
            <w:proofErr w:type="spellEnd"/>
            <w:r w:rsidRPr="00310640">
              <w:rPr>
                <w:i w:val="0"/>
                <w:szCs w:val="24"/>
              </w:rPr>
              <w:t xml:space="preserve"> </w:t>
            </w:r>
            <w:proofErr w:type="spellStart"/>
            <w:r w:rsidRPr="00310640">
              <w:rPr>
                <w:i w:val="0"/>
                <w:szCs w:val="24"/>
              </w:rPr>
              <w:t>atsevišķus</w:t>
            </w:r>
            <w:proofErr w:type="spellEnd"/>
            <w:r w:rsidRPr="00310640">
              <w:rPr>
                <w:i w:val="0"/>
                <w:szCs w:val="24"/>
              </w:rPr>
              <w:t xml:space="preserve"> </w:t>
            </w:r>
            <w:proofErr w:type="spellStart"/>
            <w:r w:rsidRPr="00310640">
              <w:rPr>
                <w:i w:val="0"/>
                <w:szCs w:val="24"/>
              </w:rPr>
              <w:t>pasākumus</w:t>
            </w:r>
            <w:proofErr w:type="spellEnd"/>
            <w:r w:rsidRPr="00310640">
              <w:rPr>
                <w:i w:val="0"/>
                <w:szCs w:val="24"/>
              </w:rPr>
              <w:t xml:space="preserve">, kas </w:t>
            </w:r>
            <w:proofErr w:type="spellStart"/>
            <w:r w:rsidRPr="00310640">
              <w:rPr>
                <w:i w:val="0"/>
                <w:szCs w:val="24"/>
              </w:rPr>
              <w:t>aprakstīti</w:t>
            </w:r>
            <w:proofErr w:type="spellEnd"/>
            <w:r w:rsidRPr="00310640">
              <w:rPr>
                <w:i w:val="0"/>
                <w:szCs w:val="24"/>
              </w:rPr>
              <w:t xml:space="preserve"> IDF </w:t>
            </w:r>
            <w:proofErr w:type="spellStart"/>
            <w:r w:rsidRPr="00310640">
              <w:rPr>
                <w:i w:val="0"/>
                <w:szCs w:val="24"/>
              </w:rPr>
              <w:t>programmā</w:t>
            </w:r>
            <w:proofErr w:type="spellEnd"/>
            <w:r w:rsidR="00310640" w:rsidRPr="00310640">
              <w:rPr>
                <w:i w:val="0"/>
                <w:szCs w:val="24"/>
              </w:rPr>
              <w:t>.</w:t>
            </w:r>
          </w:p>
          <w:p w14:paraId="73BD2F79" w14:textId="4BE5646C" w:rsidR="00E028A8" w:rsidRPr="00310640" w:rsidRDefault="00E028A8" w:rsidP="00310640">
            <w:pPr>
              <w:keepNext/>
              <w:tabs>
                <w:tab w:val="left" w:pos="4252"/>
              </w:tabs>
              <w:spacing w:before="240" w:after="120"/>
              <w:rPr>
                <w:b/>
                <w:szCs w:val="24"/>
              </w:rPr>
            </w:pPr>
            <w:r w:rsidRPr="00310640">
              <w:rPr>
                <w:b/>
                <w:szCs w:val="24"/>
              </w:rPr>
              <w:t xml:space="preserve">c) </w:t>
            </w:r>
            <w:proofErr w:type="spellStart"/>
            <w:r w:rsidRPr="00310640">
              <w:rPr>
                <w:b/>
                <w:szCs w:val="24"/>
              </w:rPr>
              <w:t>Papildināmība</w:t>
            </w:r>
            <w:proofErr w:type="spellEnd"/>
            <w:r w:rsidRPr="00310640">
              <w:rPr>
                <w:b/>
                <w:szCs w:val="24"/>
              </w:rPr>
              <w:t xml:space="preserve"> </w:t>
            </w:r>
            <w:proofErr w:type="spellStart"/>
            <w:r w:rsidRPr="00310640">
              <w:rPr>
                <w:b/>
                <w:szCs w:val="24"/>
              </w:rPr>
              <w:t>starp</w:t>
            </w:r>
            <w:proofErr w:type="spellEnd"/>
            <w:r w:rsidRPr="00310640">
              <w:rPr>
                <w:b/>
                <w:szCs w:val="24"/>
              </w:rPr>
              <w:t xml:space="preserve"> </w:t>
            </w:r>
            <w:proofErr w:type="spellStart"/>
            <w:r w:rsidRPr="00310640">
              <w:rPr>
                <w:b/>
                <w:szCs w:val="24"/>
              </w:rPr>
              <w:t>darbībām</w:t>
            </w:r>
            <w:proofErr w:type="spellEnd"/>
            <w:r w:rsidRPr="00310640">
              <w:rPr>
                <w:b/>
                <w:szCs w:val="24"/>
              </w:rPr>
              <w:t xml:space="preserve">, ko </w:t>
            </w:r>
            <w:proofErr w:type="spellStart"/>
            <w:r w:rsidRPr="00310640">
              <w:rPr>
                <w:b/>
                <w:szCs w:val="24"/>
              </w:rPr>
              <w:t>atbalsta</w:t>
            </w:r>
            <w:proofErr w:type="spellEnd"/>
            <w:r w:rsidRPr="00310640">
              <w:rPr>
                <w:b/>
                <w:szCs w:val="24"/>
              </w:rPr>
              <w:t xml:space="preserve"> </w:t>
            </w:r>
            <w:proofErr w:type="spellStart"/>
            <w:r w:rsidRPr="00310640">
              <w:rPr>
                <w:b/>
                <w:szCs w:val="24"/>
              </w:rPr>
              <w:t>programma</w:t>
            </w:r>
            <w:proofErr w:type="spellEnd"/>
            <w:r w:rsidRPr="00310640">
              <w:rPr>
                <w:b/>
                <w:szCs w:val="24"/>
              </w:rPr>
              <w:t xml:space="preserve">, un </w:t>
            </w:r>
            <w:proofErr w:type="spellStart"/>
            <w:r w:rsidRPr="00310640">
              <w:rPr>
                <w:b/>
                <w:szCs w:val="24"/>
              </w:rPr>
              <w:t>atbalstu</w:t>
            </w:r>
            <w:proofErr w:type="spellEnd"/>
            <w:r w:rsidRPr="00310640">
              <w:rPr>
                <w:b/>
                <w:szCs w:val="24"/>
              </w:rPr>
              <w:t xml:space="preserve">, ko </w:t>
            </w:r>
            <w:proofErr w:type="spellStart"/>
            <w:r w:rsidRPr="00310640">
              <w:rPr>
                <w:b/>
                <w:szCs w:val="24"/>
              </w:rPr>
              <w:t>snieguši</w:t>
            </w:r>
            <w:proofErr w:type="spellEnd"/>
            <w:r w:rsidRPr="00310640">
              <w:rPr>
                <w:b/>
                <w:szCs w:val="24"/>
              </w:rPr>
              <w:t xml:space="preserve"> </w:t>
            </w:r>
            <w:proofErr w:type="spellStart"/>
            <w:r w:rsidRPr="00310640">
              <w:rPr>
                <w:b/>
                <w:szCs w:val="24"/>
              </w:rPr>
              <w:t>citi</w:t>
            </w:r>
            <w:proofErr w:type="spellEnd"/>
            <w:r w:rsidRPr="00310640">
              <w:rPr>
                <w:b/>
                <w:szCs w:val="24"/>
              </w:rPr>
              <w:t xml:space="preserve"> ES </w:t>
            </w:r>
            <w:proofErr w:type="spellStart"/>
            <w:r w:rsidRPr="00310640">
              <w:rPr>
                <w:b/>
                <w:szCs w:val="24"/>
              </w:rPr>
              <w:t>fondi</w:t>
            </w:r>
            <w:proofErr w:type="spellEnd"/>
          </w:p>
          <w:p w14:paraId="7E40F8FA" w14:textId="4A1F73D5" w:rsidR="00346230" w:rsidRDefault="00346230" w:rsidP="00346230">
            <w:pPr>
              <w:ind w:firstLine="851"/>
              <w:rPr>
                <w:lang w:val="lv-LV"/>
              </w:rPr>
            </w:pPr>
            <w:r w:rsidRPr="00D74E7A">
              <w:rPr>
                <w:lang w:val="lv-LV"/>
              </w:rPr>
              <w:t xml:space="preserve">IDF programmas 1. konkrētā mērķa – informācijas aprites un apmaiņas starp kompetentajām iestādēm kontekstā ir </w:t>
            </w:r>
            <w:proofErr w:type="spellStart"/>
            <w:r w:rsidRPr="00D74E7A">
              <w:rPr>
                <w:lang w:val="lv-LV"/>
              </w:rPr>
              <w:t>papildināmība</w:t>
            </w:r>
            <w:proofErr w:type="spellEnd"/>
            <w:r w:rsidRPr="00D74E7A">
              <w:rPr>
                <w:lang w:val="lv-LV"/>
              </w:rPr>
              <w:t xml:space="preserve"> ar Latvijas Atveseļošanās un noturības mehānisma plānu, kur 6. komponentes “Likuma vara” 6.2.1.r. reformas “Noziedzīgi iegūtu līdzekļu legalizācijas identificēšanas, ekonomisko noziegumu izmeklēšanas un tiesvedības procesu modernizācija” ietvaros plānota 6.2.1.1.i. investīcija “AML inovāciju centra izveide noziedzīgi iegūtu līdzekļu legalizācijas identificēšanas uzlabošanai</w:t>
            </w:r>
            <w:r w:rsidR="009176E4">
              <w:rPr>
                <w:lang w:val="lv-LV"/>
              </w:rPr>
              <w:t>”.</w:t>
            </w:r>
          </w:p>
          <w:p w14:paraId="371351A1" w14:textId="470B9C53" w:rsidR="00346230" w:rsidRPr="00D74E7A" w:rsidRDefault="00346230" w:rsidP="00346230">
            <w:pPr>
              <w:ind w:firstLine="851"/>
              <w:rPr>
                <w:lang w:val="lv-LV"/>
              </w:rPr>
            </w:pPr>
            <w:r w:rsidRPr="00D74E7A">
              <w:rPr>
                <w:lang w:val="lv-LV"/>
              </w:rPr>
              <w:t>IDF programmas 3. konkrētā mērķa ietvaros plānotās investīcijas tiesībaizsardzības augstākās izglītības attīstībā (Iekšējās drošības akadēmija) papildinās Eiropas Reģionālās attīstības fonda 4.2.1.6. pasākums, kurā plānots izveidot fiziskās sagatavotības poligonu</w:t>
            </w:r>
            <w:r w:rsidR="009176E4">
              <w:rPr>
                <w:lang w:val="lv-LV"/>
              </w:rPr>
              <w:t>.</w:t>
            </w:r>
            <w:r w:rsidRPr="00D74E7A">
              <w:rPr>
                <w:lang w:val="lv-LV"/>
              </w:rPr>
              <w:t xml:space="preserve"> </w:t>
            </w:r>
          </w:p>
          <w:p w14:paraId="744499F9" w14:textId="719B7160" w:rsidR="00C222B3" w:rsidRDefault="00346230" w:rsidP="00346230">
            <w:pPr>
              <w:ind w:firstLine="851"/>
              <w:rPr>
                <w:noProof/>
                <w:lang w:val="lv-LV"/>
              </w:rPr>
            </w:pPr>
            <w:r w:rsidRPr="00D74E7A">
              <w:rPr>
                <w:noProof/>
                <w:lang w:val="lv-LV"/>
              </w:rPr>
              <w:t> </w:t>
            </w:r>
            <w:r w:rsidR="00B67418">
              <w:rPr>
                <w:noProof/>
                <w:lang w:val="lv-LV"/>
              </w:rPr>
              <w:t>UK</w:t>
            </w:r>
            <w:r w:rsidR="00B67418" w:rsidRPr="00D74E7A">
              <w:rPr>
                <w:noProof/>
                <w:lang w:val="lv-LV"/>
              </w:rPr>
              <w:t xml:space="preserve"> </w:t>
            </w:r>
            <w:r w:rsidRPr="00D74E7A">
              <w:rPr>
                <w:noProof/>
                <w:lang w:val="lv-LV"/>
              </w:rPr>
              <w:t>2023.</w:t>
            </w:r>
            <w:r>
              <w:rPr>
                <w:noProof/>
                <w:lang w:val="lv-LV"/>
              </w:rPr>
              <w:t xml:space="preserve"> </w:t>
            </w:r>
            <w:r w:rsidRPr="00D74E7A">
              <w:rPr>
                <w:noProof/>
                <w:lang w:val="lv-LV"/>
              </w:rPr>
              <w:t>gada 30. novembra lēmuma Nr. 5 saskaņošanas laikā Finanšu ministrija Iekšlietu ministrijai vērsa uzmanību uz IDF programmas 1.</w:t>
            </w:r>
            <w:r>
              <w:rPr>
                <w:noProof/>
                <w:lang w:val="lv-LV"/>
              </w:rPr>
              <w:t xml:space="preserve"> </w:t>
            </w:r>
            <w:r w:rsidRPr="00D74E7A">
              <w:rPr>
                <w:noProof/>
                <w:lang w:val="lv-LV"/>
              </w:rPr>
              <w:t xml:space="preserve">aktivitāti “Vienotas kriminālizlūkošanas sistēmas </w:t>
            </w:r>
            <w:r w:rsidRPr="00D74E7A">
              <w:rPr>
                <w:noProof/>
                <w:lang w:val="lv-LV"/>
              </w:rPr>
              <w:lastRenderedPageBreak/>
              <w:t>pilnveide”, kuras ietvaros paredzēta projekta iesnieguma “Vienotas kriminālizlūkošanas sistēmas pilnveide” izstrāde un lūdza dokumentu sagatavošanas procesā izvērtēt un noteikt 1.</w:t>
            </w:r>
            <w:r w:rsidR="009176E4">
              <w:rPr>
                <w:noProof/>
                <w:lang w:val="lv-LV"/>
              </w:rPr>
              <w:t xml:space="preserve"> </w:t>
            </w:r>
            <w:r w:rsidRPr="00D74E7A">
              <w:rPr>
                <w:noProof/>
                <w:lang w:val="lv-LV"/>
              </w:rPr>
              <w:t>aktivitātes demarkāciju ar Atveseļošanās fonda</w:t>
            </w:r>
            <w:r w:rsidR="00C222B3">
              <w:rPr>
                <w:noProof/>
                <w:lang w:val="lv-LV"/>
              </w:rPr>
              <w:t xml:space="preserve"> 6.2.1.r reformas īstenošanu. </w:t>
            </w:r>
          </w:p>
          <w:p w14:paraId="6B533269" w14:textId="77A446FF" w:rsidR="00346230" w:rsidRPr="00346230" w:rsidRDefault="00346230" w:rsidP="00346230">
            <w:pPr>
              <w:ind w:firstLine="851"/>
              <w:rPr>
                <w:noProof/>
                <w:lang w:val="lv-LV"/>
              </w:rPr>
            </w:pPr>
            <w:r w:rsidRPr="00D74E7A">
              <w:rPr>
                <w:noProof/>
                <w:lang w:val="lv-LV"/>
              </w:rPr>
              <w:t>Izvērtējot Iekšlietu ministrijai pieejamo informāciju, tika pieņemts lēmums, ka iepriekšminēto aktivitāšu īstenošanas procesā ir nodrošināta aktivitāšu nepārklāšanās.</w:t>
            </w:r>
          </w:p>
          <w:p w14:paraId="6FD890A0" w14:textId="28EF4A7C" w:rsidR="00E028A8" w:rsidRDefault="00E028A8" w:rsidP="00E028A8">
            <w:pPr>
              <w:pStyle w:val="Institutionquisigne"/>
              <w:spacing w:before="240" w:after="120"/>
              <w:rPr>
                <w:b/>
                <w:i w:val="0"/>
                <w:color w:val="000000" w:themeColor="text1"/>
                <w:szCs w:val="24"/>
                <w:lang w:val="lv-LV"/>
              </w:rPr>
            </w:pPr>
            <w:r w:rsidRPr="00346230">
              <w:rPr>
                <w:b/>
                <w:i w:val="0"/>
                <w:color w:val="000000" w:themeColor="text1"/>
                <w:szCs w:val="24"/>
                <w:lang w:val="lv-LV"/>
              </w:rPr>
              <w:t>d) Programmas ieguldījums ES tiesību aktu un rīcības plānu īstenošanā</w:t>
            </w:r>
          </w:p>
          <w:p w14:paraId="5BFAD265" w14:textId="73595314" w:rsidR="00346230" w:rsidRDefault="00346230" w:rsidP="00DB1D8E">
            <w:pPr>
              <w:pStyle w:val="Personnequisigne"/>
              <w:ind w:firstLine="743"/>
              <w:jc w:val="both"/>
              <w:rPr>
                <w:rFonts w:eastAsia="Times New Roman"/>
                <w:i w:val="0"/>
                <w:iCs/>
                <w:lang w:val="lv-LV"/>
              </w:rPr>
            </w:pPr>
            <w:r w:rsidRPr="00346230">
              <w:rPr>
                <w:b/>
                <w:bCs/>
                <w:i w:val="0"/>
                <w:iCs/>
                <w:lang w:val="lv-LV"/>
              </w:rPr>
              <w:t>Informācijas apmaiņas jomā</w:t>
            </w:r>
            <w:r>
              <w:rPr>
                <w:b/>
                <w:bCs/>
                <w:i w:val="0"/>
                <w:iCs/>
                <w:lang w:val="lv-LV"/>
              </w:rPr>
              <w:t xml:space="preserve"> </w:t>
            </w:r>
            <w:r w:rsidRPr="00346230">
              <w:rPr>
                <w:rFonts w:eastAsia="Times New Roman"/>
                <w:i w:val="0"/>
                <w:iCs/>
                <w:lang w:val="lv-LV"/>
              </w:rPr>
              <w:t>projekta aktivitātes tiek īstenotas saskaņā ar Eiropas Parlamenta un Padomes 2023. gada 11. jūnija direktīvu Nr. 2023/977 par informācijas apmaiņu starp dalībvalstu tiesībaizsardzības iestādēm un ar ko atceļ Padomes Pamatlēmumu 2006/960/TI (Zviedrijas iniciatīvu).</w:t>
            </w:r>
            <w:r>
              <w:rPr>
                <w:rFonts w:eastAsia="Times New Roman"/>
                <w:i w:val="0"/>
                <w:iCs/>
                <w:lang w:val="lv-LV"/>
              </w:rPr>
              <w:t xml:space="preserve"> </w:t>
            </w:r>
            <w:r w:rsidRPr="00346230">
              <w:rPr>
                <w:rFonts w:eastAsia="Times New Roman"/>
                <w:i w:val="0"/>
                <w:iCs/>
                <w:lang w:val="lv-LV"/>
              </w:rPr>
              <w:t xml:space="preserve">Minētās direktīvas mērķis ir pieņemt tiesību aktus par organizatoriskajiem un procesuālajiem aspektiem informācijas apmaiņā starp tiesībaizsardzības iestādēm </w:t>
            </w:r>
            <w:r w:rsidR="003A5978">
              <w:rPr>
                <w:rFonts w:eastAsia="Times New Roman"/>
                <w:i w:val="0"/>
                <w:iCs/>
                <w:lang w:val="lv-LV"/>
              </w:rPr>
              <w:t>ES</w:t>
            </w:r>
            <w:r w:rsidRPr="00346230">
              <w:rPr>
                <w:rFonts w:eastAsia="Times New Roman"/>
                <w:i w:val="0"/>
                <w:iCs/>
                <w:lang w:val="lv-LV"/>
              </w:rPr>
              <w:t>, lai veicinātu rezultatīvu un efektīvu šādas informācijas apmaiņu, tādējādi aizsargājot pilnībā funkcionējošu un noturīgu Šengenas zonu.</w:t>
            </w:r>
          </w:p>
          <w:p w14:paraId="52B569D9" w14:textId="77777777" w:rsidR="00346230" w:rsidRDefault="00346230" w:rsidP="00DB1D8E">
            <w:pPr>
              <w:shd w:val="clear" w:color="auto" w:fill="FFFFFF" w:themeFill="background1"/>
              <w:ind w:firstLine="743"/>
              <w:rPr>
                <w:lang w:val="lv-LV"/>
              </w:rPr>
            </w:pPr>
            <w:r w:rsidRPr="00346230">
              <w:rPr>
                <w:b/>
                <w:bCs/>
                <w:lang w:val="lv-LV"/>
              </w:rPr>
              <w:t xml:space="preserve">Noziedzības novēršanas un apkarošanas jomā </w:t>
            </w:r>
            <w:r>
              <w:rPr>
                <w:lang w:val="lv-LV"/>
              </w:rPr>
              <w:t>projekta aktivitātes tiek īstenotas saskaņā ar:</w:t>
            </w:r>
          </w:p>
          <w:p w14:paraId="6341B7FC" w14:textId="3380DF45" w:rsidR="00346230" w:rsidRPr="00346230" w:rsidRDefault="00346230" w:rsidP="00F248DA">
            <w:pPr>
              <w:pStyle w:val="ListParagraph"/>
              <w:numPr>
                <w:ilvl w:val="0"/>
                <w:numId w:val="41"/>
              </w:numPr>
              <w:shd w:val="clear" w:color="auto" w:fill="FFFFFF" w:themeFill="background1"/>
              <w:rPr>
                <w:rFonts w:eastAsia="Times New Roman"/>
                <w:lang w:val="lv-LV"/>
              </w:rPr>
            </w:pPr>
            <w:r w:rsidRPr="00346230">
              <w:rPr>
                <w:lang w:val="lv-LV"/>
              </w:rPr>
              <w:t>2014. gada 28. jūnija likumu “Par Eiropas Padomes Konvenciju par bērnu aizsardzību pret seksuālu izmantošanu un seksuālu vardarbību”, kur 1. pants nosaka - “2007. gada 25. oktobra Eiropas Padomes Konvencija par bērnu aizsardzību pret seksuālu izmantošanu un seksuālu vardarbību (turpmāk – Konvencija) ar šo likumu tiek pieņemta un apstiprināta.”;</w:t>
            </w:r>
          </w:p>
          <w:p w14:paraId="6B3C2186" w14:textId="27EB253C" w:rsidR="00346230" w:rsidRPr="003A3A17" w:rsidRDefault="00346230" w:rsidP="00F248DA">
            <w:pPr>
              <w:pStyle w:val="ListParagraph"/>
              <w:numPr>
                <w:ilvl w:val="0"/>
                <w:numId w:val="38"/>
              </w:numPr>
              <w:shd w:val="clear" w:color="auto" w:fill="FFFFFF" w:themeFill="background1"/>
              <w:rPr>
                <w:rFonts w:eastAsia="Times New Roman"/>
                <w:lang w:val="lv-LV"/>
              </w:rPr>
            </w:pPr>
            <w:r w:rsidRPr="003A3A17">
              <w:rPr>
                <w:rFonts w:eastAsia="Times New Roman"/>
                <w:lang w:val="lv-LV"/>
              </w:rPr>
              <w:t xml:space="preserve">Konvencijas 35. panta 2. punktu, kur teikts, ka </w:t>
            </w:r>
            <w:r w:rsidRPr="003A3A17">
              <w:rPr>
                <w:lang w:val="lv-LV"/>
              </w:rPr>
              <w:t>“Ikviena Puse veic nepieciešamos normatīv</w:t>
            </w:r>
            <w:r w:rsidR="00C222B3">
              <w:rPr>
                <w:lang w:val="lv-LV"/>
              </w:rPr>
              <w:t>u</w:t>
            </w:r>
            <w:r w:rsidRPr="003A3A17">
              <w:rPr>
                <w:lang w:val="lv-LV"/>
              </w:rPr>
              <w:t>s vai citus pasākumus, lai nodrošinātu to, ka visas cietušā un attiecīgā gadījumā bērna, kas ir liecinieks, pratināšanas var ierakstīt videolentē, un šīs videolentē ierakstītās pratināšanas var pieņemt kā pierādījumus tiesvedībā saskaņā ar valsts tiesību aktiem.”;</w:t>
            </w:r>
          </w:p>
          <w:p w14:paraId="7CDF0FDB" w14:textId="2A57D99A" w:rsidR="00346230" w:rsidRPr="00346230" w:rsidRDefault="00346230" w:rsidP="00F248DA">
            <w:pPr>
              <w:pStyle w:val="ListParagraph"/>
              <w:numPr>
                <w:ilvl w:val="0"/>
                <w:numId w:val="38"/>
              </w:numPr>
              <w:shd w:val="clear" w:color="auto" w:fill="FFFFFF" w:themeFill="background1"/>
              <w:rPr>
                <w:rFonts w:eastAsia="Times New Roman"/>
                <w:lang w:val="lv-LV"/>
              </w:rPr>
            </w:pPr>
            <w:r w:rsidRPr="003A3A17">
              <w:rPr>
                <w:lang w:val="lv-LV"/>
              </w:rPr>
              <w:t>Eiropas Parlamenta un Padomes 2011. gada 13. decembra direktīvu Nr. 2011/93/ES par seksuālas vardarbības pret bērniem, bērnu seksuālas izmantošanas un bērnu pornogrāfijas apkarošanu, kur tiek noteiktas normas par skaņas un attēla fiksēšanu.</w:t>
            </w:r>
          </w:p>
          <w:p w14:paraId="0743C32A" w14:textId="77777777" w:rsidR="00346230" w:rsidRPr="003A3A17" w:rsidRDefault="00346230" w:rsidP="00346230">
            <w:pPr>
              <w:pStyle w:val="ListParagraph"/>
              <w:shd w:val="clear" w:color="auto" w:fill="FFFFFF" w:themeFill="background1"/>
              <w:rPr>
                <w:rFonts w:eastAsia="Times New Roman"/>
                <w:lang w:val="lv-LV"/>
              </w:rPr>
            </w:pPr>
          </w:p>
          <w:p w14:paraId="14704045" w14:textId="77777777" w:rsidR="00346230" w:rsidRPr="003A3A17" w:rsidRDefault="00346230" w:rsidP="00DB1D8E">
            <w:pPr>
              <w:shd w:val="clear" w:color="auto" w:fill="FFFFFF" w:themeFill="background1"/>
              <w:ind w:firstLine="743"/>
              <w:rPr>
                <w:rFonts w:eastAsia="Times New Roman"/>
                <w:lang w:val="lv-LV"/>
              </w:rPr>
            </w:pPr>
            <w:r w:rsidRPr="003A3A17">
              <w:rPr>
                <w:rFonts w:eastAsia="Times New Roman"/>
                <w:lang w:val="lv-LV"/>
              </w:rPr>
              <w:t xml:space="preserve">Projekta par </w:t>
            </w:r>
            <w:r w:rsidRPr="003A3A17">
              <w:rPr>
                <w:rFonts w:eastAsia="Times New Roman"/>
                <w:lang w:val="lv-LV" w:eastAsia="lv-LV"/>
              </w:rPr>
              <w:t xml:space="preserve">CBRNE un cilvēku izraisīto katastrofu glābšanas darbu mācību poligona izveidošanu </w:t>
            </w:r>
            <w:r w:rsidRPr="003A3A17">
              <w:rPr>
                <w:rFonts w:eastAsia="Times New Roman"/>
                <w:lang w:val="lv-LV"/>
              </w:rPr>
              <w:t>aktivitātes tiek īstenotas saskaņā ar:</w:t>
            </w:r>
          </w:p>
          <w:p w14:paraId="315E4659" w14:textId="71EA10E0" w:rsidR="00346230" w:rsidRPr="003A3A17" w:rsidRDefault="00346230" w:rsidP="00F248DA">
            <w:pPr>
              <w:pStyle w:val="ListParagraph"/>
              <w:numPr>
                <w:ilvl w:val="0"/>
                <w:numId w:val="39"/>
              </w:numPr>
              <w:spacing w:line="276" w:lineRule="auto"/>
              <w:ind w:left="743" w:right="39"/>
              <w:rPr>
                <w:rFonts w:eastAsia="Times New Roman"/>
                <w:lang w:val="lv-LV" w:eastAsia="lv-LV"/>
              </w:rPr>
            </w:pPr>
            <w:r w:rsidRPr="003A3A17">
              <w:rPr>
                <w:rFonts w:eastAsia="Times New Roman"/>
                <w:lang w:val="lv-LV" w:eastAsia="lv-LV"/>
              </w:rPr>
              <w:t>ES Iekšējās drošības stratēģiju</w:t>
            </w:r>
            <w:r w:rsidR="00C222B3">
              <w:rPr>
                <w:rFonts w:eastAsia="Times New Roman"/>
                <w:lang w:val="lv-LV" w:eastAsia="lv-LV"/>
              </w:rPr>
              <w:t>;</w:t>
            </w:r>
          </w:p>
          <w:p w14:paraId="1F822204" w14:textId="73C48505" w:rsidR="00346230" w:rsidRDefault="00346230" w:rsidP="00F248DA">
            <w:pPr>
              <w:pStyle w:val="ListParagraph"/>
              <w:numPr>
                <w:ilvl w:val="0"/>
                <w:numId w:val="39"/>
              </w:numPr>
              <w:spacing w:line="276" w:lineRule="auto"/>
              <w:ind w:left="743" w:right="39"/>
              <w:rPr>
                <w:rFonts w:eastAsia="Times New Roman"/>
                <w:lang w:val="lv-LV" w:eastAsia="lv-LV"/>
              </w:rPr>
            </w:pPr>
            <w:r w:rsidRPr="003A3A17">
              <w:rPr>
                <w:rFonts w:eastAsia="Times New Roman"/>
                <w:lang w:val="lv-LV" w:eastAsia="lv-LV"/>
              </w:rPr>
              <w:t>2017. gadā pieņemto “ES CBRN” rīcības plānu</w:t>
            </w:r>
            <w:r w:rsidR="00C222B3">
              <w:rPr>
                <w:rFonts w:eastAsia="Times New Roman"/>
                <w:lang w:val="lv-LV" w:eastAsia="lv-LV"/>
              </w:rPr>
              <w:t>;</w:t>
            </w:r>
          </w:p>
          <w:p w14:paraId="16049DB6" w14:textId="77777777" w:rsidR="00C222B3" w:rsidRPr="00C222B3" w:rsidRDefault="00346230" w:rsidP="00BC1736">
            <w:pPr>
              <w:pStyle w:val="ListParagraph"/>
              <w:numPr>
                <w:ilvl w:val="0"/>
                <w:numId w:val="39"/>
              </w:numPr>
              <w:spacing w:before="240" w:after="120" w:line="276" w:lineRule="auto"/>
              <w:ind w:left="743" w:right="39"/>
              <w:rPr>
                <w:b/>
                <w:szCs w:val="24"/>
              </w:rPr>
            </w:pPr>
            <w:r w:rsidRPr="00C222B3">
              <w:rPr>
                <w:rFonts w:eastAsia="Times New Roman"/>
                <w:iCs/>
                <w:lang w:val="lv-LV" w:eastAsia="lv-LV"/>
              </w:rPr>
              <w:t xml:space="preserve">Eiropas parlamenta un Padomes 2021. gada 7. jūlija regulu Nr. 2021/1149 par Iekšējās drošības fonda izveidi. </w:t>
            </w:r>
          </w:p>
          <w:p w14:paraId="0906A0F9" w14:textId="4A2319AC" w:rsidR="00163461" w:rsidRPr="00C222B3" w:rsidRDefault="00E028A8" w:rsidP="00C222B3">
            <w:pPr>
              <w:spacing w:before="240" w:after="120" w:line="276" w:lineRule="auto"/>
              <w:ind w:right="39"/>
              <w:rPr>
                <w:b/>
                <w:szCs w:val="24"/>
              </w:rPr>
            </w:pPr>
            <w:r w:rsidRPr="00C222B3">
              <w:rPr>
                <w:b/>
                <w:szCs w:val="24"/>
              </w:rPr>
              <w:t xml:space="preserve">e) </w:t>
            </w:r>
            <w:proofErr w:type="spellStart"/>
            <w:r w:rsidRPr="00C222B3">
              <w:rPr>
                <w:b/>
                <w:szCs w:val="24"/>
              </w:rPr>
              <w:t>Programmas</w:t>
            </w:r>
            <w:proofErr w:type="spellEnd"/>
            <w:r w:rsidRPr="00C222B3">
              <w:rPr>
                <w:b/>
                <w:szCs w:val="24"/>
              </w:rPr>
              <w:t xml:space="preserve"> </w:t>
            </w:r>
            <w:proofErr w:type="spellStart"/>
            <w:r w:rsidRPr="00C222B3">
              <w:rPr>
                <w:b/>
                <w:szCs w:val="24"/>
              </w:rPr>
              <w:t>komunikācijas</w:t>
            </w:r>
            <w:proofErr w:type="spellEnd"/>
            <w:r w:rsidRPr="00C222B3">
              <w:rPr>
                <w:b/>
                <w:szCs w:val="24"/>
              </w:rPr>
              <w:t xml:space="preserve"> un </w:t>
            </w:r>
            <w:proofErr w:type="spellStart"/>
            <w:r w:rsidRPr="00C222B3">
              <w:rPr>
                <w:b/>
                <w:szCs w:val="24"/>
              </w:rPr>
              <w:t>pamanāmības</w:t>
            </w:r>
            <w:proofErr w:type="spellEnd"/>
            <w:r w:rsidRPr="00C222B3">
              <w:rPr>
                <w:b/>
                <w:szCs w:val="24"/>
              </w:rPr>
              <w:t xml:space="preserve"> </w:t>
            </w:r>
            <w:proofErr w:type="spellStart"/>
            <w:r w:rsidRPr="00C222B3">
              <w:rPr>
                <w:b/>
                <w:szCs w:val="24"/>
              </w:rPr>
              <w:t>darbību</w:t>
            </w:r>
            <w:proofErr w:type="spellEnd"/>
            <w:r w:rsidRPr="00C222B3">
              <w:rPr>
                <w:b/>
                <w:szCs w:val="24"/>
              </w:rPr>
              <w:t xml:space="preserve"> </w:t>
            </w:r>
            <w:proofErr w:type="spellStart"/>
            <w:r w:rsidRPr="00C222B3">
              <w:rPr>
                <w:b/>
                <w:szCs w:val="24"/>
              </w:rPr>
              <w:t>īstenošana</w:t>
            </w:r>
            <w:proofErr w:type="spellEnd"/>
          </w:p>
          <w:p w14:paraId="610483C7" w14:textId="77777777" w:rsidR="00DB1D8E" w:rsidRDefault="00163461" w:rsidP="00DB1D8E">
            <w:pPr>
              <w:pStyle w:val="Personnequisigne"/>
              <w:ind w:firstLine="743"/>
              <w:jc w:val="both"/>
              <w:rPr>
                <w:i w:val="0"/>
                <w:lang w:val="lv-LV"/>
              </w:rPr>
            </w:pPr>
            <w:proofErr w:type="spellStart"/>
            <w:r w:rsidRPr="00163461">
              <w:rPr>
                <w:i w:val="0"/>
                <w:lang w:val="lv-LV"/>
              </w:rPr>
              <w:t>Iekšlietu</w:t>
            </w:r>
            <w:proofErr w:type="spellEnd"/>
            <w:r w:rsidRPr="00163461">
              <w:rPr>
                <w:i w:val="0"/>
                <w:lang w:val="lv-LV"/>
              </w:rPr>
              <w:t xml:space="preserve"> ministrija sadarbībā ar ES </w:t>
            </w:r>
            <w:proofErr w:type="spellStart"/>
            <w:r w:rsidRPr="00163461">
              <w:rPr>
                <w:i w:val="0"/>
                <w:lang w:val="lv-LV"/>
              </w:rPr>
              <w:t>iekšlietu</w:t>
            </w:r>
            <w:proofErr w:type="spellEnd"/>
            <w:r w:rsidRPr="00163461">
              <w:rPr>
                <w:i w:val="0"/>
                <w:lang w:val="lv-LV"/>
              </w:rPr>
              <w:t xml:space="preserve"> fondu finansējuma saņēmējiem ir īstenojusi </w:t>
            </w:r>
            <w:r>
              <w:rPr>
                <w:i w:val="0"/>
                <w:lang w:val="lv-LV"/>
              </w:rPr>
              <w:t xml:space="preserve">mērķtiecīgas </w:t>
            </w:r>
            <w:r w:rsidRPr="00163461">
              <w:rPr>
                <w:i w:val="0"/>
                <w:lang w:val="lv-LV"/>
              </w:rPr>
              <w:t>komunikācijas aktivitātes, lai informētu sabiedrību par ES ieguldījumu Latvijas un ES drošības stiprināšanā.</w:t>
            </w:r>
          </w:p>
          <w:p w14:paraId="139A6E63" w14:textId="67130DC7" w:rsidR="00163461" w:rsidRPr="00163461" w:rsidRDefault="00163461" w:rsidP="00DB1D8E">
            <w:pPr>
              <w:pStyle w:val="Personnequisigne"/>
              <w:ind w:firstLine="743"/>
              <w:jc w:val="both"/>
              <w:rPr>
                <w:i w:val="0"/>
                <w:lang w:val="lv-LV"/>
              </w:rPr>
            </w:pPr>
            <w:r w:rsidRPr="00163461">
              <w:rPr>
                <w:i w:val="0"/>
                <w:lang w:val="lv-LV"/>
              </w:rPr>
              <w:t>Galvenie komunikācijas virzieni un aktivitātes:</w:t>
            </w:r>
          </w:p>
          <w:p w14:paraId="0DD749F6" w14:textId="2AC97776" w:rsidR="0062377B" w:rsidRPr="0062377B" w:rsidRDefault="0062377B" w:rsidP="006960C7">
            <w:pPr>
              <w:pStyle w:val="Personnequisigne"/>
              <w:numPr>
                <w:ilvl w:val="0"/>
                <w:numId w:val="43"/>
              </w:numPr>
              <w:jc w:val="both"/>
              <w:rPr>
                <w:bCs/>
                <w:i w:val="0"/>
                <w:lang w:val="lv-LV"/>
              </w:rPr>
            </w:pPr>
            <w:r w:rsidRPr="0062377B">
              <w:rPr>
                <w:bCs/>
                <w:i w:val="0"/>
                <w:lang w:val="lv-LV"/>
              </w:rPr>
              <w:t xml:space="preserve">saturs: 110 </w:t>
            </w:r>
            <w:proofErr w:type="spellStart"/>
            <w:r w:rsidRPr="0062377B">
              <w:rPr>
                <w:bCs/>
                <w:i w:val="0"/>
                <w:lang w:val="lv-LV"/>
              </w:rPr>
              <w:t>infomateriāli</w:t>
            </w:r>
            <w:proofErr w:type="spellEnd"/>
            <w:r w:rsidRPr="0062377B">
              <w:rPr>
                <w:bCs/>
                <w:i w:val="0"/>
                <w:lang w:val="lv-LV"/>
              </w:rPr>
              <w:t xml:space="preserve"> (55 latviešu un 55 angļu valodā) par ES ieguldījumu iekšējā drošībā un projektu gaitu publicēti www.esfondi.l</w:t>
            </w:r>
            <w:r>
              <w:rPr>
                <w:bCs/>
                <w:i w:val="0"/>
                <w:lang w:val="lv-LV"/>
              </w:rPr>
              <w:t>v;</w:t>
            </w:r>
          </w:p>
          <w:p w14:paraId="173D0B35" w14:textId="58DFBFD9" w:rsidR="0062377B" w:rsidRPr="0062377B" w:rsidRDefault="0062377B" w:rsidP="006960C7">
            <w:pPr>
              <w:pStyle w:val="Personnequisigne"/>
              <w:numPr>
                <w:ilvl w:val="0"/>
                <w:numId w:val="43"/>
              </w:numPr>
              <w:jc w:val="both"/>
              <w:rPr>
                <w:bCs/>
                <w:i w:val="0"/>
                <w:lang w:val="lv-LV"/>
              </w:rPr>
            </w:pPr>
            <w:r w:rsidRPr="0062377B">
              <w:rPr>
                <w:bCs/>
                <w:i w:val="0"/>
                <w:lang w:val="lv-LV"/>
              </w:rPr>
              <w:t xml:space="preserve">mediji: </w:t>
            </w:r>
            <w:r>
              <w:rPr>
                <w:bCs/>
                <w:i w:val="0"/>
                <w:lang w:val="lv-LV"/>
              </w:rPr>
              <w:t>p</w:t>
            </w:r>
            <w:r w:rsidRPr="0062377B">
              <w:rPr>
                <w:bCs/>
                <w:i w:val="0"/>
                <w:lang w:val="lv-LV"/>
              </w:rPr>
              <w:t xml:space="preserve">reses </w:t>
            </w:r>
            <w:proofErr w:type="spellStart"/>
            <w:r w:rsidRPr="0062377B">
              <w:rPr>
                <w:bCs/>
                <w:i w:val="0"/>
                <w:lang w:val="lv-LV"/>
              </w:rPr>
              <w:t>relīzes</w:t>
            </w:r>
            <w:proofErr w:type="spellEnd"/>
            <w:r w:rsidRPr="0062377B">
              <w:rPr>
                <w:bCs/>
                <w:i w:val="0"/>
                <w:lang w:val="lv-LV"/>
              </w:rPr>
              <w:t xml:space="preserve"> par ES fondu projektiem izplatītas medijiem un informācija ievietota sociālajos tīklos (</w:t>
            </w:r>
            <w:proofErr w:type="spellStart"/>
            <w:r w:rsidRPr="0062377B">
              <w:rPr>
                <w:bCs/>
                <w:i w:val="0"/>
                <w:lang w:val="lv-LV"/>
              </w:rPr>
              <w:t>Facebook</w:t>
            </w:r>
            <w:proofErr w:type="spellEnd"/>
            <w:r w:rsidRPr="0062377B">
              <w:rPr>
                <w:bCs/>
                <w:i w:val="0"/>
                <w:lang w:val="lv-LV"/>
              </w:rPr>
              <w:t xml:space="preserve">, </w:t>
            </w:r>
            <w:proofErr w:type="spellStart"/>
            <w:r w:rsidRPr="0062377B">
              <w:rPr>
                <w:bCs/>
                <w:i w:val="0"/>
                <w:lang w:val="lv-LV"/>
              </w:rPr>
              <w:t>Instagram</w:t>
            </w:r>
            <w:proofErr w:type="spellEnd"/>
            <w:r w:rsidRPr="0062377B">
              <w:rPr>
                <w:bCs/>
                <w:i w:val="0"/>
                <w:lang w:val="lv-LV"/>
              </w:rPr>
              <w:t xml:space="preserve">, X) ar ES emblēmu, NAP2027 logotipu un </w:t>
            </w:r>
            <w:proofErr w:type="spellStart"/>
            <w:r w:rsidRPr="0062377B">
              <w:rPr>
                <w:bCs/>
                <w:i w:val="0"/>
                <w:lang w:val="lv-LV"/>
              </w:rPr>
              <w:t>mirkļbirku</w:t>
            </w:r>
            <w:proofErr w:type="spellEnd"/>
            <w:r w:rsidRPr="0062377B">
              <w:rPr>
                <w:bCs/>
                <w:i w:val="0"/>
                <w:lang w:val="lv-LV"/>
              </w:rPr>
              <w:t xml:space="preserve"> #ESfondiDROSIBA</w:t>
            </w:r>
            <w:r>
              <w:rPr>
                <w:bCs/>
                <w:i w:val="0"/>
                <w:lang w:val="lv-LV"/>
              </w:rPr>
              <w:t>;</w:t>
            </w:r>
          </w:p>
          <w:p w14:paraId="1BE3A382" w14:textId="18FA314B" w:rsidR="0062377B" w:rsidRPr="0062377B" w:rsidRDefault="0062377B" w:rsidP="006960C7">
            <w:pPr>
              <w:pStyle w:val="Personnequisigne"/>
              <w:numPr>
                <w:ilvl w:val="0"/>
                <w:numId w:val="43"/>
              </w:numPr>
              <w:jc w:val="both"/>
              <w:rPr>
                <w:bCs/>
                <w:i w:val="0"/>
                <w:lang w:val="lv-LV"/>
              </w:rPr>
            </w:pPr>
            <w:r w:rsidRPr="0062377B">
              <w:rPr>
                <w:bCs/>
                <w:i w:val="0"/>
                <w:lang w:val="lv-LV"/>
              </w:rPr>
              <w:t>s</w:t>
            </w:r>
            <w:r w:rsidR="00333B45">
              <w:rPr>
                <w:bCs/>
                <w:i w:val="0"/>
                <w:lang w:val="lv-LV"/>
              </w:rPr>
              <w:t>a</w:t>
            </w:r>
            <w:r w:rsidRPr="0062377B">
              <w:rPr>
                <w:bCs/>
                <w:i w:val="0"/>
                <w:lang w:val="lv-LV"/>
              </w:rPr>
              <w:t xml:space="preserve">darbība: </w:t>
            </w:r>
            <w:r>
              <w:rPr>
                <w:bCs/>
                <w:i w:val="0"/>
                <w:lang w:val="lv-LV"/>
              </w:rPr>
              <w:t>a</w:t>
            </w:r>
            <w:r w:rsidRPr="0062377B">
              <w:rPr>
                <w:bCs/>
                <w:i w:val="0"/>
                <w:lang w:val="lv-LV"/>
              </w:rPr>
              <w:t>ktīva iesaiste komunikācijā ar finansējuma saņēmējiem</w:t>
            </w:r>
            <w:r>
              <w:rPr>
                <w:bCs/>
                <w:i w:val="0"/>
                <w:lang w:val="lv-LV"/>
              </w:rPr>
              <w:t xml:space="preserve">; </w:t>
            </w:r>
            <w:r w:rsidRPr="0062377B">
              <w:rPr>
                <w:bCs/>
                <w:i w:val="0"/>
                <w:lang w:val="lv-LV"/>
              </w:rPr>
              <w:t xml:space="preserve">publiskās vietās izvietotas plāksnes, stendi un </w:t>
            </w:r>
            <w:proofErr w:type="spellStart"/>
            <w:r w:rsidRPr="0062377B">
              <w:rPr>
                <w:bCs/>
                <w:i w:val="0"/>
                <w:lang w:val="lv-LV"/>
              </w:rPr>
              <w:t>baneri</w:t>
            </w:r>
            <w:proofErr w:type="spellEnd"/>
            <w:r w:rsidRPr="0062377B">
              <w:rPr>
                <w:bCs/>
                <w:i w:val="0"/>
                <w:lang w:val="lv-LV"/>
              </w:rPr>
              <w:t xml:space="preserve"> ar informāciju par ES ieguldījumu</w:t>
            </w:r>
            <w:r>
              <w:rPr>
                <w:bCs/>
                <w:i w:val="0"/>
                <w:lang w:val="lv-LV"/>
              </w:rPr>
              <w:t>;</w:t>
            </w:r>
          </w:p>
          <w:p w14:paraId="3926D238" w14:textId="61CE293D" w:rsidR="0062377B" w:rsidRPr="0062377B" w:rsidRDefault="0062377B" w:rsidP="006960C7">
            <w:pPr>
              <w:pStyle w:val="Personnequisigne"/>
              <w:numPr>
                <w:ilvl w:val="0"/>
                <w:numId w:val="43"/>
              </w:numPr>
              <w:jc w:val="both"/>
              <w:rPr>
                <w:i w:val="0"/>
                <w:lang w:val="lv-LV"/>
              </w:rPr>
            </w:pPr>
            <w:r w:rsidRPr="0062377B">
              <w:rPr>
                <w:bCs/>
                <w:i w:val="0"/>
                <w:lang w:val="lv-LV"/>
              </w:rPr>
              <w:t xml:space="preserve">īpašās aktivitātes: </w:t>
            </w:r>
            <w:r>
              <w:rPr>
                <w:bCs/>
                <w:i w:val="0"/>
                <w:lang w:val="lv-LV"/>
              </w:rPr>
              <w:t>p</w:t>
            </w:r>
            <w:r w:rsidRPr="0062377B">
              <w:rPr>
                <w:bCs/>
                <w:i w:val="0"/>
                <w:lang w:val="lv-LV"/>
              </w:rPr>
              <w:t>asākums “</w:t>
            </w:r>
            <w:proofErr w:type="spellStart"/>
            <w:r w:rsidRPr="0062377B">
              <w:rPr>
                <w:bCs/>
                <w:i w:val="0"/>
                <w:lang w:val="lv-LV"/>
              </w:rPr>
              <w:t>Iekšlietu</w:t>
            </w:r>
            <w:proofErr w:type="spellEnd"/>
            <w:r w:rsidRPr="0062377B">
              <w:rPr>
                <w:bCs/>
                <w:i w:val="0"/>
                <w:lang w:val="lv-LV"/>
              </w:rPr>
              <w:t xml:space="preserve"> ministrijas Industrijas diena 2024”, raksts www.esfondi.lv par Eiropas dienu un ES atbalstu </w:t>
            </w:r>
            <w:proofErr w:type="spellStart"/>
            <w:r w:rsidRPr="0062377B">
              <w:rPr>
                <w:bCs/>
                <w:i w:val="0"/>
                <w:lang w:val="lv-LV"/>
              </w:rPr>
              <w:t>iekšlietu</w:t>
            </w:r>
            <w:proofErr w:type="spellEnd"/>
            <w:r w:rsidRPr="0062377B">
              <w:rPr>
                <w:bCs/>
                <w:i w:val="0"/>
                <w:lang w:val="lv-LV"/>
              </w:rPr>
              <w:t xml:space="preserve"> nozarei, tiešsaistes diskusija "Valsts policija: 20 gadi Eiropas Savienībā"</w:t>
            </w:r>
            <w:r w:rsidR="006960C7">
              <w:rPr>
                <w:bCs/>
                <w:i w:val="0"/>
                <w:lang w:val="lv-LV"/>
              </w:rPr>
              <w:t xml:space="preserve">. </w:t>
            </w:r>
          </w:p>
          <w:p w14:paraId="4B9CB1D1" w14:textId="073CF293" w:rsidR="00163461" w:rsidRPr="00163461" w:rsidRDefault="0062377B" w:rsidP="00DB1D8E">
            <w:pPr>
              <w:pStyle w:val="Personnequisigne"/>
              <w:ind w:firstLine="743"/>
              <w:jc w:val="both"/>
              <w:rPr>
                <w:lang w:val="lv-LV"/>
              </w:rPr>
            </w:pPr>
            <w:r w:rsidRPr="0062377B">
              <w:rPr>
                <w:i w:val="0"/>
                <w:lang w:val="lv-LV"/>
              </w:rPr>
              <w:t xml:space="preserve">Komunikācijas efektivitāte tika izvērtēta 2024. gada beigās veiktā sabiedriskās domas pētījumā. </w:t>
            </w:r>
            <w:r w:rsidR="006960C7">
              <w:rPr>
                <w:i w:val="0"/>
                <w:lang w:val="lv-LV"/>
              </w:rPr>
              <w:t>Komunikācijas stratēģijā noteiktais m</w:t>
            </w:r>
            <w:r w:rsidRPr="0062377B">
              <w:rPr>
                <w:i w:val="0"/>
                <w:lang w:val="lv-LV"/>
              </w:rPr>
              <w:t xml:space="preserve">ērķis </w:t>
            </w:r>
            <w:r>
              <w:rPr>
                <w:i w:val="0"/>
                <w:lang w:val="lv-LV"/>
              </w:rPr>
              <w:t>sabiedrības kopējai informētībai</w:t>
            </w:r>
            <w:r w:rsidRPr="0062377B">
              <w:rPr>
                <w:i w:val="0"/>
                <w:lang w:val="lv-LV"/>
              </w:rPr>
              <w:t xml:space="preserve"> par ES fondiem migrācijas, robežu un drošības jomās (7,5%) ir ievērojami pārsniegts, sasniedzot 16%.</w:t>
            </w:r>
          </w:p>
          <w:p w14:paraId="7418D3A0" w14:textId="094BC9C8" w:rsidR="00E028A8" w:rsidRPr="00163461" w:rsidRDefault="00E028A8" w:rsidP="00E028A8">
            <w:pPr>
              <w:pStyle w:val="Institutionquisigne"/>
              <w:spacing w:before="240" w:after="120"/>
              <w:rPr>
                <w:b/>
                <w:i w:val="0"/>
                <w:szCs w:val="24"/>
              </w:rPr>
            </w:pPr>
            <w:r w:rsidRPr="00163461">
              <w:rPr>
                <w:b/>
                <w:i w:val="0"/>
                <w:szCs w:val="24"/>
              </w:rPr>
              <w:lastRenderedPageBreak/>
              <w:t xml:space="preserve">f) </w:t>
            </w:r>
            <w:proofErr w:type="spellStart"/>
            <w:r w:rsidRPr="00163461">
              <w:rPr>
                <w:b/>
                <w:i w:val="0"/>
                <w:szCs w:val="24"/>
              </w:rPr>
              <w:t>Veicinošo</w:t>
            </w:r>
            <w:proofErr w:type="spellEnd"/>
            <w:r w:rsidRPr="00163461">
              <w:rPr>
                <w:b/>
                <w:i w:val="0"/>
                <w:szCs w:val="24"/>
              </w:rPr>
              <w:t xml:space="preserve"> </w:t>
            </w:r>
            <w:proofErr w:type="spellStart"/>
            <w:r w:rsidRPr="00163461">
              <w:rPr>
                <w:b/>
                <w:i w:val="0"/>
                <w:szCs w:val="24"/>
              </w:rPr>
              <w:t>nosacījumu</w:t>
            </w:r>
            <w:proofErr w:type="spellEnd"/>
            <w:r w:rsidRPr="00163461">
              <w:rPr>
                <w:b/>
                <w:i w:val="0"/>
                <w:szCs w:val="24"/>
              </w:rPr>
              <w:t xml:space="preserve"> </w:t>
            </w:r>
            <w:proofErr w:type="spellStart"/>
            <w:r w:rsidRPr="00163461">
              <w:rPr>
                <w:b/>
                <w:i w:val="0"/>
                <w:szCs w:val="24"/>
              </w:rPr>
              <w:t>izpilde</w:t>
            </w:r>
            <w:proofErr w:type="spellEnd"/>
            <w:r w:rsidRPr="00163461">
              <w:rPr>
                <w:b/>
                <w:i w:val="0"/>
                <w:szCs w:val="24"/>
              </w:rPr>
              <w:t xml:space="preserve"> un </w:t>
            </w:r>
            <w:proofErr w:type="spellStart"/>
            <w:r w:rsidRPr="00163461">
              <w:rPr>
                <w:b/>
                <w:i w:val="0"/>
                <w:szCs w:val="24"/>
              </w:rPr>
              <w:t>piemērošana</w:t>
            </w:r>
            <w:proofErr w:type="spellEnd"/>
          </w:p>
          <w:p w14:paraId="0AE0E417" w14:textId="77777777" w:rsidR="00163461" w:rsidRPr="00163461" w:rsidRDefault="00163461" w:rsidP="00163461">
            <w:pPr>
              <w:numPr>
                <w:ilvl w:val="0"/>
                <w:numId w:val="42"/>
              </w:numPr>
              <w:spacing w:before="100" w:beforeAutospacing="1" w:after="100" w:afterAutospacing="1"/>
              <w:rPr>
                <w:rFonts w:eastAsia="Times New Roman"/>
                <w:lang w:val="lv-LV" w:eastAsia="lv-LV"/>
              </w:rPr>
            </w:pPr>
            <w:r w:rsidRPr="00163461">
              <w:rPr>
                <w:rFonts w:eastAsia="Times New Roman"/>
                <w:b/>
                <w:bCs/>
                <w:lang w:val="lv-LV" w:eastAsia="lv-LV"/>
              </w:rPr>
              <w:t>Efektīvi publiskā iepirkuma tirgus uzraudzības mehānismi:</w:t>
            </w:r>
            <w:r w:rsidRPr="00163461">
              <w:rPr>
                <w:rFonts w:eastAsia="Times New Roman"/>
                <w:lang w:val="lv-LV" w:eastAsia="lv-LV"/>
              </w:rPr>
              <w:t xml:space="preserve"> nodrošināta izpilde, Iepirkumu uzraudzības birojam īstenojot uzraudzību atbilstoši Publisko iepirkumu likumam un vadošajai iestādei nodrošinot iepirkumu </w:t>
            </w:r>
            <w:proofErr w:type="spellStart"/>
            <w:r w:rsidRPr="00163461">
              <w:rPr>
                <w:rFonts w:eastAsia="Times New Roman"/>
                <w:lang w:val="lv-LV" w:eastAsia="lv-LV"/>
              </w:rPr>
              <w:t>pirmspārbaudes</w:t>
            </w:r>
            <w:proofErr w:type="spellEnd"/>
            <w:r w:rsidRPr="00163461">
              <w:rPr>
                <w:rFonts w:eastAsia="Times New Roman"/>
                <w:lang w:val="lv-LV" w:eastAsia="lv-LV"/>
              </w:rPr>
              <w:t>.</w:t>
            </w:r>
          </w:p>
          <w:p w14:paraId="709AEA78" w14:textId="77777777" w:rsidR="00163461" w:rsidRPr="00163461" w:rsidRDefault="00163461" w:rsidP="00163461">
            <w:pPr>
              <w:numPr>
                <w:ilvl w:val="0"/>
                <w:numId w:val="42"/>
              </w:numPr>
              <w:spacing w:before="100" w:beforeAutospacing="1" w:after="100" w:afterAutospacing="1"/>
              <w:rPr>
                <w:rFonts w:eastAsia="Times New Roman"/>
                <w:lang w:val="lv-LV" w:eastAsia="lv-LV"/>
              </w:rPr>
            </w:pPr>
            <w:proofErr w:type="spellStart"/>
            <w:r w:rsidRPr="00163461">
              <w:rPr>
                <w:rFonts w:eastAsia="Times New Roman"/>
                <w:b/>
                <w:bCs/>
                <w:lang w:val="lv-LV" w:eastAsia="lv-LV"/>
              </w:rPr>
              <w:t>Pamattiesību</w:t>
            </w:r>
            <w:proofErr w:type="spellEnd"/>
            <w:r w:rsidRPr="00163461">
              <w:rPr>
                <w:rFonts w:eastAsia="Times New Roman"/>
                <w:b/>
                <w:bCs/>
                <w:lang w:val="lv-LV" w:eastAsia="lv-LV"/>
              </w:rPr>
              <w:t xml:space="preserve"> hartas efektīva piemērošana un īstenošana:</w:t>
            </w:r>
            <w:r w:rsidRPr="00163461">
              <w:rPr>
                <w:rFonts w:eastAsia="Times New Roman"/>
                <w:lang w:val="lv-LV" w:eastAsia="lv-LV"/>
              </w:rPr>
              <w:t xml:space="preserve"> nodrošināta izpilde ar šādiem pasākumiem:</w:t>
            </w:r>
          </w:p>
          <w:p w14:paraId="0221EC91" w14:textId="44D512FD" w:rsidR="00163461" w:rsidRPr="00163461" w:rsidRDefault="00B67418" w:rsidP="00163461">
            <w:pPr>
              <w:numPr>
                <w:ilvl w:val="1"/>
                <w:numId w:val="42"/>
              </w:numPr>
              <w:spacing w:before="100" w:beforeAutospacing="1" w:after="100" w:afterAutospacing="1"/>
              <w:rPr>
                <w:rFonts w:eastAsia="Times New Roman"/>
                <w:lang w:val="lv-LV" w:eastAsia="lv-LV"/>
              </w:rPr>
            </w:pPr>
            <w:r>
              <w:rPr>
                <w:rFonts w:eastAsia="Times New Roman"/>
                <w:lang w:val="lv-LV" w:eastAsia="lv-LV"/>
              </w:rPr>
              <w:t>UK</w:t>
            </w:r>
            <w:r w:rsidRPr="00163461">
              <w:rPr>
                <w:rFonts w:eastAsia="Times New Roman"/>
                <w:lang w:val="lv-LV" w:eastAsia="lv-LV"/>
              </w:rPr>
              <w:t xml:space="preserve"> </w:t>
            </w:r>
            <w:r w:rsidR="00163461" w:rsidRPr="00163461">
              <w:rPr>
                <w:rFonts w:eastAsia="Times New Roman"/>
                <w:lang w:val="lv-LV" w:eastAsia="lv-LV"/>
              </w:rPr>
              <w:t>iekļauts Labklājības ministrijas pārstāvis, atbildīgs par horizontālo principu koordināciju;</w:t>
            </w:r>
          </w:p>
          <w:p w14:paraId="6A7D2A99" w14:textId="77777777" w:rsidR="00163461" w:rsidRPr="00163461" w:rsidRDefault="00163461" w:rsidP="00163461">
            <w:pPr>
              <w:numPr>
                <w:ilvl w:val="1"/>
                <w:numId w:val="42"/>
              </w:numPr>
              <w:spacing w:before="100" w:beforeAutospacing="1" w:after="100" w:afterAutospacing="1"/>
              <w:rPr>
                <w:rFonts w:eastAsia="Times New Roman"/>
                <w:lang w:val="lv-LV" w:eastAsia="lv-LV"/>
              </w:rPr>
            </w:pPr>
            <w:r w:rsidRPr="00163461">
              <w:rPr>
                <w:rFonts w:eastAsia="Times New Roman"/>
                <w:lang w:val="lv-LV" w:eastAsia="lv-LV"/>
              </w:rPr>
              <w:t>projektu iesniegumos un vērtēšanas metodikā noteikti Horizontālā principa kritēriji;</w:t>
            </w:r>
          </w:p>
          <w:p w14:paraId="5ED82B11" w14:textId="77777777" w:rsidR="00163461" w:rsidRPr="00163461" w:rsidRDefault="00163461" w:rsidP="00163461">
            <w:pPr>
              <w:numPr>
                <w:ilvl w:val="1"/>
                <w:numId w:val="42"/>
              </w:numPr>
              <w:spacing w:before="100" w:beforeAutospacing="1" w:after="100" w:afterAutospacing="1"/>
              <w:rPr>
                <w:rFonts w:eastAsia="Times New Roman"/>
                <w:lang w:val="lv-LV" w:eastAsia="lv-LV"/>
              </w:rPr>
            </w:pPr>
            <w:r w:rsidRPr="00163461">
              <w:rPr>
                <w:rFonts w:eastAsia="Times New Roman"/>
                <w:lang w:val="lv-LV" w:eastAsia="lv-LV"/>
              </w:rPr>
              <w:t xml:space="preserve">sniegts metodiskais atbalsts un konsultācijas projektos iesaistītajiem, izstrādātas vadlīnijas horizontālā principa "Vienlīdzība, iekļaušana, </w:t>
            </w:r>
            <w:proofErr w:type="spellStart"/>
            <w:r w:rsidRPr="00163461">
              <w:rPr>
                <w:rFonts w:eastAsia="Times New Roman"/>
                <w:lang w:val="lv-LV" w:eastAsia="lv-LV"/>
              </w:rPr>
              <w:t>nediskriminācija</w:t>
            </w:r>
            <w:proofErr w:type="spellEnd"/>
            <w:r w:rsidRPr="00163461">
              <w:rPr>
                <w:rFonts w:eastAsia="Times New Roman"/>
                <w:lang w:val="lv-LV" w:eastAsia="lv-LV"/>
              </w:rPr>
              <w:t xml:space="preserve"> un </w:t>
            </w:r>
            <w:proofErr w:type="spellStart"/>
            <w:r w:rsidRPr="00163461">
              <w:rPr>
                <w:rFonts w:eastAsia="Times New Roman"/>
                <w:lang w:val="lv-LV" w:eastAsia="lv-LV"/>
              </w:rPr>
              <w:t>pamattiesību</w:t>
            </w:r>
            <w:proofErr w:type="spellEnd"/>
            <w:r w:rsidRPr="00163461">
              <w:rPr>
                <w:rFonts w:eastAsia="Times New Roman"/>
                <w:lang w:val="lv-LV" w:eastAsia="lv-LV"/>
              </w:rPr>
              <w:t xml:space="preserve"> ievērošana" īstenošanai un uzraudzībai;</w:t>
            </w:r>
          </w:p>
          <w:p w14:paraId="25F902D8" w14:textId="77777777" w:rsidR="00163461" w:rsidRPr="00163461" w:rsidRDefault="00163461" w:rsidP="00163461">
            <w:pPr>
              <w:numPr>
                <w:ilvl w:val="1"/>
                <w:numId w:val="42"/>
              </w:numPr>
              <w:spacing w:before="100" w:beforeAutospacing="1" w:after="100" w:afterAutospacing="1"/>
              <w:rPr>
                <w:rFonts w:eastAsia="Times New Roman"/>
                <w:lang w:val="lv-LV" w:eastAsia="lv-LV"/>
              </w:rPr>
            </w:pPr>
            <w:r w:rsidRPr="00163461">
              <w:rPr>
                <w:rFonts w:eastAsia="Times New Roman"/>
                <w:lang w:val="lv-LV" w:eastAsia="lv-LV"/>
              </w:rPr>
              <w:t xml:space="preserve">noteikta kārtība, kādā ziņot par horizontālo principu pārkāpumiem vai sūdzībām par neatbilstību ES </w:t>
            </w:r>
            <w:proofErr w:type="spellStart"/>
            <w:r w:rsidRPr="00163461">
              <w:rPr>
                <w:rFonts w:eastAsia="Times New Roman"/>
                <w:lang w:val="lv-LV" w:eastAsia="lv-LV"/>
              </w:rPr>
              <w:t>Pamattiesību</w:t>
            </w:r>
            <w:proofErr w:type="spellEnd"/>
            <w:r w:rsidRPr="00163461">
              <w:rPr>
                <w:rFonts w:eastAsia="Times New Roman"/>
                <w:lang w:val="lv-LV" w:eastAsia="lv-LV"/>
              </w:rPr>
              <w:t xml:space="preserve"> hartai un ANO Konvencijai par personu ar invaliditāti tiesībām, paredzot iespēju vērsties arī pie </w:t>
            </w:r>
            <w:proofErr w:type="spellStart"/>
            <w:r w:rsidRPr="00163461">
              <w:rPr>
                <w:rFonts w:eastAsia="Times New Roman"/>
                <w:lang w:val="lv-LV" w:eastAsia="lv-LV"/>
              </w:rPr>
              <w:t>Tiesībsarga</w:t>
            </w:r>
            <w:proofErr w:type="spellEnd"/>
            <w:r w:rsidRPr="00163461">
              <w:rPr>
                <w:rFonts w:eastAsia="Times New Roman"/>
                <w:lang w:val="lv-LV" w:eastAsia="lv-LV"/>
              </w:rPr>
              <w:t>.</w:t>
            </w:r>
          </w:p>
          <w:p w14:paraId="5CEEDFE0" w14:textId="77777777" w:rsidR="00163461" w:rsidRPr="00163461" w:rsidRDefault="00163461" w:rsidP="00163461">
            <w:pPr>
              <w:numPr>
                <w:ilvl w:val="0"/>
                <w:numId w:val="42"/>
              </w:numPr>
              <w:spacing w:before="100" w:beforeAutospacing="1" w:after="100" w:afterAutospacing="1"/>
              <w:rPr>
                <w:rFonts w:eastAsia="Times New Roman"/>
                <w:lang w:val="lv-LV" w:eastAsia="lv-LV"/>
              </w:rPr>
            </w:pPr>
            <w:r w:rsidRPr="00163461">
              <w:rPr>
                <w:rFonts w:eastAsia="Times New Roman"/>
                <w:b/>
                <w:bCs/>
                <w:lang w:val="lv-LV" w:eastAsia="lv-LV"/>
              </w:rPr>
              <w:t>ANO Konvencijas par personu ar invaliditāti tiesībām (UNCRPD) īstenošana un piemērošana:</w:t>
            </w:r>
            <w:r w:rsidRPr="00163461">
              <w:rPr>
                <w:rFonts w:eastAsia="Times New Roman"/>
                <w:lang w:val="lv-LV" w:eastAsia="lv-LV"/>
              </w:rPr>
              <w:t xml:space="preserve"> nodrošināta izpilde ar šādiem pasākumiem:</w:t>
            </w:r>
          </w:p>
          <w:p w14:paraId="530F722F" w14:textId="77777777" w:rsidR="00163461" w:rsidRPr="00163461" w:rsidRDefault="00163461" w:rsidP="00163461">
            <w:pPr>
              <w:numPr>
                <w:ilvl w:val="1"/>
                <w:numId w:val="42"/>
              </w:numPr>
              <w:spacing w:before="100" w:beforeAutospacing="1" w:after="100" w:afterAutospacing="1"/>
              <w:rPr>
                <w:rFonts w:eastAsia="Times New Roman"/>
                <w:lang w:val="lv-LV" w:eastAsia="lv-LV"/>
              </w:rPr>
            </w:pPr>
            <w:r w:rsidRPr="00163461">
              <w:rPr>
                <w:rFonts w:eastAsia="Times New Roman"/>
                <w:lang w:val="lv-LV" w:eastAsia="lv-LV"/>
              </w:rPr>
              <w:t xml:space="preserve">apstiprināts Plāns personu ar invaliditāti iespēju veicināšanai 2024.-2027. gadam, kas turpina iepriekšējā plāna pasākumus un izvirza jaunus rādītājus. Plāns paredz pasākumus vides, informācijas un pakalpojumu </w:t>
            </w:r>
            <w:proofErr w:type="spellStart"/>
            <w:r w:rsidRPr="00163461">
              <w:rPr>
                <w:rFonts w:eastAsia="Times New Roman"/>
                <w:lang w:val="lv-LV" w:eastAsia="lv-LV"/>
              </w:rPr>
              <w:t>piekļūstamības</w:t>
            </w:r>
            <w:proofErr w:type="spellEnd"/>
            <w:r w:rsidRPr="00163461">
              <w:rPr>
                <w:rFonts w:eastAsia="Times New Roman"/>
                <w:lang w:val="lv-LV" w:eastAsia="lv-LV"/>
              </w:rPr>
              <w:t xml:space="preserve"> sekmēšanai un iekļaujošas sabiedrības veidošanai, tostarp kultūras dzīves, elektronisko plašsaziņas līdzekļu un multimediālā satura </w:t>
            </w:r>
            <w:proofErr w:type="spellStart"/>
            <w:r w:rsidRPr="00163461">
              <w:rPr>
                <w:rFonts w:eastAsia="Times New Roman"/>
                <w:lang w:val="lv-LV" w:eastAsia="lv-LV"/>
              </w:rPr>
              <w:t>piekļūstamības</w:t>
            </w:r>
            <w:proofErr w:type="spellEnd"/>
            <w:r w:rsidRPr="00163461">
              <w:rPr>
                <w:rFonts w:eastAsia="Times New Roman"/>
                <w:lang w:val="lv-LV" w:eastAsia="lv-LV"/>
              </w:rPr>
              <w:t xml:space="preserve"> veicināšanu;</w:t>
            </w:r>
          </w:p>
          <w:p w14:paraId="129C5ECD" w14:textId="3D463CF7" w:rsidR="00163461" w:rsidRPr="00163461" w:rsidRDefault="00163461" w:rsidP="00163461">
            <w:pPr>
              <w:numPr>
                <w:ilvl w:val="1"/>
                <w:numId w:val="42"/>
              </w:numPr>
              <w:spacing w:before="100" w:beforeAutospacing="1" w:after="100" w:afterAutospacing="1"/>
              <w:rPr>
                <w:rFonts w:eastAsia="Times New Roman"/>
                <w:lang w:val="lv-LV" w:eastAsia="lv-LV"/>
              </w:rPr>
            </w:pPr>
            <w:proofErr w:type="spellStart"/>
            <w:r w:rsidRPr="00163461">
              <w:rPr>
                <w:rFonts w:eastAsia="Times New Roman"/>
                <w:lang w:val="lv-LV" w:eastAsia="lv-LV"/>
              </w:rPr>
              <w:t>piekļūstamības</w:t>
            </w:r>
            <w:proofErr w:type="spellEnd"/>
            <w:r w:rsidRPr="00163461">
              <w:rPr>
                <w:rFonts w:eastAsia="Times New Roman"/>
                <w:lang w:val="lv-LV" w:eastAsia="lv-LV"/>
              </w:rPr>
              <w:t xml:space="preserve"> prasības noteiktas Latvijas normatīvajos aktos, vadlīnijās un standartos. Labklājības ministrija izstrādā ieteikumus par piekļūstamas vides veidošanu un publicē informatīvus materiālus </w:t>
            </w:r>
            <w:r w:rsidR="003A5978">
              <w:rPr>
                <w:rFonts w:eastAsia="Times New Roman"/>
                <w:lang w:val="lv-LV" w:eastAsia="lv-LV"/>
              </w:rPr>
              <w:t>Eiropas Savienības</w:t>
            </w:r>
            <w:r w:rsidR="003A5978" w:rsidRPr="00163461">
              <w:rPr>
                <w:rFonts w:eastAsia="Times New Roman"/>
                <w:lang w:val="lv-LV" w:eastAsia="lv-LV"/>
              </w:rPr>
              <w:t xml:space="preserve"> </w:t>
            </w:r>
            <w:r w:rsidRPr="00163461">
              <w:rPr>
                <w:rFonts w:eastAsia="Times New Roman"/>
                <w:lang w:val="lv-LV" w:eastAsia="lv-LV"/>
              </w:rPr>
              <w:t>fondu finansējuma saņēmējiem;</w:t>
            </w:r>
          </w:p>
          <w:p w14:paraId="13ED9D44" w14:textId="77777777" w:rsidR="00163461" w:rsidRPr="00163461" w:rsidRDefault="00163461" w:rsidP="00163461">
            <w:pPr>
              <w:numPr>
                <w:ilvl w:val="1"/>
                <w:numId w:val="42"/>
              </w:numPr>
              <w:spacing w:before="100" w:beforeAutospacing="1" w:after="100" w:afterAutospacing="1"/>
              <w:rPr>
                <w:rFonts w:eastAsia="Times New Roman"/>
                <w:lang w:val="lv-LV" w:eastAsia="lv-LV"/>
              </w:rPr>
            </w:pPr>
            <w:r w:rsidRPr="00163461">
              <w:rPr>
                <w:rFonts w:eastAsia="Times New Roman"/>
                <w:lang w:val="lv-LV" w:eastAsia="lv-LV"/>
              </w:rPr>
              <w:t xml:space="preserve">tāpat kā </w:t>
            </w:r>
            <w:proofErr w:type="spellStart"/>
            <w:r w:rsidRPr="00163461">
              <w:rPr>
                <w:rFonts w:eastAsia="Times New Roman"/>
                <w:lang w:val="lv-LV" w:eastAsia="lv-LV"/>
              </w:rPr>
              <w:t>Pamattiesību</w:t>
            </w:r>
            <w:proofErr w:type="spellEnd"/>
            <w:r w:rsidRPr="00163461">
              <w:rPr>
                <w:rFonts w:eastAsia="Times New Roman"/>
                <w:lang w:val="lv-LV" w:eastAsia="lv-LV"/>
              </w:rPr>
              <w:t xml:space="preserve"> hartas gadījumā, noteikta kārtība, kādā ziņot par neatbilstību ANO Konvencijai par personu ar invaliditāti tiesībām, paredzot iespēju vērsties pie </w:t>
            </w:r>
            <w:proofErr w:type="spellStart"/>
            <w:r w:rsidRPr="00163461">
              <w:rPr>
                <w:rFonts w:eastAsia="Times New Roman"/>
                <w:lang w:val="lv-LV" w:eastAsia="lv-LV"/>
              </w:rPr>
              <w:t>Tiesībsarga</w:t>
            </w:r>
            <w:proofErr w:type="spellEnd"/>
            <w:r w:rsidRPr="00163461">
              <w:rPr>
                <w:rFonts w:eastAsia="Times New Roman"/>
                <w:lang w:val="lv-LV" w:eastAsia="lv-LV"/>
              </w:rPr>
              <w:t>.</w:t>
            </w:r>
          </w:p>
          <w:p w14:paraId="1DB6F56C" w14:textId="77777777" w:rsidR="00163461" w:rsidRPr="00163461" w:rsidRDefault="00163461" w:rsidP="00DB1D8E">
            <w:pPr>
              <w:spacing w:before="100" w:beforeAutospacing="1" w:after="100" w:afterAutospacing="1"/>
              <w:ind w:firstLine="743"/>
              <w:rPr>
                <w:rFonts w:eastAsia="Times New Roman"/>
                <w:lang w:val="lv-LV" w:eastAsia="lv-LV"/>
              </w:rPr>
            </w:pPr>
            <w:r w:rsidRPr="00163461">
              <w:rPr>
                <w:rFonts w:eastAsia="Times New Roman"/>
                <w:lang w:val="lv-LV" w:eastAsia="lv-LV"/>
              </w:rPr>
              <w:t>Grāmatvedības periodā iesniegumi par pārkāpumiem nav saņemti.</w:t>
            </w:r>
          </w:p>
          <w:p w14:paraId="777B9902" w14:textId="06D0C9EF" w:rsidR="00E028A8" w:rsidRDefault="00E028A8" w:rsidP="00E028A8">
            <w:pPr>
              <w:pStyle w:val="Institutionquisigne"/>
              <w:spacing w:before="240" w:after="120"/>
              <w:rPr>
                <w:b/>
                <w:i w:val="0"/>
                <w:color w:val="000000" w:themeColor="text1"/>
              </w:rPr>
            </w:pPr>
            <w:r w:rsidRPr="00145E8B">
              <w:rPr>
                <w:b/>
                <w:i w:val="0"/>
                <w:color w:val="000000" w:themeColor="text1"/>
              </w:rPr>
              <w:t xml:space="preserve">g) To </w:t>
            </w:r>
            <w:proofErr w:type="spellStart"/>
            <w:r w:rsidRPr="00145E8B">
              <w:rPr>
                <w:b/>
                <w:i w:val="0"/>
                <w:color w:val="000000" w:themeColor="text1"/>
              </w:rPr>
              <w:t>personu</w:t>
            </w:r>
            <w:proofErr w:type="spellEnd"/>
            <w:r w:rsidRPr="00145E8B">
              <w:rPr>
                <w:b/>
                <w:i w:val="0"/>
                <w:color w:val="000000" w:themeColor="text1"/>
              </w:rPr>
              <w:t xml:space="preserve"> </w:t>
            </w:r>
            <w:proofErr w:type="spellStart"/>
            <w:r w:rsidRPr="00145E8B">
              <w:rPr>
                <w:b/>
                <w:i w:val="0"/>
                <w:color w:val="000000" w:themeColor="text1"/>
              </w:rPr>
              <w:t>skaits</w:t>
            </w:r>
            <w:proofErr w:type="spellEnd"/>
            <w:r w:rsidRPr="00145E8B">
              <w:rPr>
                <w:b/>
                <w:i w:val="0"/>
                <w:color w:val="000000" w:themeColor="text1"/>
              </w:rPr>
              <w:t xml:space="preserve">, </w:t>
            </w:r>
            <w:proofErr w:type="spellStart"/>
            <w:r w:rsidRPr="00145E8B">
              <w:rPr>
                <w:b/>
                <w:i w:val="0"/>
                <w:color w:val="000000" w:themeColor="text1"/>
              </w:rPr>
              <w:t>kuras</w:t>
            </w:r>
            <w:proofErr w:type="spellEnd"/>
            <w:r w:rsidRPr="00145E8B">
              <w:rPr>
                <w:b/>
                <w:i w:val="0"/>
                <w:color w:val="000000" w:themeColor="text1"/>
              </w:rPr>
              <w:t xml:space="preserve"> </w:t>
            </w:r>
            <w:proofErr w:type="spellStart"/>
            <w:r w:rsidRPr="00145E8B">
              <w:rPr>
                <w:b/>
                <w:i w:val="0"/>
                <w:color w:val="000000" w:themeColor="text1"/>
              </w:rPr>
              <w:t>uzņemtas</w:t>
            </w:r>
            <w:proofErr w:type="spellEnd"/>
            <w:r w:rsidRPr="00145E8B">
              <w:rPr>
                <w:b/>
                <w:i w:val="0"/>
                <w:color w:val="000000" w:themeColor="text1"/>
              </w:rPr>
              <w:t xml:space="preserve"> </w:t>
            </w:r>
            <w:proofErr w:type="spellStart"/>
            <w:r w:rsidRPr="00145E8B">
              <w:rPr>
                <w:b/>
                <w:i w:val="0"/>
                <w:color w:val="000000" w:themeColor="text1"/>
              </w:rPr>
              <w:t>ar</w:t>
            </w:r>
            <w:proofErr w:type="spellEnd"/>
            <w:r w:rsidRPr="00145E8B">
              <w:rPr>
                <w:b/>
                <w:i w:val="0"/>
                <w:color w:val="000000" w:themeColor="text1"/>
              </w:rPr>
              <w:t xml:space="preserve"> </w:t>
            </w:r>
            <w:proofErr w:type="spellStart"/>
            <w:r w:rsidRPr="00145E8B">
              <w:rPr>
                <w:b/>
                <w:i w:val="0"/>
                <w:color w:val="000000" w:themeColor="text1"/>
              </w:rPr>
              <w:t>pārmitināšanu</w:t>
            </w:r>
            <w:proofErr w:type="spellEnd"/>
            <w:r w:rsidRPr="00145E8B">
              <w:rPr>
                <w:b/>
                <w:i w:val="0"/>
                <w:color w:val="000000" w:themeColor="text1"/>
              </w:rPr>
              <w:t xml:space="preserve"> </w:t>
            </w:r>
            <w:proofErr w:type="spellStart"/>
            <w:r w:rsidRPr="00145E8B">
              <w:rPr>
                <w:b/>
                <w:i w:val="0"/>
                <w:color w:val="000000" w:themeColor="text1"/>
              </w:rPr>
              <w:t>vai</w:t>
            </w:r>
            <w:proofErr w:type="spellEnd"/>
            <w:r w:rsidRPr="00145E8B">
              <w:rPr>
                <w:b/>
                <w:i w:val="0"/>
                <w:color w:val="000000" w:themeColor="text1"/>
              </w:rPr>
              <w:t xml:space="preserve"> </w:t>
            </w:r>
            <w:proofErr w:type="spellStart"/>
            <w:r w:rsidRPr="00145E8B">
              <w:rPr>
                <w:b/>
                <w:i w:val="0"/>
                <w:color w:val="000000" w:themeColor="text1"/>
              </w:rPr>
              <w:t>humanitāro</w:t>
            </w:r>
            <w:proofErr w:type="spellEnd"/>
            <w:r w:rsidRPr="00145E8B">
              <w:rPr>
                <w:b/>
                <w:i w:val="0"/>
                <w:color w:val="000000" w:themeColor="text1"/>
              </w:rPr>
              <w:t xml:space="preserve"> </w:t>
            </w:r>
            <w:proofErr w:type="spellStart"/>
            <w:r w:rsidRPr="00145E8B">
              <w:rPr>
                <w:b/>
                <w:i w:val="0"/>
                <w:color w:val="000000" w:themeColor="text1"/>
              </w:rPr>
              <w:t>uzņemšanu</w:t>
            </w:r>
            <w:proofErr w:type="spellEnd"/>
          </w:p>
          <w:p w14:paraId="12DF97B0" w14:textId="796336C8" w:rsidR="009339B0" w:rsidRPr="009339B0" w:rsidRDefault="009339B0" w:rsidP="00DB1D8E">
            <w:pPr>
              <w:pStyle w:val="Personnequisigne"/>
              <w:ind w:firstLine="743"/>
              <w:rPr>
                <w:i w:val="0"/>
                <w:iCs/>
              </w:rPr>
            </w:pPr>
            <w:r w:rsidRPr="009339B0">
              <w:rPr>
                <w:i w:val="0"/>
                <w:iCs/>
              </w:rPr>
              <w:t xml:space="preserve">Nav </w:t>
            </w:r>
            <w:proofErr w:type="spellStart"/>
            <w:r w:rsidRPr="009339B0">
              <w:rPr>
                <w:i w:val="0"/>
                <w:iCs/>
              </w:rPr>
              <w:t>attiecināms</w:t>
            </w:r>
            <w:proofErr w:type="spellEnd"/>
            <w:r w:rsidRPr="009339B0">
              <w:rPr>
                <w:i w:val="0"/>
                <w:iCs/>
              </w:rPr>
              <w:t>.</w:t>
            </w:r>
          </w:p>
          <w:p w14:paraId="1D25520A" w14:textId="77777777" w:rsidR="00E028A8" w:rsidRPr="007C1690" w:rsidRDefault="00E028A8" w:rsidP="00E028A8">
            <w:pPr>
              <w:pStyle w:val="Personnequisigne"/>
              <w:spacing w:before="240" w:after="120"/>
              <w:jc w:val="both"/>
              <w:rPr>
                <w:b/>
                <w:i w:val="0"/>
                <w:color w:val="000000" w:themeColor="text1"/>
                <w:szCs w:val="24"/>
              </w:rPr>
            </w:pPr>
            <w:r>
              <w:rPr>
                <w:b/>
                <w:i w:val="0"/>
                <w:color w:val="000000" w:themeColor="text1"/>
                <w:szCs w:val="24"/>
              </w:rPr>
              <w:t>h</w:t>
            </w:r>
            <w:r w:rsidRPr="007C1690">
              <w:rPr>
                <w:b/>
                <w:i w:val="0"/>
                <w:color w:val="000000" w:themeColor="text1"/>
                <w:szCs w:val="24"/>
              </w:rPr>
              <w:t xml:space="preserve">) </w:t>
            </w:r>
            <w:proofErr w:type="spellStart"/>
            <w:r w:rsidRPr="007C1690">
              <w:rPr>
                <w:b/>
                <w:i w:val="0"/>
                <w:color w:val="000000" w:themeColor="text1"/>
                <w:szCs w:val="24"/>
              </w:rPr>
              <w:t>Projektu</w:t>
            </w:r>
            <w:proofErr w:type="spellEnd"/>
            <w:r w:rsidRPr="007C1690">
              <w:rPr>
                <w:b/>
                <w:i w:val="0"/>
                <w:color w:val="000000" w:themeColor="text1"/>
                <w:szCs w:val="24"/>
              </w:rPr>
              <w:t xml:space="preserve"> </w:t>
            </w:r>
            <w:proofErr w:type="spellStart"/>
            <w:r w:rsidRPr="007C1690">
              <w:rPr>
                <w:b/>
                <w:i w:val="0"/>
                <w:color w:val="000000" w:themeColor="text1"/>
                <w:szCs w:val="24"/>
              </w:rPr>
              <w:t>īstenošana</w:t>
            </w:r>
            <w:proofErr w:type="spellEnd"/>
            <w:r w:rsidRPr="007C1690">
              <w:rPr>
                <w:b/>
                <w:i w:val="0"/>
                <w:color w:val="000000" w:themeColor="text1"/>
                <w:szCs w:val="24"/>
              </w:rPr>
              <w:t xml:space="preserve"> </w:t>
            </w:r>
            <w:proofErr w:type="spellStart"/>
            <w:r w:rsidRPr="007C1690">
              <w:rPr>
                <w:b/>
                <w:i w:val="0"/>
                <w:color w:val="000000" w:themeColor="text1"/>
                <w:szCs w:val="24"/>
              </w:rPr>
              <w:t>trešajās</w:t>
            </w:r>
            <w:proofErr w:type="spellEnd"/>
            <w:r w:rsidRPr="007C1690">
              <w:rPr>
                <w:b/>
                <w:i w:val="0"/>
                <w:color w:val="000000" w:themeColor="text1"/>
                <w:szCs w:val="24"/>
              </w:rPr>
              <w:t xml:space="preserve"> </w:t>
            </w:r>
            <w:proofErr w:type="spellStart"/>
            <w:r w:rsidRPr="007C1690">
              <w:rPr>
                <w:b/>
                <w:i w:val="0"/>
                <w:color w:val="000000" w:themeColor="text1"/>
                <w:szCs w:val="24"/>
              </w:rPr>
              <w:t>valstīs</w:t>
            </w:r>
            <w:proofErr w:type="spellEnd"/>
            <w:r w:rsidRPr="007C1690">
              <w:rPr>
                <w:b/>
                <w:i w:val="0"/>
                <w:color w:val="000000" w:themeColor="text1"/>
                <w:szCs w:val="24"/>
              </w:rPr>
              <w:t xml:space="preserve"> </w:t>
            </w:r>
            <w:proofErr w:type="spellStart"/>
            <w:r w:rsidRPr="007C1690">
              <w:rPr>
                <w:b/>
                <w:i w:val="0"/>
                <w:color w:val="000000" w:themeColor="text1"/>
                <w:szCs w:val="24"/>
              </w:rPr>
              <w:t>vai</w:t>
            </w:r>
            <w:proofErr w:type="spellEnd"/>
            <w:r w:rsidRPr="007C1690">
              <w:rPr>
                <w:b/>
                <w:i w:val="0"/>
                <w:color w:val="000000" w:themeColor="text1"/>
                <w:szCs w:val="24"/>
              </w:rPr>
              <w:t xml:space="preserve"> </w:t>
            </w:r>
            <w:proofErr w:type="spellStart"/>
            <w:r w:rsidRPr="007C1690">
              <w:rPr>
                <w:b/>
                <w:i w:val="0"/>
                <w:color w:val="000000" w:themeColor="text1"/>
                <w:szCs w:val="24"/>
              </w:rPr>
              <w:t>saistībā</w:t>
            </w:r>
            <w:proofErr w:type="spellEnd"/>
            <w:r w:rsidRPr="007C1690">
              <w:rPr>
                <w:b/>
                <w:i w:val="0"/>
                <w:color w:val="000000" w:themeColor="text1"/>
                <w:szCs w:val="24"/>
              </w:rPr>
              <w:t xml:space="preserve"> </w:t>
            </w:r>
            <w:proofErr w:type="spellStart"/>
            <w:r w:rsidRPr="007C1690">
              <w:rPr>
                <w:b/>
                <w:i w:val="0"/>
                <w:color w:val="000000" w:themeColor="text1"/>
                <w:szCs w:val="24"/>
              </w:rPr>
              <w:t>ar</w:t>
            </w:r>
            <w:proofErr w:type="spellEnd"/>
            <w:r w:rsidRPr="007C1690">
              <w:rPr>
                <w:b/>
                <w:i w:val="0"/>
                <w:color w:val="000000" w:themeColor="text1"/>
                <w:szCs w:val="24"/>
              </w:rPr>
              <w:t xml:space="preserve"> </w:t>
            </w:r>
            <w:proofErr w:type="spellStart"/>
            <w:r w:rsidRPr="007C1690">
              <w:rPr>
                <w:b/>
                <w:i w:val="0"/>
                <w:color w:val="000000" w:themeColor="text1"/>
                <w:szCs w:val="24"/>
              </w:rPr>
              <w:t>tām</w:t>
            </w:r>
            <w:proofErr w:type="spellEnd"/>
          </w:p>
          <w:p w14:paraId="3BC91B9B" w14:textId="77777777" w:rsidR="00E028A8" w:rsidRPr="00E6547A" w:rsidRDefault="00E028A8" w:rsidP="00DB1D8E">
            <w:pPr>
              <w:pStyle w:val="Personnequisigne"/>
              <w:ind w:firstLine="743"/>
            </w:pPr>
            <w:r w:rsidRPr="007C1690">
              <w:rPr>
                <w:i w:val="0"/>
                <w:color w:val="000000" w:themeColor="text1"/>
                <w:szCs w:val="24"/>
              </w:rPr>
              <w:t xml:space="preserve">Nav </w:t>
            </w:r>
            <w:proofErr w:type="spellStart"/>
            <w:r w:rsidRPr="007C1690">
              <w:rPr>
                <w:i w:val="0"/>
                <w:color w:val="000000" w:themeColor="text1"/>
                <w:szCs w:val="24"/>
              </w:rPr>
              <w:t>attiecināms</w:t>
            </w:r>
            <w:proofErr w:type="spellEnd"/>
            <w:r w:rsidRPr="007C1690">
              <w:rPr>
                <w:i w:val="0"/>
                <w:color w:val="000000" w:themeColor="text1"/>
                <w:szCs w:val="24"/>
              </w:rPr>
              <w:t xml:space="preserve">, jo </w:t>
            </w:r>
            <w:proofErr w:type="spellStart"/>
            <w:r w:rsidRPr="007C1690">
              <w:rPr>
                <w:i w:val="0"/>
                <w:color w:val="000000" w:themeColor="text1"/>
                <w:szCs w:val="24"/>
              </w:rPr>
              <w:t>grāmatvedības</w:t>
            </w:r>
            <w:proofErr w:type="spellEnd"/>
            <w:r>
              <w:rPr>
                <w:i w:val="0"/>
                <w:color w:val="000000" w:themeColor="text1"/>
                <w:szCs w:val="24"/>
              </w:rPr>
              <w:t xml:space="preserve"> </w:t>
            </w:r>
            <w:proofErr w:type="spellStart"/>
            <w:r>
              <w:rPr>
                <w:i w:val="0"/>
                <w:color w:val="000000" w:themeColor="text1"/>
                <w:szCs w:val="24"/>
              </w:rPr>
              <w:t>gada</w:t>
            </w:r>
            <w:proofErr w:type="spellEnd"/>
            <w:r w:rsidRPr="007C1690">
              <w:rPr>
                <w:i w:val="0"/>
                <w:color w:val="000000" w:themeColor="text1"/>
                <w:szCs w:val="24"/>
              </w:rPr>
              <w:t xml:space="preserve"> </w:t>
            </w:r>
            <w:proofErr w:type="spellStart"/>
            <w:r>
              <w:rPr>
                <w:i w:val="0"/>
                <w:color w:val="000000" w:themeColor="text1"/>
                <w:szCs w:val="24"/>
              </w:rPr>
              <w:t>periodā</w:t>
            </w:r>
            <w:proofErr w:type="spellEnd"/>
            <w:r>
              <w:rPr>
                <w:i w:val="0"/>
                <w:color w:val="000000" w:themeColor="text1"/>
                <w:szCs w:val="24"/>
              </w:rPr>
              <w:t xml:space="preserve"> </w:t>
            </w:r>
            <w:proofErr w:type="spellStart"/>
            <w:r w:rsidRPr="007C1690">
              <w:rPr>
                <w:i w:val="0"/>
                <w:color w:val="000000" w:themeColor="text1"/>
                <w:szCs w:val="24"/>
              </w:rPr>
              <w:t>darbības</w:t>
            </w:r>
            <w:proofErr w:type="spellEnd"/>
            <w:r w:rsidRPr="007C1690">
              <w:rPr>
                <w:i w:val="0"/>
                <w:color w:val="000000" w:themeColor="text1"/>
                <w:szCs w:val="24"/>
              </w:rPr>
              <w:t xml:space="preserve"> </w:t>
            </w:r>
            <w:proofErr w:type="spellStart"/>
            <w:r w:rsidRPr="007C1690">
              <w:rPr>
                <w:i w:val="0"/>
                <w:color w:val="000000" w:themeColor="text1"/>
                <w:szCs w:val="24"/>
              </w:rPr>
              <w:t>trešajās</w:t>
            </w:r>
            <w:proofErr w:type="spellEnd"/>
            <w:r w:rsidRPr="007C1690">
              <w:rPr>
                <w:i w:val="0"/>
                <w:color w:val="000000" w:themeColor="text1"/>
                <w:szCs w:val="24"/>
              </w:rPr>
              <w:t xml:space="preserve"> </w:t>
            </w:r>
            <w:proofErr w:type="spellStart"/>
            <w:r w:rsidRPr="007C1690">
              <w:rPr>
                <w:i w:val="0"/>
                <w:color w:val="000000" w:themeColor="text1"/>
                <w:szCs w:val="24"/>
              </w:rPr>
              <w:t>valstīs</w:t>
            </w:r>
            <w:proofErr w:type="spellEnd"/>
            <w:r w:rsidRPr="007C1690">
              <w:rPr>
                <w:i w:val="0"/>
                <w:color w:val="000000" w:themeColor="text1"/>
                <w:szCs w:val="24"/>
              </w:rPr>
              <w:t xml:space="preserve"> </w:t>
            </w:r>
            <w:proofErr w:type="spellStart"/>
            <w:r w:rsidRPr="007C1690">
              <w:rPr>
                <w:i w:val="0"/>
                <w:color w:val="000000" w:themeColor="text1"/>
                <w:szCs w:val="24"/>
              </w:rPr>
              <w:t>vai</w:t>
            </w:r>
            <w:proofErr w:type="spellEnd"/>
            <w:r w:rsidRPr="007C1690">
              <w:rPr>
                <w:i w:val="0"/>
                <w:color w:val="000000" w:themeColor="text1"/>
                <w:szCs w:val="24"/>
              </w:rPr>
              <w:t xml:space="preserve"> </w:t>
            </w:r>
            <w:proofErr w:type="spellStart"/>
            <w:r w:rsidRPr="007C1690">
              <w:rPr>
                <w:i w:val="0"/>
                <w:color w:val="000000" w:themeColor="text1"/>
                <w:szCs w:val="24"/>
              </w:rPr>
              <w:t>saistībā</w:t>
            </w:r>
            <w:proofErr w:type="spellEnd"/>
            <w:r w:rsidRPr="007C1690">
              <w:rPr>
                <w:i w:val="0"/>
                <w:color w:val="000000" w:themeColor="text1"/>
                <w:szCs w:val="24"/>
              </w:rPr>
              <w:t xml:space="preserve"> </w:t>
            </w:r>
            <w:proofErr w:type="spellStart"/>
            <w:r w:rsidRPr="007C1690">
              <w:rPr>
                <w:i w:val="0"/>
                <w:color w:val="000000" w:themeColor="text1"/>
                <w:szCs w:val="24"/>
              </w:rPr>
              <w:t>ar</w:t>
            </w:r>
            <w:proofErr w:type="spellEnd"/>
            <w:r w:rsidRPr="007C1690">
              <w:rPr>
                <w:i w:val="0"/>
                <w:color w:val="000000" w:themeColor="text1"/>
                <w:szCs w:val="24"/>
              </w:rPr>
              <w:t xml:space="preserve"> </w:t>
            </w:r>
            <w:proofErr w:type="spellStart"/>
            <w:r w:rsidRPr="007C1690">
              <w:rPr>
                <w:i w:val="0"/>
                <w:color w:val="000000" w:themeColor="text1"/>
                <w:szCs w:val="24"/>
              </w:rPr>
              <w:t>tām</w:t>
            </w:r>
            <w:proofErr w:type="spellEnd"/>
            <w:r w:rsidRPr="007C1690">
              <w:rPr>
                <w:i w:val="0"/>
                <w:color w:val="000000" w:themeColor="text1"/>
                <w:szCs w:val="24"/>
              </w:rPr>
              <w:t xml:space="preserve"> nav </w:t>
            </w:r>
            <w:proofErr w:type="spellStart"/>
            <w:r w:rsidRPr="007C1690">
              <w:rPr>
                <w:i w:val="0"/>
                <w:color w:val="000000" w:themeColor="text1"/>
                <w:szCs w:val="24"/>
              </w:rPr>
              <w:t>īstenotas</w:t>
            </w:r>
            <w:proofErr w:type="spellEnd"/>
            <w:r w:rsidRPr="007C1690">
              <w:rPr>
                <w:i w:val="0"/>
                <w:color w:val="000000" w:themeColor="text1"/>
                <w:szCs w:val="24"/>
              </w:rPr>
              <w:t xml:space="preserve"> un nav </w:t>
            </w:r>
            <w:proofErr w:type="spellStart"/>
            <w:r w:rsidRPr="007C1690">
              <w:rPr>
                <w:i w:val="0"/>
                <w:color w:val="000000" w:themeColor="text1"/>
                <w:szCs w:val="24"/>
              </w:rPr>
              <w:t>paredzētas</w:t>
            </w:r>
            <w:proofErr w:type="spellEnd"/>
            <w:r w:rsidRPr="007C1690">
              <w:rPr>
                <w:i w:val="0"/>
                <w:color w:val="000000" w:themeColor="text1"/>
                <w:szCs w:val="24"/>
              </w:rPr>
              <w:t xml:space="preserve"> </w:t>
            </w:r>
            <w:proofErr w:type="spellStart"/>
            <w:r w:rsidRPr="007C1690">
              <w:rPr>
                <w:i w:val="0"/>
                <w:color w:val="000000" w:themeColor="text1"/>
                <w:szCs w:val="24"/>
              </w:rPr>
              <w:t>programmā</w:t>
            </w:r>
            <w:proofErr w:type="spellEnd"/>
            <w:r w:rsidRPr="007C1690">
              <w:rPr>
                <w:i w:val="0"/>
                <w:color w:val="000000" w:themeColor="text1"/>
                <w:szCs w:val="24"/>
              </w:rPr>
              <w:t>.</w:t>
            </w:r>
          </w:p>
          <w:p w14:paraId="618F3B07" w14:textId="77777777" w:rsidR="00E028A8" w:rsidRPr="00E028A8" w:rsidRDefault="00E028A8" w:rsidP="00E028A8">
            <w:pPr>
              <w:pStyle w:val="Personnequisigne"/>
            </w:pPr>
          </w:p>
          <w:p w14:paraId="3B4DD946" w14:textId="48E6D93E" w:rsidR="00E028A8" w:rsidRPr="00E028A8" w:rsidRDefault="00E028A8" w:rsidP="00E028A8">
            <w:pPr>
              <w:pStyle w:val="Personnequisigne"/>
              <w:rPr>
                <w:lang w:val="lv-LV"/>
              </w:rPr>
            </w:pPr>
          </w:p>
        </w:tc>
      </w:tr>
    </w:tbl>
    <w:p w14:paraId="5B515368" w14:textId="77777777" w:rsidR="006A41E2" w:rsidRPr="003A3A17" w:rsidRDefault="006A41E2" w:rsidP="006A41E2">
      <w:pPr>
        <w:rPr>
          <w:noProof/>
          <w:lang w:val="lv-LV"/>
        </w:rPr>
      </w:pPr>
    </w:p>
    <w:sectPr w:rsidR="006A41E2" w:rsidRPr="003A3A17" w:rsidSect="003954DE">
      <w:footerReference w:type="default" r:id="rId16"/>
      <w:footerReference w:type="first" r:id="rId17"/>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429AB" w14:textId="77777777" w:rsidR="0062377B" w:rsidRDefault="0062377B" w:rsidP="00555224">
      <w:r>
        <w:separator/>
      </w:r>
    </w:p>
  </w:endnote>
  <w:endnote w:type="continuationSeparator" w:id="0">
    <w:p w14:paraId="248F5FF6" w14:textId="77777777" w:rsidR="0062377B" w:rsidRDefault="0062377B" w:rsidP="00555224">
      <w:r>
        <w:continuationSeparator/>
      </w:r>
    </w:p>
  </w:endnote>
  <w:endnote w:type="continuationNotice" w:id="1">
    <w:p w14:paraId="49036E75" w14:textId="77777777" w:rsidR="0062377B" w:rsidRDefault="00623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23CA" w14:textId="07221D9A" w:rsidR="0062377B" w:rsidRPr="003954DE" w:rsidRDefault="0062377B" w:rsidP="003954DE">
    <w:pPr>
      <w:pStyle w:val="Footer"/>
      <w:rPr>
        <w:rFonts w:ascii="Arial" w:hAnsi="Arial" w:cs="Arial"/>
        <w:b/>
        <w:sz w:val="48"/>
      </w:rPr>
    </w:pPr>
    <w:r w:rsidRPr="003954DE">
      <w:rPr>
        <w:rFonts w:ascii="Arial" w:hAnsi="Arial" w:cs="Arial"/>
        <w:b/>
        <w:sz w:val="48"/>
      </w:rPr>
      <w:t>LV</w:t>
    </w:r>
    <w:r w:rsidRPr="003954DE">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3954DE">
      <w:tab/>
    </w:r>
    <w:r w:rsidRPr="003954DE">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4A7C" w14:textId="77777777" w:rsidR="0062377B" w:rsidRPr="003954DE" w:rsidRDefault="0062377B" w:rsidP="00395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5E5A" w14:textId="77777777" w:rsidR="0062377B" w:rsidRDefault="0062377B" w:rsidP="00555224">
      <w:r>
        <w:separator/>
      </w:r>
    </w:p>
  </w:footnote>
  <w:footnote w:type="continuationSeparator" w:id="0">
    <w:p w14:paraId="4719A2A7" w14:textId="77777777" w:rsidR="0062377B" w:rsidRDefault="0062377B" w:rsidP="00555224">
      <w:r>
        <w:continuationSeparator/>
      </w:r>
    </w:p>
  </w:footnote>
  <w:footnote w:type="continuationNotice" w:id="1">
    <w:p w14:paraId="3563F8D2" w14:textId="77777777" w:rsidR="0062377B" w:rsidRDefault="0062377B"/>
  </w:footnote>
  <w:footnote w:id="2">
    <w:p w14:paraId="48A5CA33" w14:textId="5DBEF992" w:rsidR="0062377B" w:rsidRPr="00556EC4" w:rsidRDefault="0062377B" w:rsidP="00430D9E">
      <w:pPr>
        <w:pStyle w:val="FootnoteText"/>
        <w:ind w:left="0" w:firstLine="0"/>
        <w:rPr>
          <w:sz w:val="18"/>
          <w:szCs w:val="18"/>
          <w:lang w:val="lv-LV"/>
        </w:rPr>
      </w:pPr>
      <w:r w:rsidRPr="00556EC4">
        <w:rPr>
          <w:rStyle w:val="FootnoteReference"/>
          <w:sz w:val="18"/>
          <w:szCs w:val="18"/>
        </w:rPr>
        <w:footnoteRef/>
      </w:r>
      <w:r w:rsidRPr="00556EC4">
        <w:rPr>
          <w:sz w:val="18"/>
          <w:szCs w:val="18"/>
        </w:rPr>
        <w:tab/>
      </w:r>
      <w:r w:rsidRPr="00556EC4">
        <w:rPr>
          <w:sz w:val="18"/>
          <w:szCs w:val="18"/>
          <w:lang w:val="lv-LV"/>
        </w:rPr>
        <w:t xml:space="preserve">Tas attiecas uz situāciju, kad pastāv atšķirība starp nominālo mērķa sasniegšanas līmeni, ko mēra ar rādītājiem, un faktisko īstenošanā gūto progresu. Piemēram, nepilnības iznākumu un rezultātu paziņošanā var būt radušās tāpēc, ka ir </w:t>
      </w:r>
      <w:proofErr w:type="spellStart"/>
      <w:r w:rsidRPr="00556EC4">
        <w:rPr>
          <w:sz w:val="18"/>
          <w:szCs w:val="18"/>
          <w:lang w:val="lv-LV"/>
        </w:rPr>
        <w:t>problēmjautājumi</w:t>
      </w:r>
      <w:proofErr w:type="spellEnd"/>
      <w:r w:rsidRPr="00556EC4">
        <w:rPr>
          <w:sz w:val="18"/>
          <w:szCs w:val="18"/>
          <w:lang w:val="lv-LV"/>
        </w:rPr>
        <w:t>, kas attiecas uz IT sistēmas izstrādi, notiekošajām operācijām, kuru iznākumi un rezultāti vēl nav paziņoti, attiecībā uz datu vākšanu, kuru dēļ ziņošana ir lēna, vai nepilnīga, utt.</w:t>
      </w:r>
    </w:p>
  </w:footnote>
  <w:footnote w:id="3">
    <w:p w14:paraId="1B4AED68" w14:textId="1C92A47D" w:rsidR="0062377B" w:rsidRPr="00556EC4" w:rsidRDefault="0062377B"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r>
      <w:r w:rsidRPr="00556EC4">
        <w:rPr>
          <w:sz w:val="18"/>
          <w:szCs w:val="18"/>
          <w:lang w:val="lv-LV"/>
        </w:rPr>
        <w:t xml:space="preserve">Tas attiecas uz situāciju, kad zemais mērķu sasniegšanas līmenis ir saistīts nevis ar lēnu progresu, bet drīzāk ar nepareizu vai nereālu </w:t>
      </w:r>
      <w:proofErr w:type="spellStart"/>
      <w:r w:rsidRPr="00556EC4">
        <w:rPr>
          <w:sz w:val="18"/>
          <w:szCs w:val="18"/>
          <w:lang w:val="lv-LV"/>
        </w:rPr>
        <w:t>mērķrādītāju</w:t>
      </w:r>
      <w:proofErr w:type="spellEnd"/>
      <w:r w:rsidRPr="00556EC4">
        <w:rPr>
          <w:sz w:val="18"/>
          <w:szCs w:val="18"/>
          <w:lang w:val="lv-LV"/>
        </w:rPr>
        <w:t xml:space="preserve"> noteikšanu. Šeit var ietvert pieredzi, kas gūta saistībā ar </w:t>
      </w:r>
      <w:proofErr w:type="spellStart"/>
      <w:r w:rsidRPr="00556EC4">
        <w:rPr>
          <w:sz w:val="18"/>
          <w:szCs w:val="18"/>
          <w:lang w:val="lv-LV"/>
        </w:rPr>
        <w:t>mērķrādītāju</w:t>
      </w:r>
      <w:proofErr w:type="spellEnd"/>
      <w:r w:rsidRPr="00556EC4">
        <w:rPr>
          <w:sz w:val="18"/>
          <w:szCs w:val="18"/>
          <w:lang w:val="lv-LV"/>
        </w:rPr>
        <w:t xml:space="preserve"> noteikšanas metodikas izstrādi (piemēram, pieņēmumi ir bijuši nepareizi vai nepilnīgi vai ir bijušas problēmas ar izvēlētajām </w:t>
      </w:r>
      <w:proofErr w:type="spellStart"/>
      <w:r w:rsidRPr="00556EC4">
        <w:rPr>
          <w:sz w:val="18"/>
          <w:szCs w:val="18"/>
          <w:lang w:val="lv-LV"/>
        </w:rPr>
        <w:t>līmeņatzīmju</w:t>
      </w:r>
      <w:proofErr w:type="spellEnd"/>
      <w:r w:rsidRPr="00556EC4">
        <w:rPr>
          <w:sz w:val="18"/>
          <w:szCs w:val="18"/>
          <w:lang w:val="lv-LV"/>
        </w:rPr>
        <w:t xml:space="preserve"> vērtībām) un jebkādām tajā plānotajām izmaiņām.</w:t>
      </w:r>
    </w:p>
  </w:footnote>
  <w:footnote w:id="4">
    <w:p w14:paraId="24827152" w14:textId="77777777" w:rsidR="0062377B" w:rsidRPr="00556EC4" w:rsidRDefault="0062377B"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r>
      <w:r w:rsidRPr="00556EC4">
        <w:rPr>
          <w:sz w:val="18"/>
          <w:szCs w:val="18"/>
          <w:lang w:val="lv-LV"/>
        </w:rPr>
        <w:t>Piemēram, jautājumi, kas saistīti ar iepirkuma procedūrām, revīzijas procedūrām vai resursu trūkumu vadošās iestādes līmenī, neparedzēta kavēšanās programmas pieņemšanā utt.</w:t>
      </w:r>
    </w:p>
  </w:footnote>
  <w:footnote w:id="5">
    <w:p w14:paraId="3B4215A8" w14:textId="77777777" w:rsidR="0062377B" w:rsidRPr="00556EC4" w:rsidRDefault="0062377B"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r>
      <w:r w:rsidRPr="00556EC4">
        <w:rPr>
          <w:sz w:val="18"/>
          <w:szCs w:val="18"/>
          <w:lang w:val="lv-LV"/>
        </w:rPr>
        <w:t>Tās var ietvert, piemēram, sociālekonomiskos vai politiskos faktorus, izmaiņas regulatīvajā kontekstā utt.</w:t>
      </w:r>
    </w:p>
  </w:footnote>
  <w:footnote w:id="6">
    <w:p w14:paraId="714590B7" w14:textId="77777777" w:rsidR="0062377B" w:rsidRPr="00556EC4" w:rsidRDefault="0062377B"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r>
      <w:r w:rsidRPr="00556EC4">
        <w:rPr>
          <w:sz w:val="18"/>
          <w:szCs w:val="18"/>
          <w:lang w:val="lv-LV"/>
        </w:rPr>
        <w:t>Piemēram, jautājumi, kas saistīti ar darbības jomu (kā atbilstības kritēriji), zema saņēmēju vai dalībnieku interese, jebkādas novirzes darbības īstenošanā utt.</w:t>
      </w:r>
    </w:p>
  </w:footnote>
  <w:footnote w:id="7">
    <w:p w14:paraId="544B1A48" w14:textId="1B470666" w:rsidR="0062377B" w:rsidRPr="00556EC4" w:rsidRDefault="0062377B" w:rsidP="00430D9E">
      <w:pPr>
        <w:pStyle w:val="FootnoteText"/>
        <w:ind w:left="0" w:firstLine="0"/>
        <w:rPr>
          <w:sz w:val="18"/>
          <w:szCs w:val="18"/>
          <w:lang w:val="lv-LV"/>
        </w:rPr>
      </w:pPr>
      <w:r w:rsidRPr="00556EC4">
        <w:rPr>
          <w:rStyle w:val="FootnoteReference"/>
          <w:sz w:val="18"/>
          <w:szCs w:val="18"/>
        </w:rPr>
        <w:footnoteRef/>
      </w:r>
      <w:r w:rsidRPr="00556EC4">
        <w:rPr>
          <w:sz w:val="18"/>
          <w:szCs w:val="18"/>
          <w:lang w:val="lv-LV"/>
        </w:rPr>
        <w:tab/>
      </w:r>
      <w:r w:rsidRPr="00556EC4">
        <w:rPr>
          <w:sz w:val="18"/>
          <w:szCs w:val="18"/>
          <w:lang w:val="lv-LV"/>
        </w:rPr>
        <w:t xml:space="preserve">Ja tas atbilst konkrētajam gadījumam, miniet ieteikumus, kas sniegti kvalitātes kontroles un izvērtēšanas mehānismu ietvaros, piemēram: i) Šengenas izvērtēšanas un uzraudzības mehānismā saskaņā ar Padomes Regulu (ES) Nr. 1053/2013 (2013. gada 7. oktobris), ar ko izveido izvērtēšanas un uzraudzības mehānismu, lai pārbaudītu Šengenas </w:t>
      </w:r>
      <w:proofErr w:type="spellStart"/>
      <w:r w:rsidRPr="00556EC4">
        <w:rPr>
          <w:i/>
          <w:sz w:val="18"/>
          <w:szCs w:val="18"/>
          <w:lang w:val="lv-LV"/>
        </w:rPr>
        <w:t>acquis</w:t>
      </w:r>
      <w:proofErr w:type="spellEnd"/>
      <w:r w:rsidRPr="00556EC4">
        <w:rPr>
          <w:sz w:val="18"/>
          <w:szCs w:val="18"/>
          <w:lang w:val="lv-LV"/>
        </w:rPr>
        <w:t xml:space="preserve"> piemērošanu, un ar ko atceļ Izpildu komitejas lēmumu (1998. gada 16. septembris), ar ko izveido Šengenas izvērtēšanas un īstenošanas pastāvīgo komiteju (OV L 295, 6.11.2013., 27. lpp.), un Padomes Regulu (ES) 2022/922 (2022. gada 9. jūnijs) par tāda izvērtēšanas un uzraudzības mehānisma izveidi un darbību, kura mērķis ir pārbaudīt Šengenas </w:t>
      </w:r>
      <w:proofErr w:type="spellStart"/>
      <w:r w:rsidRPr="00556EC4">
        <w:rPr>
          <w:i/>
          <w:sz w:val="18"/>
          <w:szCs w:val="18"/>
          <w:lang w:val="lv-LV"/>
        </w:rPr>
        <w:t>acquis</w:t>
      </w:r>
      <w:proofErr w:type="spellEnd"/>
      <w:r w:rsidRPr="00556EC4">
        <w:rPr>
          <w:sz w:val="18"/>
          <w:szCs w:val="18"/>
          <w:lang w:val="lv-LV"/>
        </w:rPr>
        <w:t xml:space="preserve"> piemērošanu, un ar ko atceļ Regulu (ES) Nr. 1053/2013 (OV L 160, 15.6.2022., 1. lpp.), vai ii) attiecīgā gadījumā citos kvalitātes kontroles un izvērtēšanas mehānismos. </w:t>
      </w:r>
    </w:p>
  </w:footnote>
  <w:footnote w:id="8">
    <w:p w14:paraId="4D62CC2C" w14:textId="40BD09C8" w:rsidR="0062377B" w:rsidRPr="00556EC4" w:rsidRDefault="0062377B"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r>
      <w:r w:rsidRPr="00556EC4">
        <w:rPr>
          <w:sz w:val="18"/>
          <w:szCs w:val="18"/>
          <w:lang w:val="lv-LV"/>
        </w:rPr>
        <w:t>Attiecībā uz konkrētām transnacionāla rakstura darbībām šīs iedaļas tvērums atšķiras atkarībā no tā, kāds ir lomu un pienākumu sadalījums starp vadošajām dalībvalstīm un citām iesaistītajām dalībvalstīm un kāda ir ziņošanas metode. Tas ir aprakstīts Komisijas 2022. gada 14. februāra informatīvajā piezīmē “Konkrētas transnacionālas darbības Patvēruma, migrācijas un integrācijas fonda (</w:t>
      </w:r>
      <w:r w:rsidRPr="00556EC4">
        <w:rPr>
          <w:i/>
          <w:sz w:val="18"/>
          <w:szCs w:val="18"/>
          <w:lang w:val="lv-LV"/>
        </w:rPr>
        <w:t>AMIF</w:t>
      </w:r>
      <w:r w:rsidRPr="00556EC4">
        <w:rPr>
          <w:sz w:val="18"/>
          <w:szCs w:val="18"/>
          <w:lang w:val="lv-LV"/>
        </w:rPr>
        <w:t>), finansiāla atbalsta instrumenta robežu pārvaldībai un vīzu politikai (</w:t>
      </w:r>
      <w:r w:rsidRPr="00556EC4">
        <w:rPr>
          <w:i/>
          <w:sz w:val="18"/>
          <w:szCs w:val="18"/>
          <w:lang w:val="lv-LV"/>
        </w:rPr>
        <w:t>BMVI</w:t>
      </w:r>
      <w:r w:rsidRPr="00556EC4">
        <w:rPr>
          <w:sz w:val="18"/>
          <w:szCs w:val="18"/>
          <w:lang w:val="lv-LV"/>
        </w:rPr>
        <w:t>) un Iekšējās drošības fonda (IDF) ietvaros – vienošanās starp partneriem” (</w:t>
      </w:r>
      <w:proofErr w:type="spellStart"/>
      <w:r w:rsidRPr="00556EC4">
        <w:rPr>
          <w:sz w:val="18"/>
          <w:szCs w:val="18"/>
          <w:lang w:val="lv-LV"/>
        </w:rPr>
        <w:t>Ares</w:t>
      </w:r>
      <w:proofErr w:type="spellEnd"/>
      <w:r w:rsidRPr="00556EC4">
        <w:rPr>
          <w:sz w:val="18"/>
          <w:szCs w:val="18"/>
          <w:lang w:val="lv-LV"/>
        </w:rPr>
        <w:t xml:space="preserve"> (2022)1060102).</w:t>
      </w:r>
    </w:p>
  </w:footnote>
  <w:footnote w:id="9">
    <w:p w14:paraId="623F89A0" w14:textId="017D0127" w:rsidR="0062377B" w:rsidRPr="00556EC4" w:rsidRDefault="0062377B"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r>
      <w:r w:rsidRPr="00556EC4">
        <w:rPr>
          <w:sz w:val="18"/>
          <w:szCs w:val="18"/>
          <w:lang w:val="lv-LV"/>
        </w:rPr>
        <w:t xml:space="preserve">Savienības pievienoto vērtību definē kā tādu rezultātu rašanos, kuri pārsniedz to, ko dalībvalstis būtu sasniegušas vienas pašas. </w:t>
      </w:r>
    </w:p>
  </w:footnote>
  <w:footnote w:id="10">
    <w:p w14:paraId="3A8FB091" w14:textId="77777777" w:rsidR="0062377B" w:rsidRPr="00556EC4" w:rsidRDefault="0062377B"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r>
      <w:r w:rsidRPr="00556EC4">
        <w:rPr>
          <w:sz w:val="18"/>
          <w:szCs w:val="18"/>
          <w:lang w:val="lv-LV"/>
        </w:rPr>
        <w:t>Piemēram, saistībā ar iepirkuma darbībām vai citiem veiktajiem sagatavošanās pasākumiem.</w:t>
      </w:r>
    </w:p>
  </w:footnote>
  <w:footnote w:id="11">
    <w:p w14:paraId="357584AA" w14:textId="77777777" w:rsidR="0062377B" w:rsidRPr="00556EC4" w:rsidRDefault="0062377B"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r>
      <w:r w:rsidRPr="00556EC4">
        <w:rPr>
          <w:sz w:val="18"/>
          <w:szCs w:val="18"/>
          <w:lang w:val="lv-LV"/>
        </w:rPr>
        <w:t>Piemēram, attiecībā uz nodevumiem, iznākumiem, rezultātiem utt.</w:t>
      </w:r>
    </w:p>
  </w:footnote>
  <w:footnote w:id="12">
    <w:p w14:paraId="786F4D5D" w14:textId="46D02EF5" w:rsidR="0062377B" w:rsidRPr="00556EC4" w:rsidRDefault="0062377B" w:rsidP="00430D9E">
      <w:pPr>
        <w:pStyle w:val="FootnoteText"/>
        <w:ind w:left="0" w:firstLine="0"/>
        <w:rPr>
          <w:sz w:val="18"/>
          <w:szCs w:val="18"/>
          <w:lang w:val="lv-LV"/>
        </w:rPr>
      </w:pPr>
      <w:r w:rsidRPr="00556EC4">
        <w:rPr>
          <w:rStyle w:val="FootnoteReference"/>
          <w:sz w:val="18"/>
          <w:szCs w:val="18"/>
        </w:rPr>
        <w:footnoteRef/>
      </w:r>
      <w:r w:rsidRPr="00556EC4">
        <w:rPr>
          <w:sz w:val="18"/>
          <w:szCs w:val="18"/>
        </w:rPr>
        <w:tab/>
      </w:r>
      <w:r w:rsidRPr="00556EC4">
        <w:rPr>
          <w:sz w:val="18"/>
          <w:szCs w:val="18"/>
          <w:lang w:val="lv-LV"/>
        </w:rPr>
        <w:t>Kā paredzēts Komisijas 2022. gada 14. februāra informatīvajā piezīmē (</w:t>
      </w:r>
      <w:proofErr w:type="spellStart"/>
      <w:r w:rsidRPr="00556EC4">
        <w:rPr>
          <w:sz w:val="18"/>
          <w:szCs w:val="18"/>
          <w:lang w:val="lv-LV"/>
        </w:rPr>
        <w:t>Ares</w:t>
      </w:r>
      <w:proofErr w:type="spellEnd"/>
      <w:r w:rsidRPr="00556EC4">
        <w:rPr>
          <w:sz w:val="18"/>
          <w:szCs w:val="18"/>
          <w:lang w:val="lv-LV"/>
        </w:rPr>
        <w:t> (2022)1060102).</w:t>
      </w:r>
    </w:p>
  </w:footnote>
  <w:footnote w:id="13">
    <w:p w14:paraId="60F7E04B" w14:textId="7A6FADA2" w:rsidR="0062377B" w:rsidRPr="00556EC4" w:rsidRDefault="0062377B" w:rsidP="00430D9E">
      <w:pPr>
        <w:pStyle w:val="FootnoteText"/>
        <w:ind w:left="0" w:firstLine="0"/>
        <w:rPr>
          <w:sz w:val="18"/>
          <w:szCs w:val="18"/>
          <w:lang w:val="lv-LV"/>
        </w:rPr>
      </w:pPr>
      <w:r w:rsidRPr="00556EC4">
        <w:rPr>
          <w:rStyle w:val="FootnoteReference"/>
          <w:sz w:val="18"/>
          <w:szCs w:val="18"/>
        </w:rPr>
        <w:footnoteRef/>
      </w:r>
      <w:r w:rsidRPr="00556EC4">
        <w:rPr>
          <w:sz w:val="18"/>
          <w:szCs w:val="18"/>
          <w:lang w:val="lv-LV"/>
        </w:rPr>
        <w:tab/>
      </w:r>
      <w:r w:rsidRPr="00556EC4">
        <w:rPr>
          <w:sz w:val="18"/>
          <w:szCs w:val="18"/>
          <w:lang w:val="lv-LV"/>
        </w:rPr>
        <w:t>Atlasīto operāciju kopējās attiecināmās izmaksas, par kurām Komisijai paziņots līdz iepriekšējā grāmatvedības gada 31. jūlijam.</w:t>
      </w:r>
    </w:p>
  </w:footnote>
  <w:footnote w:id="14">
    <w:p w14:paraId="206492A9" w14:textId="7BC3C56E" w:rsidR="0062377B" w:rsidRPr="00556EC4" w:rsidRDefault="0062377B"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r>
      <w:r w:rsidRPr="00556EC4">
        <w:rPr>
          <w:sz w:val="18"/>
          <w:szCs w:val="18"/>
          <w:lang w:val="lv-LV"/>
        </w:rPr>
        <w:t>Kopējie attiecināmie izdevumi, kurus saņēmēji deklarējuši vadošajai iestādei un par kuriem paziņots Komisijai līdz iepriekšējā grāmatvedības gada 31. jūlijam.</w:t>
      </w:r>
    </w:p>
  </w:footnote>
  <w:footnote w:id="15">
    <w:p w14:paraId="4D5B2912" w14:textId="77777777" w:rsidR="0062377B" w:rsidRPr="00556EC4" w:rsidRDefault="0062377B"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r>
      <w:r w:rsidRPr="00556EC4">
        <w:rPr>
          <w:sz w:val="18"/>
          <w:szCs w:val="18"/>
          <w:lang w:val="lv-LV"/>
        </w:rPr>
        <w:t>Ja konkrētas darbības papildina iepriekšējās operācijas un nav īpašas uzraudzības kārtības, iznākumu un rezultātus paziņojiet pēc proporcionalitātes principa.</w:t>
      </w:r>
    </w:p>
  </w:footnote>
  <w:footnote w:id="16">
    <w:p w14:paraId="3D4382E9" w14:textId="77777777" w:rsidR="0062377B" w:rsidRPr="00556EC4" w:rsidRDefault="0062377B" w:rsidP="00430D9E">
      <w:pPr>
        <w:pStyle w:val="FootnoteText"/>
        <w:ind w:left="0" w:firstLine="0"/>
        <w:rPr>
          <w:sz w:val="18"/>
          <w:szCs w:val="18"/>
          <w:lang w:val="lv-LV"/>
        </w:rPr>
      </w:pPr>
      <w:r w:rsidRPr="00556EC4">
        <w:rPr>
          <w:rStyle w:val="FootnoteReference"/>
          <w:sz w:val="18"/>
          <w:szCs w:val="18"/>
        </w:rPr>
        <w:footnoteRef/>
      </w:r>
      <w:r w:rsidRPr="00556EC4">
        <w:rPr>
          <w:sz w:val="18"/>
          <w:szCs w:val="18"/>
          <w:lang w:val="lv-LV"/>
        </w:rPr>
        <w:tab/>
      </w:r>
      <w:r w:rsidRPr="00556EC4">
        <w:rPr>
          <w:color w:val="333333"/>
          <w:sz w:val="18"/>
          <w:szCs w:val="18"/>
          <w:shd w:val="clear" w:color="auto" w:fill="FFFFFF"/>
          <w:lang w:val="lv-LV"/>
        </w:rPr>
        <w:t>Eiropas Parlamenta un Padomes Regula (ES) Nr. 513/2014 (2014. gada 16. aprīlis), ar ko kā daļu no Iekšējās drošības fonda izveido finansiālā atbalsta instrumentu policijas sadarbībai, noziedzības novēršanai un apkarošanai un krīžu pārvarēšanai un atceļ Padomes Lēmumu 2007/125/TI (OV L 150,</w:t>
      </w:r>
      <w:r w:rsidRPr="00556EC4">
        <w:rPr>
          <w:sz w:val="18"/>
          <w:szCs w:val="18"/>
          <w:lang w:val="lv-LV"/>
        </w:rPr>
        <w:t xml:space="preserve"> 20.5.2014., 93. lpp.).</w:t>
      </w:r>
    </w:p>
  </w:footnote>
  <w:footnote w:id="17">
    <w:p w14:paraId="620209A5" w14:textId="77777777" w:rsidR="0062377B" w:rsidRPr="00556EC4" w:rsidRDefault="0062377B"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r>
      <w:r w:rsidRPr="00556EC4">
        <w:rPr>
          <w:color w:val="333333"/>
          <w:sz w:val="18"/>
          <w:szCs w:val="18"/>
          <w:shd w:val="clear" w:color="auto" w:fill="FFFFFF"/>
          <w:lang w:val="lv-LV"/>
        </w:rPr>
        <w:t>Eiropas Parlamenta un Padomes Regula (ES) Nr. 514/2014 (2014. gada 16. aprīlis), ar ko paredz vispārīgus noteikumus Patvēruma, migrācijas un integrācijas fondam un finansiālā atbalsta instrumentam policijas sadarbībai, noziedzības novēršanai un apkarošanai un krīžu pārvarēšanai (OV L 150</w:t>
      </w:r>
      <w:r w:rsidRPr="00556EC4">
        <w:rPr>
          <w:sz w:val="18"/>
          <w:szCs w:val="18"/>
          <w:lang w:val="lv-LV"/>
        </w:rPr>
        <w:t>, 20.5.2014., 112. lpp.).</w:t>
      </w:r>
    </w:p>
    <w:p w14:paraId="0338F974" w14:textId="77777777" w:rsidR="0062377B" w:rsidRPr="00556EC4" w:rsidRDefault="0062377B" w:rsidP="00430D9E">
      <w:pPr>
        <w:pStyle w:val="FootnoteText"/>
        <w:ind w:left="0" w:firstLine="0"/>
        <w:rPr>
          <w:sz w:val="18"/>
          <w:szCs w:val="18"/>
          <w:lang w:val="lv-LV"/>
        </w:rPr>
      </w:pPr>
    </w:p>
  </w:footnote>
  <w:footnote w:id="18">
    <w:p w14:paraId="00D44AB9" w14:textId="1204DF9F" w:rsidR="0062377B" w:rsidRPr="00556EC4" w:rsidRDefault="0062377B"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r>
      <w:r w:rsidRPr="00556EC4">
        <w:rPr>
          <w:sz w:val="18"/>
          <w:szCs w:val="18"/>
          <w:lang w:val="lv-LV"/>
        </w:rPr>
        <w:t>Piemēram, aģentūru sadarbība Savienības līmenī dalībvalstu starpā un starp dalībvalstīm un attiecīgajām Savienības struktūrām, birojiem un aģentūrām, kā arī sadarbība valsts līmenī starp kompetentajām iestādēm katrā dalībvalstī.</w:t>
      </w:r>
    </w:p>
  </w:footnote>
  <w:footnote w:id="19">
    <w:p w14:paraId="751B4E8F" w14:textId="77777777" w:rsidR="0062377B" w:rsidRPr="00556EC4" w:rsidRDefault="0062377B" w:rsidP="00430D9E">
      <w:pPr>
        <w:pStyle w:val="FootnoteText"/>
        <w:ind w:left="0" w:firstLine="0"/>
        <w:rPr>
          <w:sz w:val="18"/>
          <w:szCs w:val="18"/>
          <w:lang w:val="lv-LV"/>
        </w:rPr>
      </w:pPr>
      <w:r w:rsidRPr="00556EC4">
        <w:rPr>
          <w:rStyle w:val="FootnoteReference"/>
          <w:sz w:val="18"/>
          <w:szCs w:val="18"/>
        </w:rPr>
        <w:footnoteRef/>
      </w:r>
      <w:r w:rsidRPr="00556EC4">
        <w:rPr>
          <w:sz w:val="18"/>
          <w:szCs w:val="18"/>
          <w:lang w:val="lv-LV"/>
        </w:rPr>
        <w:tab/>
      </w:r>
      <w:r w:rsidRPr="00556EC4">
        <w:rPr>
          <w:sz w:val="18"/>
          <w:szCs w:val="18"/>
          <w:lang w:val="lv-LV"/>
        </w:rPr>
        <w:t xml:space="preserve">Eiropas Parlamenta un Padomes Regula (ES) 2019/817 (2019. gada 20. maijs), ar ko izveido satvaru ES informācijas sistēmu </w:t>
      </w:r>
      <w:proofErr w:type="spellStart"/>
      <w:r w:rsidRPr="00556EC4">
        <w:rPr>
          <w:sz w:val="18"/>
          <w:szCs w:val="18"/>
          <w:lang w:val="lv-LV"/>
        </w:rPr>
        <w:t>sadarbspējai</w:t>
      </w:r>
      <w:proofErr w:type="spellEnd"/>
      <w:r w:rsidRPr="00556EC4">
        <w:rPr>
          <w:sz w:val="18"/>
          <w:szCs w:val="18"/>
          <w:lang w:val="lv-LV"/>
        </w:rPr>
        <w:t xml:space="preserve"> robežu un vīzu jomā un groza Eiropas Parlamenta un Padomes Regulas (EK) Nr. 767/2008, (ES) 2016/399, (ES) 2017/2226, (ES) 2018/1240, (ES) 2018/1726 un (ES) 2018/1861 un Padomes Lēmumus 2004/512/EK un 2008/633/TI (</w:t>
      </w:r>
      <w:hyperlink r:id="rId1" w:history="1">
        <w:r w:rsidRPr="00556EC4">
          <w:rPr>
            <w:sz w:val="18"/>
            <w:szCs w:val="18"/>
            <w:lang w:val="lv-LV"/>
          </w:rPr>
          <w:t>OV L 135, 22.5.2019., 27. lpp.</w:t>
        </w:r>
      </w:hyperlink>
      <w:r w:rsidRPr="00556EC4">
        <w:rPr>
          <w:sz w:val="18"/>
          <w:szCs w:val="18"/>
          <w:lang w:val="lv-LV"/>
        </w:rPr>
        <w:t>).</w:t>
      </w:r>
    </w:p>
    <w:p w14:paraId="6C6350F2" w14:textId="33A1BA43" w:rsidR="0062377B" w:rsidRPr="00556EC4" w:rsidRDefault="0062377B" w:rsidP="00430D9E">
      <w:pPr>
        <w:pStyle w:val="FootnoteText"/>
        <w:ind w:left="0" w:firstLine="0"/>
        <w:rPr>
          <w:sz w:val="18"/>
          <w:szCs w:val="18"/>
          <w:lang w:val="lv-LV"/>
        </w:rPr>
      </w:pPr>
      <w:r w:rsidRPr="00556EC4">
        <w:rPr>
          <w:sz w:val="18"/>
          <w:szCs w:val="18"/>
          <w:lang w:val="lv-LV"/>
        </w:rPr>
        <w:t xml:space="preserve">Eiropas Parlamenta un Padomes Regula (ES) 2019/818 (2019. gada 20. maijs), ar ko izveido satvaru ES informācijas sistēmu </w:t>
      </w:r>
      <w:proofErr w:type="spellStart"/>
      <w:r w:rsidRPr="00556EC4">
        <w:rPr>
          <w:sz w:val="18"/>
          <w:szCs w:val="18"/>
          <w:lang w:val="lv-LV"/>
        </w:rPr>
        <w:t>sadarbspējai</w:t>
      </w:r>
      <w:proofErr w:type="spellEnd"/>
      <w:r w:rsidRPr="00556EC4">
        <w:rPr>
          <w:sz w:val="18"/>
          <w:szCs w:val="18"/>
          <w:lang w:val="lv-LV"/>
        </w:rPr>
        <w:t xml:space="preserve"> policijas un tiesu iestāžu sadarbības, patvēruma un migrācijas jomā un groza Regulas (ES) 2018/1726, (ES) 2018/1862 un (ES) 2019/816 (</w:t>
      </w:r>
      <w:hyperlink r:id="rId2" w:history="1">
        <w:r w:rsidRPr="00556EC4">
          <w:rPr>
            <w:sz w:val="18"/>
            <w:szCs w:val="18"/>
            <w:lang w:val="lv-LV"/>
          </w:rPr>
          <w:t>OV L 135, 22.5.2019., 85. lpp.</w:t>
        </w:r>
      </w:hyperlink>
      <w:r w:rsidRPr="00556EC4">
        <w:rPr>
          <w:sz w:val="18"/>
          <w:szCs w:val="18"/>
          <w:lang w:val="lv-LV"/>
        </w:rPr>
        <w:t>).</w:t>
      </w:r>
    </w:p>
  </w:footnote>
  <w:footnote w:id="20">
    <w:p w14:paraId="7A7666EA" w14:textId="6EC21CDA" w:rsidR="0062377B" w:rsidRPr="00556EC4" w:rsidRDefault="0062377B"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r>
      <w:r w:rsidRPr="00556EC4">
        <w:rPr>
          <w:sz w:val="18"/>
          <w:szCs w:val="18"/>
          <w:lang w:val="lv-LV"/>
        </w:rPr>
        <w:t>Atlasīto operāciju kopējās attiecināmās izmaksas, par kurām Komisijai paziņots līdz iepriekšējā grāmatvedības gada 31. jūlijam.</w:t>
      </w:r>
    </w:p>
  </w:footnote>
  <w:footnote w:id="21">
    <w:p w14:paraId="2B570729" w14:textId="2FDE4DA4" w:rsidR="0062377B" w:rsidRPr="00556EC4" w:rsidRDefault="0062377B"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r>
      <w:r w:rsidRPr="00556EC4">
        <w:rPr>
          <w:sz w:val="18"/>
          <w:szCs w:val="18"/>
          <w:lang w:val="lv-LV"/>
        </w:rPr>
        <w:t>Kopējie attiecināmie izdevumi, kurus saņēmēji deklarējuši vadošajai iestādei un par kuriem paziņots Komisijai līdz iepriekšējā grāmatvedības gada 31. jūlijam.</w:t>
      </w:r>
    </w:p>
  </w:footnote>
  <w:footnote w:id="22">
    <w:p w14:paraId="5FF7C1E8" w14:textId="6FA7E0F4" w:rsidR="0062377B" w:rsidRPr="00556EC4" w:rsidRDefault="0062377B" w:rsidP="00430D9E">
      <w:pPr>
        <w:pStyle w:val="FootnoteText"/>
        <w:ind w:left="0" w:firstLine="0"/>
        <w:rPr>
          <w:sz w:val="18"/>
          <w:szCs w:val="18"/>
          <w:lang w:val="lv-LV"/>
        </w:rPr>
      </w:pPr>
      <w:r w:rsidRPr="00556EC4">
        <w:rPr>
          <w:rStyle w:val="FootnoteReference"/>
          <w:sz w:val="18"/>
          <w:szCs w:val="18"/>
        </w:rPr>
        <w:footnoteRef/>
      </w:r>
      <w:r w:rsidRPr="00556EC4">
        <w:rPr>
          <w:sz w:val="18"/>
          <w:szCs w:val="18"/>
          <w:lang w:val="lv-LV"/>
        </w:rPr>
        <w:t xml:space="preserve"> </w:t>
      </w:r>
      <w:hyperlink r:id="rId3" w:history="1">
        <w:r w:rsidRPr="00556EC4">
          <w:rPr>
            <w:rFonts w:eastAsia="Calibri"/>
            <w:color w:val="0563C1"/>
            <w:sz w:val="18"/>
            <w:szCs w:val="18"/>
            <w:u w:val="single"/>
            <w:shd w:val="clear" w:color="auto" w:fill="FFFFFF"/>
            <w:lang w:val="lv-LV"/>
          </w:rPr>
          <w:t>https://www.esfondi.lv/en/about-eu-funds/news?filter_by=industries::drosiba</w:t>
        </w:r>
      </w:hyperlink>
      <w:r w:rsidRPr="00556EC4">
        <w:rPr>
          <w:rFonts w:eastAsia="Calibri"/>
          <w:color w:val="212529"/>
          <w:sz w:val="18"/>
          <w:szCs w:val="18"/>
          <w:shd w:val="clear" w:color="auto" w:fill="FFFFFF"/>
          <w:lang w:val="lv-LV"/>
        </w:rPr>
        <w:t>)</w:t>
      </w:r>
    </w:p>
  </w:footnote>
  <w:footnote w:id="23">
    <w:p w14:paraId="3238C417" w14:textId="5642C1A2" w:rsidR="0062377B" w:rsidRPr="00556EC4" w:rsidRDefault="0062377B" w:rsidP="00430D9E">
      <w:pPr>
        <w:pStyle w:val="FootnoteText"/>
        <w:ind w:left="0" w:firstLine="0"/>
        <w:rPr>
          <w:sz w:val="18"/>
          <w:szCs w:val="18"/>
          <w:lang w:val="lv-LV"/>
        </w:rPr>
      </w:pPr>
      <w:r w:rsidRPr="00556EC4">
        <w:rPr>
          <w:rStyle w:val="FootnoteReference"/>
          <w:sz w:val="18"/>
          <w:szCs w:val="18"/>
        </w:rPr>
        <w:footnoteRef/>
      </w:r>
      <w:hyperlink r:id="rId4" w:history="1">
        <w:r w:rsidRPr="00556EC4">
          <w:rPr>
            <w:rStyle w:val="Hyperlink"/>
            <w:sz w:val="18"/>
            <w:szCs w:val="18"/>
            <w:lang w:val="lv-LV"/>
          </w:rPr>
          <w:t>https://www.lm.gov.lv/lv/vadlinijas-horizontala-principa-vienlidziba-ieklausana-nediskriminacija-un-pamattiesibu-ieverosana-istenosanai-un-uzraudzibai-idf-irpvp-pmif-2021-2027</w:t>
        </w:r>
      </w:hyperlink>
      <w:r w:rsidRPr="00556EC4">
        <w:rPr>
          <w:sz w:val="18"/>
          <w:szCs w:val="18"/>
          <w:lang w:val="lv-LV"/>
        </w:rPr>
        <w:t xml:space="preserve"> </w:t>
      </w:r>
    </w:p>
  </w:footnote>
  <w:footnote w:id="24">
    <w:p w14:paraId="597A25B9" w14:textId="1711D811" w:rsidR="00430D9E" w:rsidRPr="00556EC4" w:rsidRDefault="00430D9E" w:rsidP="00430D9E">
      <w:pPr>
        <w:pStyle w:val="FootnoteText"/>
        <w:ind w:left="0" w:firstLine="0"/>
        <w:rPr>
          <w:sz w:val="18"/>
          <w:szCs w:val="18"/>
          <w:lang w:val="lv-LV"/>
        </w:rPr>
      </w:pPr>
      <w:r w:rsidRPr="00556EC4">
        <w:rPr>
          <w:rStyle w:val="FootnoteReference"/>
          <w:sz w:val="18"/>
          <w:szCs w:val="18"/>
        </w:rPr>
        <w:footnoteRef/>
      </w:r>
      <w:r w:rsidRPr="00556EC4">
        <w:rPr>
          <w:sz w:val="18"/>
          <w:szCs w:val="18"/>
          <w:lang w:val="lv-LV"/>
        </w:rPr>
        <w:t xml:space="preserve"> </w:t>
      </w:r>
      <w:bookmarkStart w:id="5" w:name="_Hlk190095358"/>
      <w:r w:rsidRPr="00556EC4">
        <w:rPr>
          <w:sz w:val="18"/>
          <w:szCs w:val="18"/>
          <w:lang w:val="lv-LV"/>
        </w:rPr>
        <w:t xml:space="preserve">Ministru kabineta 2022. gada 18. oktobra noteikumi Nr. 651 </w:t>
      </w:r>
      <w:bookmarkStart w:id="6" w:name="_Hlk190095216"/>
      <w:r w:rsidRPr="00556EC4">
        <w:rPr>
          <w:sz w:val="18"/>
          <w:szCs w:val="18"/>
          <w:lang w:val="lv-LV"/>
        </w:rPr>
        <w:t xml:space="preserve">“Iekšējās drošības fonda, Patvēruma, migrācijas un integrācijas fonda un Finansiāla atbalsta instrumenta robežu pārvaldībai un vīzu politikai 2021.–2027. gada plānošanas perioda īstenošanas vadības kārtība”, pieejams: https://likumi.lv/ta/id/336499-ieksejas-drosibas-fonda-patveruma-migracijas-un-integracijas-fonda-un-finansiala-atbalsta-instrumenta-robezu-parvaldibai </w:t>
      </w:r>
      <w:bookmarkEnd w:id="6"/>
    </w:p>
    <w:bookmarkEnd w:id="5"/>
  </w:footnote>
  <w:footnote w:id="25">
    <w:p w14:paraId="46C77EEC" w14:textId="5C84C6ED" w:rsidR="0062377B" w:rsidRPr="00556EC4" w:rsidRDefault="0062377B" w:rsidP="00430D9E">
      <w:pPr>
        <w:pStyle w:val="FootnoteText"/>
        <w:ind w:left="0" w:firstLine="0"/>
        <w:rPr>
          <w:sz w:val="18"/>
          <w:szCs w:val="18"/>
          <w:lang w:val="lv-LV"/>
        </w:rPr>
      </w:pPr>
      <w:r w:rsidRPr="00556EC4">
        <w:rPr>
          <w:rStyle w:val="FootnoteReference"/>
          <w:sz w:val="18"/>
          <w:szCs w:val="18"/>
        </w:rPr>
        <w:footnoteRef/>
      </w:r>
      <w:r w:rsidRPr="00556EC4">
        <w:rPr>
          <w:sz w:val="18"/>
          <w:szCs w:val="18"/>
          <w:lang w:val="lv-LV"/>
        </w:rPr>
        <w:t xml:space="preserve"> </w:t>
      </w:r>
      <w:bookmarkStart w:id="7" w:name="_Hlk190095460"/>
      <w:r w:rsidR="00430D9E" w:rsidRPr="00556EC4">
        <w:rPr>
          <w:sz w:val="18"/>
          <w:szCs w:val="18"/>
          <w:lang w:val="lv-LV"/>
        </w:rPr>
        <w:t xml:space="preserve">Ministru kabineta 2024. gada 21. maija rīkojums Nr. 396 “Plāns personu ar invaliditāti vienlīdzīgu iespēju veicināšanai 2024.–2027. gadam” </w:t>
      </w:r>
      <w:r w:rsidRPr="00556EC4">
        <w:rPr>
          <w:sz w:val="18"/>
          <w:szCs w:val="18"/>
          <w:lang w:val="lv-LV"/>
        </w:rPr>
        <w:t>https://likumi.lv/ta/id/352154-plans-personu-ar-invaliditati-vienlidzigu-iespeju-veicinasanai-20242027-gadam</w:t>
      </w:r>
    </w:p>
    <w:bookmarkEnd w:id="7"/>
  </w:footnote>
  <w:footnote w:id="26">
    <w:p w14:paraId="6E5CF208" w14:textId="2DDA4882" w:rsidR="0062377B" w:rsidRPr="00556EC4" w:rsidRDefault="0062377B"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 xml:space="preserve"> </w:t>
      </w:r>
      <w:r w:rsidRPr="00556EC4">
        <w:rPr>
          <w:sz w:val="18"/>
          <w:szCs w:val="18"/>
          <w:lang w:val="lv-LV"/>
        </w:rPr>
        <w:t>Sociālās aizsardzības un darba tirgus politikas pamatnostādnes 2021.-2027. gadam</w:t>
      </w:r>
    </w:p>
  </w:footnote>
  <w:footnote w:id="27">
    <w:p w14:paraId="7EBE15FD" w14:textId="77777777" w:rsidR="0062377B" w:rsidRPr="00556EC4" w:rsidRDefault="0062377B"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 xml:space="preserve"> </w:t>
      </w:r>
      <w:r w:rsidRPr="00556EC4">
        <w:rPr>
          <w:sz w:val="18"/>
          <w:szCs w:val="18"/>
          <w:lang w:val="lv-LV"/>
        </w:rPr>
        <w:t>Apvienoto Nāciju Organizācijas Konvencija par personu ar invaliditāti tiesībām</w:t>
      </w:r>
    </w:p>
  </w:footnote>
  <w:footnote w:id="28">
    <w:p w14:paraId="12F4E22F" w14:textId="33CF9A40" w:rsidR="0062377B" w:rsidRPr="00556EC4" w:rsidRDefault="0062377B" w:rsidP="00430D9E">
      <w:pPr>
        <w:pStyle w:val="FootnoteText"/>
        <w:ind w:left="0" w:firstLine="0"/>
        <w:rPr>
          <w:i/>
          <w:sz w:val="18"/>
          <w:szCs w:val="18"/>
          <w:lang w:val="lv-LV"/>
        </w:rPr>
      </w:pPr>
      <w:r w:rsidRPr="00556EC4">
        <w:rPr>
          <w:rStyle w:val="FootnoteReference"/>
          <w:sz w:val="18"/>
          <w:szCs w:val="18"/>
          <w:lang w:val="lv-LV"/>
        </w:rPr>
        <w:footnoteRef/>
      </w:r>
      <w:r w:rsidR="00321DF1" w:rsidRPr="00556EC4">
        <w:rPr>
          <w:sz w:val="18"/>
          <w:szCs w:val="18"/>
          <w:lang w:val="lv-LV"/>
        </w:rPr>
        <w:t xml:space="preserve"> </w:t>
      </w:r>
      <w:r w:rsidR="00321DF1" w:rsidRPr="00556EC4">
        <w:rPr>
          <w:sz w:val="18"/>
          <w:szCs w:val="18"/>
          <w:lang w:val="lv-LV"/>
        </w:rPr>
        <w:t>Ministru kabineta 2022. gada 18. oktobra noteikumi Nr. 651</w:t>
      </w:r>
      <w:r w:rsidR="00321DF1" w:rsidRPr="00556EC4">
        <w:rPr>
          <w:rStyle w:val="FootnoteReference"/>
          <w:sz w:val="18"/>
          <w:szCs w:val="18"/>
          <w:lang w:val="lv-LV"/>
        </w:rPr>
        <w:footnoteRef/>
      </w:r>
      <w:r w:rsidR="00321DF1" w:rsidRPr="00556EC4">
        <w:rPr>
          <w:sz w:val="18"/>
          <w:szCs w:val="18"/>
          <w:lang w:val="lv-LV"/>
        </w:rPr>
        <w:t xml:space="preserve"> “Iekšējās drošības fonda, Patvēruma, migrācijas un integrācijas fonda un Finansiāla atbalsta instrumenta robežu pārvaldībai un vīzu politikai 2021.–2027. gada plānošanas perioda īstenošanas vadības kārtība”, pieejams: https://likumi.lv/ta/id/336499-ieksejas-drosibas-fonda-patveruma-migracijas-un-integracijas-fonda-un-finansiala-atbalsta-instrumenta-robezu-parvaldibai </w:t>
      </w:r>
      <w:r w:rsidRPr="00556EC4">
        <w:rPr>
          <w:sz w:val="18"/>
          <w:szCs w:val="18"/>
          <w:lang w:val="lv-LV"/>
        </w:rPr>
        <w:t>https://likumi.lv/ta/id/336499-ieksejas-drosibas-fonda-patveruma-migracijas-un-integracijas-fonda-un-finansiala-atbalsta-instrumenta-robezu-parvaldibai, 120.</w:t>
      </w:r>
      <w:r w:rsidR="00321DF1" w:rsidRPr="00556EC4">
        <w:rPr>
          <w:sz w:val="18"/>
          <w:szCs w:val="18"/>
          <w:lang w:val="lv-LV"/>
        </w:rPr>
        <w:t xml:space="preserve"> </w:t>
      </w:r>
      <w:r w:rsidRPr="00556EC4">
        <w:rPr>
          <w:sz w:val="18"/>
          <w:szCs w:val="18"/>
          <w:lang w:val="lv-LV"/>
        </w:rPr>
        <w:t>punkts</w:t>
      </w:r>
    </w:p>
  </w:footnote>
  <w:footnote w:id="29">
    <w:p w14:paraId="5795D840" w14:textId="37538C7B" w:rsidR="0062377B" w:rsidRPr="00556EC4" w:rsidRDefault="0062377B" w:rsidP="00430D9E">
      <w:pPr>
        <w:pStyle w:val="FootnoteText"/>
        <w:ind w:left="0" w:firstLine="0"/>
        <w:rPr>
          <w:sz w:val="18"/>
          <w:szCs w:val="18"/>
          <w:lang w:val="lv-LV"/>
        </w:rPr>
      </w:pPr>
      <w:r w:rsidRPr="00556EC4">
        <w:rPr>
          <w:rStyle w:val="FootnoteReference"/>
          <w:sz w:val="18"/>
          <w:szCs w:val="18"/>
        </w:rPr>
        <w:footnoteRef/>
      </w:r>
      <w:r w:rsidRPr="00556EC4">
        <w:rPr>
          <w:sz w:val="18"/>
          <w:szCs w:val="18"/>
          <w:lang w:val="lv-LV"/>
        </w:rPr>
        <w:t>https://www.lm.gov.lv/lv/vadlinijas-horizontala-principa-vienlidziba-ieklausana-nediskriminacija-un-pamattiesibu-ieverosana-istenosanai-un-uzraudzibai-idf-irpvp-pmif-2021-2027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29E2164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7F42C2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C34734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1F03B0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04411D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17051A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1B43B3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F7CFE3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8640207"/>
    <w:multiLevelType w:val="hybridMultilevel"/>
    <w:tmpl w:val="CB0E4E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9E84C0B"/>
    <w:multiLevelType w:val="hybridMultilevel"/>
    <w:tmpl w:val="F16EA0D8"/>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0" w15:restartNumberingAfterBreak="0">
    <w:nsid w:val="1A2373C8"/>
    <w:multiLevelType w:val="hybridMultilevel"/>
    <w:tmpl w:val="1B34E166"/>
    <w:lvl w:ilvl="0" w:tplc="899815BC">
      <w:start w:val="1"/>
      <w:numFmt w:val="decimal"/>
      <w:lvlText w:val="%1."/>
      <w:lvlJc w:val="left"/>
      <w:pPr>
        <w:ind w:left="458" w:hanging="360"/>
      </w:pPr>
      <w:rPr>
        <w:rFonts w:hint="default"/>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1B9F4AD8"/>
    <w:multiLevelType w:val="hybridMultilevel"/>
    <w:tmpl w:val="F32A42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FD7304"/>
    <w:multiLevelType w:val="multilevel"/>
    <w:tmpl w:val="530C4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7" w15:restartNumberingAfterBreak="0">
    <w:nsid w:val="2DC05DD2"/>
    <w:multiLevelType w:val="hybridMultilevel"/>
    <w:tmpl w:val="1FFA03F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8" w15:restartNumberingAfterBreak="0">
    <w:nsid w:val="3114785E"/>
    <w:multiLevelType w:val="hybridMultilevel"/>
    <w:tmpl w:val="0DDE4FD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9" w15:restartNumberingAfterBreak="0">
    <w:nsid w:val="35761EAD"/>
    <w:multiLevelType w:val="hybridMultilevel"/>
    <w:tmpl w:val="F9246F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8F12E60"/>
    <w:multiLevelType w:val="hybridMultilevel"/>
    <w:tmpl w:val="9A2ACF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B3F2673"/>
    <w:multiLevelType w:val="hybridMultilevel"/>
    <w:tmpl w:val="222A2896"/>
    <w:lvl w:ilvl="0" w:tplc="BB8A344A">
      <w:start w:val="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856B8F"/>
    <w:multiLevelType w:val="hybridMultilevel"/>
    <w:tmpl w:val="53BA8A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D9675C4"/>
    <w:multiLevelType w:val="hybridMultilevel"/>
    <w:tmpl w:val="48E877CC"/>
    <w:lvl w:ilvl="0" w:tplc="0426000F">
      <w:start w:val="1"/>
      <w:numFmt w:val="decimal"/>
      <w:lvlText w:val="%1."/>
      <w:lvlJc w:val="left"/>
      <w:pPr>
        <w:ind w:left="458" w:hanging="360"/>
      </w:pPr>
      <w:rPr>
        <w:rFonts w:hint="default"/>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7" w15:restartNumberingAfterBreak="0">
    <w:nsid w:val="44FF3C8B"/>
    <w:multiLevelType w:val="hybridMultilevel"/>
    <w:tmpl w:val="148A5274"/>
    <w:lvl w:ilvl="0" w:tplc="CDBEAD9E">
      <w:start w:val="2024"/>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15:restartNumberingAfterBreak="0">
    <w:nsid w:val="480C3BCB"/>
    <w:multiLevelType w:val="hybridMultilevel"/>
    <w:tmpl w:val="F1BEA6E6"/>
    <w:lvl w:ilvl="0" w:tplc="5E183BC2">
      <w:start w:val="2024"/>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62A8150C"/>
    <w:multiLevelType w:val="hybridMultilevel"/>
    <w:tmpl w:val="AAB463F2"/>
    <w:lvl w:ilvl="0" w:tplc="BB8A344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BB19E6"/>
    <w:multiLevelType w:val="hybridMultilevel"/>
    <w:tmpl w:val="8356EC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56F259D"/>
    <w:multiLevelType w:val="hybridMultilevel"/>
    <w:tmpl w:val="5B7CFF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9" w15:restartNumberingAfterBreak="0">
    <w:nsid w:val="739E4583"/>
    <w:multiLevelType w:val="hybridMultilevel"/>
    <w:tmpl w:val="07E2B0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5AC2197"/>
    <w:multiLevelType w:val="multilevel"/>
    <w:tmpl w:val="AD5636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33"/>
    <w:lvlOverride w:ilvl="0">
      <w:startOverride w:val="1"/>
    </w:lvlOverride>
  </w:num>
  <w:num w:numId="10">
    <w:abstractNumId w:val="33"/>
    <w:lvlOverride w:ilvl="0">
      <w:startOverride w:val="1"/>
    </w:lvlOverride>
  </w:num>
  <w:num w:numId="11">
    <w:abstractNumId w:val="33"/>
    <w:lvlOverride w:ilvl="0">
      <w:startOverride w:val="1"/>
    </w:lvlOverride>
  </w:num>
  <w:num w:numId="12">
    <w:abstractNumId w:val="33"/>
  </w:num>
  <w:num w:numId="13">
    <w:abstractNumId w:val="24"/>
  </w:num>
  <w:num w:numId="14">
    <w:abstractNumId w:val="38"/>
  </w:num>
  <w:num w:numId="15">
    <w:abstractNumId w:val="16"/>
  </w:num>
  <w:num w:numId="16">
    <w:abstractNumId w:val="25"/>
  </w:num>
  <w:num w:numId="17">
    <w:abstractNumId w:val="26"/>
  </w:num>
  <w:num w:numId="18">
    <w:abstractNumId w:val="14"/>
  </w:num>
  <w:num w:numId="19">
    <w:abstractNumId w:val="35"/>
  </w:num>
  <w:num w:numId="20">
    <w:abstractNumId w:val="11"/>
  </w:num>
  <w:num w:numId="21">
    <w:abstractNumId w:val="28"/>
  </w:num>
  <w:num w:numId="22">
    <w:abstractNumId w:val="31"/>
  </w:num>
  <w:num w:numId="23">
    <w:abstractNumId w:val="32"/>
  </w:num>
  <w:num w:numId="24">
    <w:abstractNumId w:val="15"/>
  </w:num>
  <w:num w:numId="25">
    <w:abstractNumId w:val="30"/>
  </w:num>
  <w:num w:numId="26">
    <w:abstractNumId w:val="41"/>
  </w:num>
  <w:num w:numId="27">
    <w:abstractNumId w:val="10"/>
  </w:num>
  <w:num w:numId="28">
    <w:abstractNumId w:val="27"/>
  </w:num>
  <w:num w:numId="29">
    <w:abstractNumId w:val="29"/>
  </w:num>
  <w:num w:numId="30">
    <w:abstractNumId w:val="9"/>
  </w:num>
  <w:num w:numId="31">
    <w:abstractNumId w:val="37"/>
  </w:num>
  <w:num w:numId="32">
    <w:abstractNumId w:val="21"/>
  </w:num>
  <w:num w:numId="33">
    <w:abstractNumId w:val="34"/>
  </w:num>
  <w:num w:numId="34">
    <w:abstractNumId w:val="39"/>
  </w:num>
  <w:num w:numId="35">
    <w:abstractNumId w:val="18"/>
  </w:num>
  <w:num w:numId="36">
    <w:abstractNumId w:val="23"/>
  </w:num>
  <w:num w:numId="37">
    <w:abstractNumId w:val="12"/>
  </w:num>
  <w:num w:numId="38">
    <w:abstractNumId w:val="20"/>
  </w:num>
  <w:num w:numId="39">
    <w:abstractNumId w:val="17"/>
  </w:num>
  <w:num w:numId="40">
    <w:abstractNumId w:val="8"/>
  </w:num>
  <w:num w:numId="41">
    <w:abstractNumId w:val="22"/>
  </w:num>
  <w:num w:numId="42">
    <w:abstractNumId w:val="40"/>
  </w:num>
  <w:num w:numId="43">
    <w:abstractNumId w:val="13"/>
  </w:num>
  <w:num w:numId="44">
    <w:abstractNumId w:val="36"/>
  </w:num>
  <w:num w:numId="45">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defaultTabStop w:val="720"/>
  <w:hyphenationZone w:val="425"/>
  <w:characterSpacingControl w:val="doNotCompress"/>
  <w:hdrShapeDefaults>
    <o:shapedefaults v:ext="edit" spidmax="1105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3-01-17 08:31:1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okumentam"/>
    <w:docVar w:name="LW_ACCOMPAGNANT.CP" w:val="dokumentam"/>
    <w:docVar w:name="LW_ANNEX_NBR_FIRST" w:val="1"/>
    <w:docVar w:name="LW_ANNEX_NBR_LAST" w:val="1"/>
    <w:docVar w:name="LW_ANNEX_UNIQUE" w:val="1"/>
    <w:docVar w:name="LW_CORRIGENDUM" w:val="&lt;UNUSED&gt;"/>
    <w:docVar w:name="LW_COVERPAGE_EXISTS" w:val="True"/>
    <w:docVar w:name="LW_COVERPAGE_GUID" w:val="886FB634-73E8-4F58-AD71-D9A43B57DE46"/>
    <w:docVar w:name="LW_COVERPAGE_TYPE" w:val="1"/>
    <w:docVar w:name="LW_CROSSREFERENCE" w:val="&lt;UNUSED&gt;"/>
    <w:docVar w:name="LW_DocType" w:val="ANNEX"/>
    <w:docVar w:name="LW_EMISSION" w:val="25.1.2023"/>
    <w:docVar w:name="LW_EMISSION_ISODATE" w:val="2023-01-25"/>
    <w:docVar w:name="LW_EMISSION_LOCATION" w:val="BRX"/>
    <w:docVar w:name="LW_EMISSION_PREFIX" w:val="Brisel\u275?, "/>
    <w:docVar w:name="LW_EMISSION_SUFFIX" w:val="."/>
    <w:docVar w:name="LW_ID_DOCSTRUCTURE" w:val="COM/ANNEX"/>
    <w:docVar w:name="LW_ID_DOCTYPE" w:val="SG-068"/>
    <w:docVar w:name="LW_LANGUE" w:val="LV"/>
    <w:docVar w:name="LW_LEVEL_OF_SENSITIVITY" w:val="Standard treatment"/>
    <w:docVar w:name="LW_NOM.INST" w:val="EIROPAS KOMISIJA"/>
    <w:docVar w:name="LW_NOM.INST_JOINTDOC" w:val="&lt;EMPTY&gt;"/>
    <w:docVar w:name="LW_OBJETACTEPRINCIPAL" w:val="ar ko saska\u326?\u257? ar Regulu (ES) 2021/1149 izveido paraugu gada snieguma zi\u326?ojumiem par Iek\u353?\u275?j\u257?s dro\u353?\u299?bas fondu 2021.\u8211?2027. gada pl\u257?no\u353?anas period\u257?"/>
    <w:docVar w:name="LW_OBJETACTEPRINCIPAL.CP" w:val="ar ko saskaņā ar Regulu (ES) 2021/1149 izveido paraugu gada snieguma ziņojumiem par Iekšējās drošības fondu 2021.–2027. gada plānošanas periodā"/>
    <w:docVar w:name="LW_PART_NBR" w:val="1"/>
    <w:docVar w:name="LW_PART_NBR_TOTAL" w:val="1"/>
    <w:docVar w:name="LW_REF.INST.NEW" w:val="C"/>
    <w:docVar w:name="LW_REF.INST.NEW_ADOPTED" w:val="final"/>
    <w:docVar w:name="LW_REF.INST.NEW_TEXT" w:val="(2023) 5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IELIKUMS"/>
    <w:docVar w:name="LW_TYPE.DOC.CP" w:val="PIELIKUMS"/>
    <w:docVar w:name="LW_TYPEACTEPRINCIPAL" w:val="Komisijas \u298?steno\u353?anas regula,"/>
    <w:docVar w:name="LW_TYPEACTEPRINCIPAL.CP" w:val="Komisijas Īstenošanas regula,"/>
    <w:docVar w:name="LwApiVersions" w:val="LW4CoDe 1.23.2.0; LW 8.0, Build 20211117"/>
  </w:docVars>
  <w:rsids>
    <w:rsidRoot w:val="00555224"/>
    <w:rsid w:val="0000016F"/>
    <w:rsid w:val="000066B0"/>
    <w:rsid w:val="0001069A"/>
    <w:rsid w:val="000114FF"/>
    <w:rsid w:val="000133CF"/>
    <w:rsid w:val="00014F7C"/>
    <w:rsid w:val="0001528B"/>
    <w:rsid w:val="0002060C"/>
    <w:rsid w:val="00037FD2"/>
    <w:rsid w:val="00040782"/>
    <w:rsid w:val="0004431E"/>
    <w:rsid w:val="00046462"/>
    <w:rsid w:val="0005122B"/>
    <w:rsid w:val="00053829"/>
    <w:rsid w:val="00056D63"/>
    <w:rsid w:val="0006545D"/>
    <w:rsid w:val="00070021"/>
    <w:rsid w:val="00075EDB"/>
    <w:rsid w:val="00077A0B"/>
    <w:rsid w:val="00080846"/>
    <w:rsid w:val="00081CCF"/>
    <w:rsid w:val="00083808"/>
    <w:rsid w:val="00085A16"/>
    <w:rsid w:val="00085D54"/>
    <w:rsid w:val="00086624"/>
    <w:rsid w:val="000903CC"/>
    <w:rsid w:val="00092F97"/>
    <w:rsid w:val="00093D5B"/>
    <w:rsid w:val="000A0779"/>
    <w:rsid w:val="000A1C8F"/>
    <w:rsid w:val="000B1C92"/>
    <w:rsid w:val="000B4420"/>
    <w:rsid w:val="000C122F"/>
    <w:rsid w:val="000C254C"/>
    <w:rsid w:val="000C28BD"/>
    <w:rsid w:val="000C2EA5"/>
    <w:rsid w:val="000C30B0"/>
    <w:rsid w:val="000C4CC6"/>
    <w:rsid w:val="000D1693"/>
    <w:rsid w:val="000D3B8F"/>
    <w:rsid w:val="000D44D0"/>
    <w:rsid w:val="000D5E2F"/>
    <w:rsid w:val="000E45B7"/>
    <w:rsid w:val="000F1C58"/>
    <w:rsid w:val="00100B3C"/>
    <w:rsid w:val="0010245F"/>
    <w:rsid w:val="00103A21"/>
    <w:rsid w:val="00104E34"/>
    <w:rsid w:val="00111D07"/>
    <w:rsid w:val="00113E4B"/>
    <w:rsid w:val="001162D0"/>
    <w:rsid w:val="001162EC"/>
    <w:rsid w:val="00122018"/>
    <w:rsid w:val="00127F06"/>
    <w:rsid w:val="00132870"/>
    <w:rsid w:val="00141E24"/>
    <w:rsid w:val="00152894"/>
    <w:rsid w:val="00153209"/>
    <w:rsid w:val="0015448D"/>
    <w:rsid w:val="00154541"/>
    <w:rsid w:val="00160B21"/>
    <w:rsid w:val="00160E49"/>
    <w:rsid w:val="0016130D"/>
    <w:rsid w:val="00163461"/>
    <w:rsid w:val="001668BA"/>
    <w:rsid w:val="00171B24"/>
    <w:rsid w:val="00181A3F"/>
    <w:rsid w:val="001831DD"/>
    <w:rsid w:val="0019152D"/>
    <w:rsid w:val="001A1F71"/>
    <w:rsid w:val="001A292A"/>
    <w:rsid w:val="001A34FF"/>
    <w:rsid w:val="001B037F"/>
    <w:rsid w:val="001B436A"/>
    <w:rsid w:val="001B5B59"/>
    <w:rsid w:val="001B7FE6"/>
    <w:rsid w:val="001C0807"/>
    <w:rsid w:val="001C15FC"/>
    <w:rsid w:val="001C1F05"/>
    <w:rsid w:val="001C3BDA"/>
    <w:rsid w:val="001C4994"/>
    <w:rsid w:val="001C588A"/>
    <w:rsid w:val="001C5D09"/>
    <w:rsid w:val="001D175D"/>
    <w:rsid w:val="001D2E88"/>
    <w:rsid w:val="001D7456"/>
    <w:rsid w:val="001E0269"/>
    <w:rsid w:val="001E0672"/>
    <w:rsid w:val="001E12A7"/>
    <w:rsid w:val="001E1588"/>
    <w:rsid w:val="001E3E4B"/>
    <w:rsid w:val="001E7E11"/>
    <w:rsid w:val="001F71DC"/>
    <w:rsid w:val="001F7F00"/>
    <w:rsid w:val="00200C0C"/>
    <w:rsid w:val="00202C38"/>
    <w:rsid w:val="00203F71"/>
    <w:rsid w:val="00205FA5"/>
    <w:rsid w:val="00214C7E"/>
    <w:rsid w:val="00216D79"/>
    <w:rsid w:val="002229DC"/>
    <w:rsid w:val="00231338"/>
    <w:rsid w:val="00233087"/>
    <w:rsid w:val="0023493B"/>
    <w:rsid w:val="002357EB"/>
    <w:rsid w:val="002374ED"/>
    <w:rsid w:val="00244632"/>
    <w:rsid w:val="00244A46"/>
    <w:rsid w:val="00245E3A"/>
    <w:rsid w:val="00251735"/>
    <w:rsid w:val="00254824"/>
    <w:rsid w:val="00260785"/>
    <w:rsid w:val="002642C0"/>
    <w:rsid w:val="00267706"/>
    <w:rsid w:val="00277AF0"/>
    <w:rsid w:val="00284373"/>
    <w:rsid w:val="00284D38"/>
    <w:rsid w:val="0028509C"/>
    <w:rsid w:val="00292B4B"/>
    <w:rsid w:val="00296314"/>
    <w:rsid w:val="002A48C2"/>
    <w:rsid w:val="002A4E0C"/>
    <w:rsid w:val="002A4FD7"/>
    <w:rsid w:val="002A6B7D"/>
    <w:rsid w:val="002C0831"/>
    <w:rsid w:val="002C372E"/>
    <w:rsid w:val="002C4716"/>
    <w:rsid w:val="002C4A46"/>
    <w:rsid w:val="002C4C72"/>
    <w:rsid w:val="002C600B"/>
    <w:rsid w:val="002C60F2"/>
    <w:rsid w:val="002D548B"/>
    <w:rsid w:val="002E13C5"/>
    <w:rsid w:val="002E355D"/>
    <w:rsid w:val="002F1935"/>
    <w:rsid w:val="002F5106"/>
    <w:rsid w:val="003003B7"/>
    <w:rsid w:val="00304DF0"/>
    <w:rsid w:val="00305958"/>
    <w:rsid w:val="00310023"/>
    <w:rsid w:val="00310640"/>
    <w:rsid w:val="003121DB"/>
    <w:rsid w:val="003124B7"/>
    <w:rsid w:val="00314E9E"/>
    <w:rsid w:val="0031617C"/>
    <w:rsid w:val="003166C3"/>
    <w:rsid w:val="00317D44"/>
    <w:rsid w:val="00321DF1"/>
    <w:rsid w:val="003231A3"/>
    <w:rsid w:val="0032373D"/>
    <w:rsid w:val="00323AA1"/>
    <w:rsid w:val="00326BDD"/>
    <w:rsid w:val="00327883"/>
    <w:rsid w:val="00331034"/>
    <w:rsid w:val="00331C00"/>
    <w:rsid w:val="00332A4B"/>
    <w:rsid w:val="00333B45"/>
    <w:rsid w:val="00345144"/>
    <w:rsid w:val="00346230"/>
    <w:rsid w:val="003471D8"/>
    <w:rsid w:val="00347EE8"/>
    <w:rsid w:val="0035085A"/>
    <w:rsid w:val="00351C18"/>
    <w:rsid w:val="00352119"/>
    <w:rsid w:val="0035484F"/>
    <w:rsid w:val="00364D1C"/>
    <w:rsid w:val="003651F7"/>
    <w:rsid w:val="0037111C"/>
    <w:rsid w:val="00371AD5"/>
    <w:rsid w:val="0037254B"/>
    <w:rsid w:val="0037290B"/>
    <w:rsid w:val="00385618"/>
    <w:rsid w:val="00385D77"/>
    <w:rsid w:val="003923CA"/>
    <w:rsid w:val="003945F3"/>
    <w:rsid w:val="003954DE"/>
    <w:rsid w:val="00397A63"/>
    <w:rsid w:val="003A30A1"/>
    <w:rsid w:val="003A3A17"/>
    <w:rsid w:val="003A5978"/>
    <w:rsid w:val="003A6A89"/>
    <w:rsid w:val="003B217D"/>
    <w:rsid w:val="003B5C2B"/>
    <w:rsid w:val="003B616F"/>
    <w:rsid w:val="003D2A12"/>
    <w:rsid w:val="003D5DFD"/>
    <w:rsid w:val="003E1520"/>
    <w:rsid w:val="003E338B"/>
    <w:rsid w:val="003E36B0"/>
    <w:rsid w:val="003E3A27"/>
    <w:rsid w:val="003E46D4"/>
    <w:rsid w:val="003E4922"/>
    <w:rsid w:val="003E49B2"/>
    <w:rsid w:val="003E7D66"/>
    <w:rsid w:val="003E7F9C"/>
    <w:rsid w:val="003F4F12"/>
    <w:rsid w:val="003F695F"/>
    <w:rsid w:val="004012B7"/>
    <w:rsid w:val="0040191A"/>
    <w:rsid w:val="00405D43"/>
    <w:rsid w:val="004063D5"/>
    <w:rsid w:val="00410DEC"/>
    <w:rsid w:val="004119DA"/>
    <w:rsid w:val="0041224B"/>
    <w:rsid w:val="00425B0B"/>
    <w:rsid w:val="00427E21"/>
    <w:rsid w:val="00430D9E"/>
    <w:rsid w:val="00432B0C"/>
    <w:rsid w:val="00437336"/>
    <w:rsid w:val="0044327D"/>
    <w:rsid w:val="00446E37"/>
    <w:rsid w:val="00453788"/>
    <w:rsid w:val="004630E2"/>
    <w:rsid w:val="004708BF"/>
    <w:rsid w:val="00475B8F"/>
    <w:rsid w:val="00481574"/>
    <w:rsid w:val="00490445"/>
    <w:rsid w:val="0049785B"/>
    <w:rsid w:val="004A30F9"/>
    <w:rsid w:val="004A463D"/>
    <w:rsid w:val="004B28D5"/>
    <w:rsid w:val="004B4566"/>
    <w:rsid w:val="004C6282"/>
    <w:rsid w:val="004C6B7E"/>
    <w:rsid w:val="004D6284"/>
    <w:rsid w:val="004E137F"/>
    <w:rsid w:val="004E19E0"/>
    <w:rsid w:val="004F00F8"/>
    <w:rsid w:val="004F1E95"/>
    <w:rsid w:val="004F52C4"/>
    <w:rsid w:val="004F5C72"/>
    <w:rsid w:val="004F5E71"/>
    <w:rsid w:val="005000D5"/>
    <w:rsid w:val="00515026"/>
    <w:rsid w:val="005202F1"/>
    <w:rsid w:val="00520A2F"/>
    <w:rsid w:val="00532177"/>
    <w:rsid w:val="00535AC2"/>
    <w:rsid w:val="005365AB"/>
    <w:rsid w:val="00537BCF"/>
    <w:rsid w:val="00540164"/>
    <w:rsid w:val="00543FEE"/>
    <w:rsid w:val="00544AB4"/>
    <w:rsid w:val="00544E72"/>
    <w:rsid w:val="00545857"/>
    <w:rsid w:val="00552A8B"/>
    <w:rsid w:val="00554DAE"/>
    <w:rsid w:val="00555224"/>
    <w:rsid w:val="00555916"/>
    <w:rsid w:val="00556EC4"/>
    <w:rsid w:val="00560987"/>
    <w:rsid w:val="0056184E"/>
    <w:rsid w:val="00561E3E"/>
    <w:rsid w:val="0056447F"/>
    <w:rsid w:val="00571255"/>
    <w:rsid w:val="005712C1"/>
    <w:rsid w:val="00572981"/>
    <w:rsid w:val="00577FFB"/>
    <w:rsid w:val="00582244"/>
    <w:rsid w:val="005856EF"/>
    <w:rsid w:val="00586750"/>
    <w:rsid w:val="00591AB0"/>
    <w:rsid w:val="0059250C"/>
    <w:rsid w:val="005A2946"/>
    <w:rsid w:val="005A2C76"/>
    <w:rsid w:val="005A34FA"/>
    <w:rsid w:val="005A4005"/>
    <w:rsid w:val="005A77D9"/>
    <w:rsid w:val="005B266A"/>
    <w:rsid w:val="005B2FA1"/>
    <w:rsid w:val="005B37D1"/>
    <w:rsid w:val="005B5ADD"/>
    <w:rsid w:val="005B69E9"/>
    <w:rsid w:val="005C47C3"/>
    <w:rsid w:val="005D4ACD"/>
    <w:rsid w:val="005E2473"/>
    <w:rsid w:val="005F7766"/>
    <w:rsid w:val="006004FC"/>
    <w:rsid w:val="00602FBB"/>
    <w:rsid w:val="00604E84"/>
    <w:rsid w:val="0060652B"/>
    <w:rsid w:val="00616C0E"/>
    <w:rsid w:val="00620009"/>
    <w:rsid w:val="006219CA"/>
    <w:rsid w:val="00621FCD"/>
    <w:rsid w:val="0062377B"/>
    <w:rsid w:val="00624528"/>
    <w:rsid w:val="00635028"/>
    <w:rsid w:val="00636FE6"/>
    <w:rsid w:val="00646073"/>
    <w:rsid w:val="00647B11"/>
    <w:rsid w:val="00650495"/>
    <w:rsid w:val="00651A7C"/>
    <w:rsid w:val="00652D07"/>
    <w:rsid w:val="00655A42"/>
    <w:rsid w:val="00656EC7"/>
    <w:rsid w:val="006604CA"/>
    <w:rsid w:val="00670205"/>
    <w:rsid w:val="00683DBB"/>
    <w:rsid w:val="00685792"/>
    <w:rsid w:val="0069526B"/>
    <w:rsid w:val="006960C7"/>
    <w:rsid w:val="006968E5"/>
    <w:rsid w:val="00697942"/>
    <w:rsid w:val="006A35F0"/>
    <w:rsid w:val="006A41E2"/>
    <w:rsid w:val="006A4B05"/>
    <w:rsid w:val="006A7EFE"/>
    <w:rsid w:val="006B0C85"/>
    <w:rsid w:val="006B24AF"/>
    <w:rsid w:val="006B3536"/>
    <w:rsid w:val="006B5B67"/>
    <w:rsid w:val="006C0D1D"/>
    <w:rsid w:val="006C4EFB"/>
    <w:rsid w:val="006C5C3B"/>
    <w:rsid w:val="006D05D8"/>
    <w:rsid w:val="006D7F5F"/>
    <w:rsid w:val="006E268C"/>
    <w:rsid w:val="006E2BC6"/>
    <w:rsid w:val="006F1357"/>
    <w:rsid w:val="006F1BF7"/>
    <w:rsid w:val="006F1E13"/>
    <w:rsid w:val="006F3C12"/>
    <w:rsid w:val="006F5ACE"/>
    <w:rsid w:val="006F64DA"/>
    <w:rsid w:val="007027D4"/>
    <w:rsid w:val="007105D2"/>
    <w:rsid w:val="00713C8D"/>
    <w:rsid w:val="00714C40"/>
    <w:rsid w:val="0071685A"/>
    <w:rsid w:val="00716E07"/>
    <w:rsid w:val="00722756"/>
    <w:rsid w:val="00722DBD"/>
    <w:rsid w:val="0072491C"/>
    <w:rsid w:val="0072518C"/>
    <w:rsid w:val="007261C3"/>
    <w:rsid w:val="00734A20"/>
    <w:rsid w:val="00734BDE"/>
    <w:rsid w:val="00734F22"/>
    <w:rsid w:val="0074216E"/>
    <w:rsid w:val="007434CF"/>
    <w:rsid w:val="00743B6E"/>
    <w:rsid w:val="007478DA"/>
    <w:rsid w:val="00747C96"/>
    <w:rsid w:val="00753C85"/>
    <w:rsid w:val="00754AB4"/>
    <w:rsid w:val="00761619"/>
    <w:rsid w:val="00764088"/>
    <w:rsid w:val="00766A91"/>
    <w:rsid w:val="00766BB4"/>
    <w:rsid w:val="00766E1D"/>
    <w:rsid w:val="00767C9E"/>
    <w:rsid w:val="00772E74"/>
    <w:rsid w:val="0077621B"/>
    <w:rsid w:val="007806E9"/>
    <w:rsid w:val="0078415E"/>
    <w:rsid w:val="007850C9"/>
    <w:rsid w:val="00790F74"/>
    <w:rsid w:val="007A386C"/>
    <w:rsid w:val="007B0CF8"/>
    <w:rsid w:val="007B1C2A"/>
    <w:rsid w:val="007B5C18"/>
    <w:rsid w:val="007B6CFB"/>
    <w:rsid w:val="007C6174"/>
    <w:rsid w:val="007C7AAC"/>
    <w:rsid w:val="007D0D22"/>
    <w:rsid w:val="007D11F7"/>
    <w:rsid w:val="007D3AE7"/>
    <w:rsid w:val="007F17A7"/>
    <w:rsid w:val="007F1A68"/>
    <w:rsid w:val="007F25CB"/>
    <w:rsid w:val="007F289C"/>
    <w:rsid w:val="007F3EDC"/>
    <w:rsid w:val="007F6345"/>
    <w:rsid w:val="008008F2"/>
    <w:rsid w:val="00800E63"/>
    <w:rsid w:val="0080216F"/>
    <w:rsid w:val="00804283"/>
    <w:rsid w:val="00811661"/>
    <w:rsid w:val="00813448"/>
    <w:rsid w:val="008168D9"/>
    <w:rsid w:val="00824438"/>
    <w:rsid w:val="00826444"/>
    <w:rsid w:val="00830E61"/>
    <w:rsid w:val="00831111"/>
    <w:rsid w:val="00832C25"/>
    <w:rsid w:val="00836645"/>
    <w:rsid w:val="008366B8"/>
    <w:rsid w:val="00840866"/>
    <w:rsid w:val="00844529"/>
    <w:rsid w:val="00857043"/>
    <w:rsid w:val="008570D3"/>
    <w:rsid w:val="00857C22"/>
    <w:rsid w:val="00860CF3"/>
    <w:rsid w:val="00861BF7"/>
    <w:rsid w:val="00863EA6"/>
    <w:rsid w:val="008664F8"/>
    <w:rsid w:val="008671BE"/>
    <w:rsid w:val="00870992"/>
    <w:rsid w:val="0087657F"/>
    <w:rsid w:val="008908D4"/>
    <w:rsid w:val="00892376"/>
    <w:rsid w:val="00893A65"/>
    <w:rsid w:val="0089411A"/>
    <w:rsid w:val="00894A2F"/>
    <w:rsid w:val="008A02D6"/>
    <w:rsid w:val="008A2793"/>
    <w:rsid w:val="008A5DA7"/>
    <w:rsid w:val="008B1A84"/>
    <w:rsid w:val="008B6114"/>
    <w:rsid w:val="008C3D9E"/>
    <w:rsid w:val="008D1226"/>
    <w:rsid w:val="008D327B"/>
    <w:rsid w:val="008D3763"/>
    <w:rsid w:val="008E1CAB"/>
    <w:rsid w:val="008F0A35"/>
    <w:rsid w:val="008F1C32"/>
    <w:rsid w:val="008F1DB4"/>
    <w:rsid w:val="008F4E6A"/>
    <w:rsid w:val="008F5483"/>
    <w:rsid w:val="008F5F36"/>
    <w:rsid w:val="008F652B"/>
    <w:rsid w:val="00900D70"/>
    <w:rsid w:val="00901E53"/>
    <w:rsid w:val="009079AD"/>
    <w:rsid w:val="00912E10"/>
    <w:rsid w:val="00914B22"/>
    <w:rsid w:val="009170CA"/>
    <w:rsid w:val="009176E4"/>
    <w:rsid w:val="00921E86"/>
    <w:rsid w:val="00925C70"/>
    <w:rsid w:val="009261DF"/>
    <w:rsid w:val="00926CF6"/>
    <w:rsid w:val="00930399"/>
    <w:rsid w:val="00930AD9"/>
    <w:rsid w:val="009326C6"/>
    <w:rsid w:val="009339B0"/>
    <w:rsid w:val="00933FC4"/>
    <w:rsid w:val="009362A9"/>
    <w:rsid w:val="00940E4A"/>
    <w:rsid w:val="009462A4"/>
    <w:rsid w:val="009466F7"/>
    <w:rsid w:val="00946903"/>
    <w:rsid w:val="00947F13"/>
    <w:rsid w:val="00957881"/>
    <w:rsid w:val="00957DCA"/>
    <w:rsid w:val="009618C6"/>
    <w:rsid w:val="00963E2C"/>
    <w:rsid w:val="009668A9"/>
    <w:rsid w:val="00967035"/>
    <w:rsid w:val="00967CB2"/>
    <w:rsid w:val="00971D40"/>
    <w:rsid w:val="00975B5E"/>
    <w:rsid w:val="00982DE1"/>
    <w:rsid w:val="00983339"/>
    <w:rsid w:val="00987B61"/>
    <w:rsid w:val="0099231A"/>
    <w:rsid w:val="00997390"/>
    <w:rsid w:val="009A48FE"/>
    <w:rsid w:val="009B18E0"/>
    <w:rsid w:val="009B36A7"/>
    <w:rsid w:val="009B5345"/>
    <w:rsid w:val="009C1184"/>
    <w:rsid w:val="009D1E06"/>
    <w:rsid w:val="009D3A7D"/>
    <w:rsid w:val="009D7228"/>
    <w:rsid w:val="009E0599"/>
    <w:rsid w:val="009E5C5D"/>
    <w:rsid w:val="009E75AB"/>
    <w:rsid w:val="009F1880"/>
    <w:rsid w:val="009F61F6"/>
    <w:rsid w:val="009F716C"/>
    <w:rsid w:val="00A002B3"/>
    <w:rsid w:val="00A02CE9"/>
    <w:rsid w:val="00A0708A"/>
    <w:rsid w:val="00A13EFD"/>
    <w:rsid w:val="00A2118B"/>
    <w:rsid w:val="00A21690"/>
    <w:rsid w:val="00A24854"/>
    <w:rsid w:val="00A251EC"/>
    <w:rsid w:val="00A37983"/>
    <w:rsid w:val="00A41C4C"/>
    <w:rsid w:val="00A44041"/>
    <w:rsid w:val="00A4477E"/>
    <w:rsid w:val="00A45DF0"/>
    <w:rsid w:val="00A53DE8"/>
    <w:rsid w:val="00A554B6"/>
    <w:rsid w:val="00A61670"/>
    <w:rsid w:val="00A66EB8"/>
    <w:rsid w:val="00A7322A"/>
    <w:rsid w:val="00A80912"/>
    <w:rsid w:val="00A827C2"/>
    <w:rsid w:val="00A8385D"/>
    <w:rsid w:val="00A847E6"/>
    <w:rsid w:val="00A95791"/>
    <w:rsid w:val="00A97818"/>
    <w:rsid w:val="00AA4D08"/>
    <w:rsid w:val="00AA72E3"/>
    <w:rsid w:val="00AB0131"/>
    <w:rsid w:val="00AB0A1F"/>
    <w:rsid w:val="00AB4FA4"/>
    <w:rsid w:val="00AC5462"/>
    <w:rsid w:val="00AD33CE"/>
    <w:rsid w:val="00AD4539"/>
    <w:rsid w:val="00AD502C"/>
    <w:rsid w:val="00AD7CB5"/>
    <w:rsid w:val="00AE2964"/>
    <w:rsid w:val="00AE5793"/>
    <w:rsid w:val="00AE5AA2"/>
    <w:rsid w:val="00AE65E2"/>
    <w:rsid w:val="00AF2D41"/>
    <w:rsid w:val="00AF4ECA"/>
    <w:rsid w:val="00B00D91"/>
    <w:rsid w:val="00B03177"/>
    <w:rsid w:val="00B03A44"/>
    <w:rsid w:val="00B043A6"/>
    <w:rsid w:val="00B049E6"/>
    <w:rsid w:val="00B06517"/>
    <w:rsid w:val="00B07595"/>
    <w:rsid w:val="00B103F8"/>
    <w:rsid w:val="00B22BCD"/>
    <w:rsid w:val="00B2365F"/>
    <w:rsid w:val="00B26458"/>
    <w:rsid w:val="00B329A8"/>
    <w:rsid w:val="00B32C89"/>
    <w:rsid w:val="00B3367E"/>
    <w:rsid w:val="00B34721"/>
    <w:rsid w:val="00B40A51"/>
    <w:rsid w:val="00B455FE"/>
    <w:rsid w:val="00B524AA"/>
    <w:rsid w:val="00B54804"/>
    <w:rsid w:val="00B5488D"/>
    <w:rsid w:val="00B54958"/>
    <w:rsid w:val="00B62194"/>
    <w:rsid w:val="00B62FA7"/>
    <w:rsid w:val="00B63E06"/>
    <w:rsid w:val="00B64AC8"/>
    <w:rsid w:val="00B6561F"/>
    <w:rsid w:val="00B67418"/>
    <w:rsid w:val="00B67D57"/>
    <w:rsid w:val="00B71583"/>
    <w:rsid w:val="00B72B08"/>
    <w:rsid w:val="00B75806"/>
    <w:rsid w:val="00B76584"/>
    <w:rsid w:val="00B80600"/>
    <w:rsid w:val="00B8067B"/>
    <w:rsid w:val="00B83642"/>
    <w:rsid w:val="00B8569E"/>
    <w:rsid w:val="00B86258"/>
    <w:rsid w:val="00B97728"/>
    <w:rsid w:val="00BA580F"/>
    <w:rsid w:val="00BA6E76"/>
    <w:rsid w:val="00BB125B"/>
    <w:rsid w:val="00BB3C0E"/>
    <w:rsid w:val="00BC0B53"/>
    <w:rsid w:val="00BC1BEF"/>
    <w:rsid w:val="00BC294D"/>
    <w:rsid w:val="00BC3884"/>
    <w:rsid w:val="00BC54D3"/>
    <w:rsid w:val="00BD00C0"/>
    <w:rsid w:val="00BD1D3F"/>
    <w:rsid w:val="00BD38B4"/>
    <w:rsid w:val="00BD5A8A"/>
    <w:rsid w:val="00BE0854"/>
    <w:rsid w:val="00BE5512"/>
    <w:rsid w:val="00BE65A0"/>
    <w:rsid w:val="00BE662A"/>
    <w:rsid w:val="00BF0850"/>
    <w:rsid w:val="00BF1F9E"/>
    <w:rsid w:val="00C12AA5"/>
    <w:rsid w:val="00C150E0"/>
    <w:rsid w:val="00C20A50"/>
    <w:rsid w:val="00C21271"/>
    <w:rsid w:val="00C21D44"/>
    <w:rsid w:val="00C222B3"/>
    <w:rsid w:val="00C267A3"/>
    <w:rsid w:val="00C338CD"/>
    <w:rsid w:val="00C40454"/>
    <w:rsid w:val="00C40797"/>
    <w:rsid w:val="00C43B9B"/>
    <w:rsid w:val="00C45A19"/>
    <w:rsid w:val="00C45E1A"/>
    <w:rsid w:val="00C51C64"/>
    <w:rsid w:val="00C51DB8"/>
    <w:rsid w:val="00C54C5C"/>
    <w:rsid w:val="00C56E81"/>
    <w:rsid w:val="00C62604"/>
    <w:rsid w:val="00C629AE"/>
    <w:rsid w:val="00C65618"/>
    <w:rsid w:val="00C66DD5"/>
    <w:rsid w:val="00C71B80"/>
    <w:rsid w:val="00C71FC6"/>
    <w:rsid w:val="00C7226E"/>
    <w:rsid w:val="00C72821"/>
    <w:rsid w:val="00C73F20"/>
    <w:rsid w:val="00C74EBB"/>
    <w:rsid w:val="00C77660"/>
    <w:rsid w:val="00C8307A"/>
    <w:rsid w:val="00C83AA3"/>
    <w:rsid w:val="00C85B28"/>
    <w:rsid w:val="00C85BC5"/>
    <w:rsid w:val="00C86961"/>
    <w:rsid w:val="00C942F8"/>
    <w:rsid w:val="00CA1861"/>
    <w:rsid w:val="00CA4A64"/>
    <w:rsid w:val="00CA78DA"/>
    <w:rsid w:val="00CB0B3D"/>
    <w:rsid w:val="00CB0BD9"/>
    <w:rsid w:val="00CB52F7"/>
    <w:rsid w:val="00CB565B"/>
    <w:rsid w:val="00CB6E99"/>
    <w:rsid w:val="00CC0C3A"/>
    <w:rsid w:val="00CC162E"/>
    <w:rsid w:val="00CC31F2"/>
    <w:rsid w:val="00CC3B2E"/>
    <w:rsid w:val="00CD26D4"/>
    <w:rsid w:val="00CD2BC1"/>
    <w:rsid w:val="00CD3D87"/>
    <w:rsid w:val="00CE6AF8"/>
    <w:rsid w:val="00CF524F"/>
    <w:rsid w:val="00CF6AFB"/>
    <w:rsid w:val="00CF73D2"/>
    <w:rsid w:val="00CF742E"/>
    <w:rsid w:val="00D05DEF"/>
    <w:rsid w:val="00D0691F"/>
    <w:rsid w:val="00D069FF"/>
    <w:rsid w:val="00D07095"/>
    <w:rsid w:val="00D138D3"/>
    <w:rsid w:val="00D21661"/>
    <w:rsid w:val="00D23A6D"/>
    <w:rsid w:val="00D24F61"/>
    <w:rsid w:val="00D2663D"/>
    <w:rsid w:val="00D26D63"/>
    <w:rsid w:val="00D27059"/>
    <w:rsid w:val="00D27C44"/>
    <w:rsid w:val="00D428FD"/>
    <w:rsid w:val="00D43DC8"/>
    <w:rsid w:val="00D50164"/>
    <w:rsid w:val="00D61B53"/>
    <w:rsid w:val="00D61C87"/>
    <w:rsid w:val="00D6590A"/>
    <w:rsid w:val="00D67DEC"/>
    <w:rsid w:val="00D70BC5"/>
    <w:rsid w:val="00D74E7A"/>
    <w:rsid w:val="00D763B7"/>
    <w:rsid w:val="00D76B35"/>
    <w:rsid w:val="00D821C7"/>
    <w:rsid w:val="00D8312A"/>
    <w:rsid w:val="00D87CB8"/>
    <w:rsid w:val="00D90245"/>
    <w:rsid w:val="00D92717"/>
    <w:rsid w:val="00D95A83"/>
    <w:rsid w:val="00D96527"/>
    <w:rsid w:val="00DA44BA"/>
    <w:rsid w:val="00DA5AB9"/>
    <w:rsid w:val="00DA660B"/>
    <w:rsid w:val="00DA70A3"/>
    <w:rsid w:val="00DA7319"/>
    <w:rsid w:val="00DA7455"/>
    <w:rsid w:val="00DB1D8E"/>
    <w:rsid w:val="00DC3C8A"/>
    <w:rsid w:val="00DC6A55"/>
    <w:rsid w:val="00DC728D"/>
    <w:rsid w:val="00DD025D"/>
    <w:rsid w:val="00DD1128"/>
    <w:rsid w:val="00DD3108"/>
    <w:rsid w:val="00DD31A8"/>
    <w:rsid w:val="00DE6181"/>
    <w:rsid w:val="00DF176B"/>
    <w:rsid w:val="00DF1E54"/>
    <w:rsid w:val="00DF469A"/>
    <w:rsid w:val="00DF49E1"/>
    <w:rsid w:val="00DF68E6"/>
    <w:rsid w:val="00DF77FD"/>
    <w:rsid w:val="00E028A8"/>
    <w:rsid w:val="00E20371"/>
    <w:rsid w:val="00E23C83"/>
    <w:rsid w:val="00E304F0"/>
    <w:rsid w:val="00E32323"/>
    <w:rsid w:val="00E3390F"/>
    <w:rsid w:val="00E34B23"/>
    <w:rsid w:val="00E4031C"/>
    <w:rsid w:val="00E427B5"/>
    <w:rsid w:val="00E43934"/>
    <w:rsid w:val="00E45665"/>
    <w:rsid w:val="00E457CC"/>
    <w:rsid w:val="00E55D50"/>
    <w:rsid w:val="00E7528B"/>
    <w:rsid w:val="00E76930"/>
    <w:rsid w:val="00E80570"/>
    <w:rsid w:val="00E81168"/>
    <w:rsid w:val="00E9081D"/>
    <w:rsid w:val="00E9229D"/>
    <w:rsid w:val="00E9573D"/>
    <w:rsid w:val="00E9783C"/>
    <w:rsid w:val="00EA1A2F"/>
    <w:rsid w:val="00EA22A4"/>
    <w:rsid w:val="00EA2959"/>
    <w:rsid w:val="00EA2A8E"/>
    <w:rsid w:val="00EA7986"/>
    <w:rsid w:val="00EB15FB"/>
    <w:rsid w:val="00EB48FD"/>
    <w:rsid w:val="00EB4DBF"/>
    <w:rsid w:val="00EC3F69"/>
    <w:rsid w:val="00EC7936"/>
    <w:rsid w:val="00EC7CDD"/>
    <w:rsid w:val="00EC7F3A"/>
    <w:rsid w:val="00ED111D"/>
    <w:rsid w:val="00ED2514"/>
    <w:rsid w:val="00ED3594"/>
    <w:rsid w:val="00ED3E23"/>
    <w:rsid w:val="00ED6995"/>
    <w:rsid w:val="00ED6B28"/>
    <w:rsid w:val="00EE2CA4"/>
    <w:rsid w:val="00EE5052"/>
    <w:rsid w:val="00EF1DF1"/>
    <w:rsid w:val="00EF24F7"/>
    <w:rsid w:val="00EF3955"/>
    <w:rsid w:val="00F01869"/>
    <w:rsid w:val="00F052A0"/>
    <w:rsid w:val="00F07BDE"/>
    <w:rsid w:val="00F20874"/>
    <w:rsid w:val="00F2361F"/>
    <w:rsid w:val="00F248DA"/>
    <w:rsid w:val="00F268E8"/>
    <w:rsid w:val="00F2692D"/>
    <w:rsid w:val="00F272A3"/>
    <w:rsid w:val="00F30684"/>
    <w:rsid w:val="00F32C33"/>
    <w:rsid w:val="00F3358C"/>
    <w:rsid w:val="00F42C44"/>
    <w:rsid w:val="00F46BD5"/>
    <w:rsid w:val="00F47EA7"/>
    <w:rsid w:val="00F51232"/>
    <w:rsid w:val="00F56532"/>
    <w:rsid w:val="00F56982"/>
    <w:rsid w:val="00F611C1"/>
    <w:rsid w:val="00F71F42"/>
    <w:rsid w:val="00F72229"/>
    <w:rsid w:val="00F73530"/>
    <w:rsid w:val="00F749D7"/>
    <w:rsid w:val="00F7790E"/>
    <w:rsid w:val="00F815C4"/>
    <w:rsid w:val="00F84738"/>
    <w:rsid w:val="00F87A70"/>
    <w:rsid w:val="00F96B79"/>
    <w:rsid w:val="00F971BB"/>
    <w:rsid w:val="00FA14B4"/>
    <w:rsid w:val="00FA20C5"/>
    <w:rsid w:val="00FA3952"/>
    <w:rsid w:val="00FA5A5C"/>
    <w:rsid w:val="00FC1EE3"/>
    <w:rsid w:val="00FC395E"/>
    <w:rsid w:val="00FC3F33"/>
    <w:rsid w:val="00FC7A5E"/>
    <w:rsid w:val="00FD3D92"/>
    <w:rsid w:val="00FD4B90"/>
    <w:rsid w:val="00FD70E4"/>
    <w:rsid w:val="00FE0F19"/>
    <w:rsid w:val="00FF0E7F"/>
    <w:rsid w:val="00FF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3AA14A59"/>
  <w15:docId w15:val="{C813A8A0-E19E-488F-A944-549927D6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F71"/>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9"/>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657F"/>
    <w:rPr>
      <w:sz w:val="16"/>
      <w:szCs w:val="16"/>
    </w:rPr>
  </w:style>
  <w:style w:type="paragraph" w:styleId="CommentText">
    <w:name w:val="annotation text"/>
    <w:basedOn w:val="Normal"/>
    <w:link w:val="CommentTextChar"/>
    <w:uiPriority w:val="99"/>
    <w:unhideWhenUsed/>
    <w:rsid w:val="0087657F"/>
    <w:rPr>
      <w:sz w:val="20"/>
      <w:szCs w:val="20"/>
    </w:rPr>
  </w:style>
  <w:style w:type="character" w:customStyle="1" w:styleId="CommentTextChar">
    <w:name w:val="Comment Text Char"/>
    <w:basedOn w:val="DefaultParagraphFont"/>
    <w:link w:val="CommentText"/>
    <w:uiPriority w:val="99"/>
    <w:rsid w:val="0087657F"/>
    <w:rPr>
      <w:rFonts w:ascii="Times New Roman" w:hAnsi="Times New Roman" w:cs="Times New Roman"/>
      <w:sz w:val="20"/>
      <w:szCs w:val="20"/>
      <w:lang w:val="lv-LV"/>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2,Strip"/>
    <w:basedOn w:val="Normal"/>
    <w:link w:val="ListParagraphChar"/>
    <w:uiPriority w:val="34"/>
    <w:qFormat/>
    <w:rsid w:val="0087657F"/>
    <w:pPr>
      <w:ind w:left="720"/>
      <w:contextualSpacing/>
    </w:pPr>
  </w:style>
  <w:style w:type="table" w:styleId="TableGrid">
    <w:name w:val="Table Grid"/>
    <w:basedOn w:val="TableNormal"/>
    <w:uiPriority w:val="59"/>
    <w:rsid w:val="00876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7657F"/>
    <w:pPr>
      <w:spacing w:after="200"/>
    </w:pPr>
    <w:rPr>
      <w:i/>
      <w:iCs/>
      <w:color w:val="1F497D" w:themeColor="text2"/>
      <w:sz w:val="18"/>
      <w:szCs w:val="18"/>
    </w:rPr>
  </w:style>
  <w:style w:type="character" w:customStyle="1" w:styleId="Mention1">
    <w:name w:val="Mention1"/>
    <w:basedOn w:val="DefaultParagraphFont"/>
    <w:uiPriority w:val="99"/>
    <w:unhideWhenUsed/>
    <w:rsid w:val="0087657F"/>
    <w:rPr>
      <w:color w:val="2B579A"/>
      <w:shd w:val="clear" w:color="auto" w:fill="E6E6E6"/>
    </w:rPr>
  </w:style>
  <w:style w:type="table" w:styleId="TableGridLight">
    <w:name w:val="Grid Table Light"/>
    <w:basedOn w:val="TableNormal"/>
    <w:uiPriority w:val="40"/>
    <w:rsid w:val="008765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8765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57F"/>
    <w:rPr>
      <w:rFonts w:ascii="Segoe UI" w:hAnsi="Segoe UI" w:cs="Segoe UI"/>
      <w:sz w:val="18"/>
      <w:szCs w:val="18"/>
      <w:lang w:val="lv-LV"/>
    </w:rPr>
  </w:style>
  <w:style w:type="paragraph" w:styleId="TableofFigures">
    <w:name w:val="table of figures"/>
    <w:basedOn w:val="Normal"/>
    <w:next w:val="Normal"/>
    <w:uiPriority w:val="99"/>
    <w:semiHidden/>
    <w:unhideWhenUsed/>
    <w:rsid w:val="00244A46"/>
  </w:style>
  <w:style w:type="paragraph" w:styleId="ListBullet">
    <w:name w:val="List Bullet"/>
    <w:basedOn w:val="Normal"/>
    <w:uiPriority w:val="99"/>
    <w:semiHidden/>
    <w:unhideWhenUsed/>
    <w:rsid w:val="00244A46"/>
    <w:pPr>
      <w:numPr>
        <w:numId w:val="1"/>
      </w:numPr>
      <w:contextualSpacing/>
    </w:pPr>
  </w:style>
  <w:style w:type="paragraph" w:styleId="ListBullet2">
    <w:name w:val="List Bullet 2"/>
    <w:basedOn w:val="Normal"/>
    <w:uiPriority w:val="99"/>
    <w:semiHidden/>
    <w:unhideWhenUsed/>
    <w:rsid w:val="00244A46"/>
    <w:pPr>
      <w:numPr>
        <w:numId w:val="2"/>
      </w:numPr>
      <w:tabs>
        <w:tab w:val="clear" w:pos="643"/>
        <w:tab w:val="num" w:pos="360"/>
      </w:tabs>
      <w:ind w:left="0" w:firstLine="0"/>
      <w:contextualSpacing/>
    </w:pPr>
  </w:style>
  <w:style w:type="paragraph" w:styleId="ListBullet3">
    <w:name w:val="List Bullet 3"/>
    <w:basedOn w:val="Normal"/>
    <w:uiPriority w:val="99"/>
    <w:semiHidden/>
    <w:unhideWhenUsed/>
    <w:rsid w:val="00244A46"/>
    <w:pPr>
      <w:numPr>
        <w:numId w:val="3"/>
      </w:numPr>
      <w:contextualSpacing/>
    </w:pPr>
  </w:style>
  <w:style w:type="paragraph" w:styleId="ListBullet4">
    <w:name w:val="List Bullet 4"/>
    <w:basedOn w:val="Normal"/>
    <w:uiPriority w:val="99"/>
    <w:semiHidden/>
    <w:unhideWhenUsed/>
    <w:rsid w:val="00244A46"/>
    <w:pPr>
      <w:numPr>
        <w:numId w:val="4"/>
      </w:numPr>
      <w:contextualSpacing/>
    </w:pPr>
  </w:style>
  <w:style w:type="paragraph" w:styleId="ListNumber">
    <w:name w:val="List Number"/>
    <w:basedOn w:val="Normal"/>
    <w:uiPriority w:val="99"/>
    <w:semiHidden/>
    <w:unhideWhenUsed/>
    <w:rsid w:val="00244A46"/>
    <w:pPr>
      <w:numPr>
        <w:numId w:val="5"/>
      </w:numPr>
      <w:contextualSpacing/>
    </w:pPr>
  </w:style>
  <w:style w:type="paragraph" w:styleId="ListNumber2">
    <w:name w:val="List Number 2"/>
    <w:basedOn w:val="Normal"/>
    <w:uiPriority w:val="99"/>
    <w:semiHidden/>
    <w:unhideWhenUsed/>
    <w:rsid w:val="00244A46"/>
    <w:pPr>
      <w:numPr>
        <w:numId w:val="6"/>
      </w:numPr>
      <w:contextualSpacing/>
    </w:pPr>
  </w:style>
  <w:style w:type="paragraph" w:styleId="ListNumber3">
    <w:name w:val="List Number 3"/>
    <w:basedOn w:val="Normal"/>
    <w:uiPriority w:val="99"/>
    <w:semiHidden/>
    <w:unhideWhenUsed/>
    <w:rsid w:val="00244A46"/>
    <w:pPr>
      <w:numPr>
        <w:numId w:val="7"/>
      </w:numPr>
      <w:contextualSpacing/>
    </w:pPr>
  </w:style>
  <w:style w:type="paragraph" w:styleId="ListNumber4">
    <w:name w:val="List Number 4"/>
    <w:basedOn w:val="Normal"/>
    <w:uiPriority w:val="99"/>
    <w:semiHidden/>
    <w:unhideWhenUsed/>
    <w:rsid w:val="00244A46"/>
    <w:pPr>
      <w:numPr>
        <w:numId w:val="8"/>
      </w:numPr>
      <w:contextualSpacing/>
    </w:pPr>
  </w:style>
  <w:style w:type="paragraph" w:styleId="Revision">
    <w:name w:val="Revision"/>
    <w:hidden/>
    <w:uiPriority w:val="99"/>
    <w:semiHidden/>
    <w:rsid w:val="00C8307A"/>
    <w:rPr>
      <w:sz w:val="24"/>
    </w:rPr>
  </w:style>
  <w:style w:type="paragraph" w:styleId="CommentSubject">
    <w:name w:val="annotation subject"/>
    <w:basedOn w:val="CommentText"/>
    <w:next w:val="CommentText"/>
    <w:link w:val="CommentSubjectChar"/>
    <w:uiPriority w:val="99"/>
    <w:semiHidden/>
    <w:unhideWhenUsed/>
    <w:rsid w:val="00AD502C"/>
    <w:rPr>
      <w:b/>
      <w:bCs/>
    </w:rPr>
  </w:style>
  <w:style w:type="character" w:customStyle="1" w:styleId="CommentSubjectChar">
    <w:name w:val="Comment Subject Char"/>
    <w:basedOn w:val="CommentTextChar"/>
    <w:link w:val="CommentSubject"/>
    <w:uiPriority w:val="99"/>
    <w:semiHidden/>
    <w:rsid w:val="00AD502C"/>
    <w:rPr>
      <w:rFonts w:ascii="Times New Roman" w:hAnsi="Times New Roman" w:cs="Times New Roman"/>
      <w:b/>
      <w:bCs/>
      <w:sz w:val="20"/>
      <w:szCs w:val="20"/>
      <w:lang w:val="lv-LV"/>
    </w:rPr>
  </w:style>
  <w:style w:type="character" w:styleId="Hyperlink">
    <w:name w:val="Hyperlink"/>
    <w:basedOn w:val="DefaultParagraphFont"/>
    <w:uiPriority w:val="99"/>
    <w:unhideWhenUsed/>
    <w:rsid w:val="00AD502C"/>
    <w:rPr>
      <w:color w:val="0000FF" w:themeColor="hyperlink"/>
      <w:u w:val="single"/>
    </w:rPr>
  </w:style>
  <w:style w:type="table" w:styleId="GridTable1Light">
    <w:name w:val="Grid Table 1 Light"/>
    <w:basedOn w:val="TableNormal"/>
    <w:uiPriority w:val="46"/>
    <w:rsid w:val="00AD502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AD502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AD50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141E24"/>
    <w:rPr>
      <w:color w:val="800080" w:themeColor="followedHyperlink"/>
      <w:u w:val="single"/>
    </w:rPr>
  </w:style>
  <w:style w:type="paragraph" w:styleId="Header">
    <w:name w:val="header"/>
    <w:basedOn w:val="Normal"/>
    <w:link w:val="HeaderChar"/>
    <w:uiPriority w:val="99"/>
    <w:unhideWhenUsed/>
    <w:rsid w:val="003954DE"/>
    <w:pPr>
      <w:tabs>
        <w:tab w:val="center" w:pos="4535"/>
        <w:tab w:val="right" w:pos="9071"/>
      </w:tabs>
    </w:pPr>
  </w:style>
  <w:style w:type="character" w:customStyle="1" w:styleId="HeaderChar">
    <w:name w:val="Header Char"/>
    <w:basedOn w:val="DefaultParagraphFont"/>
    <w:link w:val="Header"/>
    <w:uiPriority w:val="99"/>
    <w:rsid w:val="003954DE"/>
    <w:rPr>
      <w:rFonts w:ascii="Times New Roman" w:hAnsi="Times New Roman" w:cs="Times New Roman"/>
      <w:sz w:val="24"/>
      <w:lang w:val="lv-LV"/>
    </w:rPr>
  </w:style>
  <w:style w:type="paragraph" w:styleId="Footer">
    <w:name w:val="footer"/>
    <w:basedOn w:val="Normal"/>
    <w:link w:val="FooterChar"/>
    <w:uiPriority w:val="99"/>
    <w:unhideWhenUsed/>
    <w:rsid w:val="003954DE"/>
    <w:pPr>
      <w:tabs>
        <w:tab w:val="center" w:pos="4535"/>
        <w:tab w:val="right" w:pos="9071"/>
        <w:tab w:val="right" w:pos="9921"/>
      </w:tabs>
      <w:spacing w:before="360"/>
      <w:ind w:left="-850" w:right="-850"/>
      <w:jc w:val="left"/>
    </w:pPr>
  </w:style>
  <w:style w:type="character" w:customStyle="1" w:styleId="FooterChar">
    <w:name w:val="Footer Char"/>
    <w:basedOn w:val="DefaultParagraphFont"/>
    <w:link w:val="Footer"/>
    <w:uiPriority w:val="99"/>
    <w:rsid w:val="003954DE"/>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eastAsiaTheme="majorEastAsia"/>
      <w:b/>
      <w:bCs/>
      <w:smallCaps/>
      <w:szCs w:val="28"/>
    </w:rPr>
  </w:style>
  <w:style w:type="character" w:customStyle="1" w:styleId="Heading2Char">
    <w:name w:val="Heading 2 Char"/>
    <w:basedOn w:val="DefaultParagraphFont"/>
    <w:link w:val="Heading2"/>
    <w:uiPriority w:val="9"/>
    <w:semiHidden/>
    <w:rPr>
      <w:rFonts w:eastAsiaTheme="majorEastAsia"/>
      <w:b/>
      <w:bCs/>
      <w:szCs w:val="26"/>
    </w:rPr>
  </w:style>
  <w:style w:type="character" w:customStyle="1" w:styleId="Heading3Char">
    <w:name w:val="Heading 3 Char"/>
    <w:basedOn w:val="DefaultParagraphFont"/>
    <w:link w:val="Heading3"/>
    <w:uiPriority w:val="9"/>
    <w:semiHidden/>
    <w:rPr>
      <w:rFonts w:eastAsiaTheme="majorEastAsia"/>
      <w:bCs/>
      <w:i/>
    </w:rPr>
  </w:style>
  <w:style w:type="character" w:customStyle="1" w:styleId="Heading4Char">
    <w:name w:val="Heading 4 Char"/>
    <w:basedOn w:val="DefaultParagraphFont"/>
    <w:link w:val="Heading4"/>
    <w:uiPriority w:val="9"/>
    <w:semiHidden/>
    <w:rPr>
      <w:rFonts w:eastAsiaTheme="majorEastAsia"/>
      <w:bCs/>
      <w:iCs/>
    </w:rPr>
  </w:style>
  <w:style w:type="character" w:customStyle="1" w:styleId="Heading5Char">
    <w:name w:val="Heading 5 Char"/>
    <w:basedOn w:val="DefaultParagraphFont"/>
    <w:link w:val="Heading5"/>
    <w:uiPriority w:val="9"/>
    <w:semiHidden/>
    <w:rPr>
      <w:rFonts w:eastAsiaTheme="majorEastAsia"/>
    </w:rPr>
  </w:style>
  <w:style w:type="character" w:customStyle="1" w:styleId="Heading6Char">
    <w:name w:val="Heading 6 Char"/>
    <w:basedOn w:val="DefaultParagraphFont"/>
    <w:link w:val="Heading6"/>
    <w:uiPriority w:val="9"/>
    <w:semiHidden/>
    <w:rPr>
      <w:rFonts w:eastAsiaTheme="majorEastAsia"/>
      <w:iCs/>
    </w:rPr>
  </w:style>
  <w:style w:type="character" w:customStyle="1" w:styleId="Heading7Char">
    <w:name w:val="Heading 7 Char"/>
    <w:basedOn w:val="DefaultParagraphFont"/>
    <w:link w:val="Heading7"/>
    <w:uiPriority w:val="9"/>
    <w:semiHidden/>
    <w:rPr>
      <w:rFonts w:eastAsiaTheme="majorEastAsia"/>
      <w:iCs/>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3954DE"/>
    <w:pPr>
      <w:tabs>
        <w:tab w:val="center" w:pos="7285"/>
        <w:tab w:val="right" w:pos="14003"/>
      </w:tabs>
    </w:pPr>
  </w:style>
  <w:style w:type="paragraph" w:customStyle="1" w:styleId="FooterLandscape">
    <w:name w:val="FooterLandscape"/>
    <w:basedOn w:val="Normal"/>
    <w:rsid w:val="003954DE"/>
    <w:pPr>
      <w:tabs>
        <w:tab w:val="center" w:pos="7285"/>
        <w:tab w:val="center" w:pos="10913"/>
        <w:tab w:val="right" w:pos="15137"/>
      </w:tabs>
      <w:spacing w:before="36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954DE"/>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HeaderSensitivityRight">
    <w:name w:val="Header Sensitivity Right"/>
    <w:basedOn w:val="Normal"/>
    <w:rsid w:val="003954DE"/>
    <w:pPr>
      <w:jc w:val="right"/>
    </w:pPr>
    <w:rPr>
      <w:sz w:val="28"/>
    </w:rPr>
  </w:style>
  <w:style w:type="paragraph" w:customStyle="1" w:styleId="FooterSensitivity">
    <w:name w:val="Footer Sensitivity"/>
    <w:basedOn w:val="Normal"/>
    <w:rsid w:val="003954DE"/>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NumPar5">
    <w:name w:val="NumPar 5"/>
    <w:basedOn w:val="Normal"/>
    <w:next w:val="Text2"/>
    <w:pPr>
      <w:numPr>
        <w:ilvl w:val="4"/>
        <w:numId w:val="18"/>
      </w:numPr>
    </w:pPr>
  </w:style>
  <w:style w:type="paragraph" w:customStyle="1" w:styleId="NumPar6">
    <w:name w:val="NumPar 6"/>
    <w:basedOn w:val="Normal"/>
    <w:next w:val="Text2"/>
    <w:pPr>
      <w:numPr>
        <w:ilvl w:val="5"/>
        <w:numId w:val="18"/>
      </w:numPr>
    </w:pPr>
  </w:style>
  <w:style w:type="paragraph" w:customStyle="1" w:styleId="NumPar7">
    <w:name w:val="NumPar 7"/>
    <w:basedOn w:val="Normal"/>
    <w:next w:val="Text2"/>
    <w:pPr>
      <w:numPr>
        <w:ilvl w:val="6"/>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B76584"/>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after="600"/>
      <w:jc w:val="center"/>
    </w:pPr>
    <w:rPr>
      <w:b/>
      <w:caps/>
    </w:rPr>
  </w:style>
  <w:style w:type="paragraph" w:customStyle="1" w:styleId="Nomdelinstitution">
    <w:name w:val="Nom de l'institution"/>
    <w:basedOn w:val="Normal"/>
    <w:next w:val="Emission"/>
    <w:pPr>
      <w:jc w:val="left"/>
    </w:pPr>
    <w:rPr>
      <w:rFonts w:ascii="Arial" w:hAnsi="Arial" w:cs="Arial"/>
    </w:rPr>
  </w:style>
  <w:style w:type="paragraph" w:customStyle="1" w:styleId="Emission">
    <w:name w:val="Emission"/>
    <w:basedOn w:val="Normal"/>
    <w:next w:val="Rfrenceinstitutionnelle"/>
    <w:pPr>
      <w:ind w:left="5103"/>
      <w:jc w:val="left"/>
    </w:pPr>
  </w:style>
  <w:style w:type="paragraph" w:customStyle="1" w:styleId="Rfrenceinstitutionnelle">
    <w:name w:val="Référence institutionnelle"/>
    <w:basedOn w:val="Normal"/>
    <w:next w:val="Confidentialit"/>
    <w:pPr>
      <w:spacing w:after="240"/>
      <w:ind w:left="5103"/>
      <w:jc w:val="left"/>
    </w:pPr>
  </w:style>
  <w:style w:type="paragraph" w:customStyle="1" w:styleId="Pagedecouverture">
    <w:name w:val="Page de couverture"/>
    <w:basedOn w:val="Normal"/>
    <w:next w:val="Normal"/>
  </w:style>
  <w:style w:type="paragraph" w:customStyle="1" w:styleId="Declassification">
    <w:name w:val="Declassification"/>
    <w:basedOn w:val="Normal"/>
    <w:next w:val="Normal"/>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line="276" w:lineRule="auto"/>
      <w:ind w:left="5103"/>
      <w:jc w:val="left"/>
    </w:pPr>
    <w:rPr>
      <w:sz w:val="28"/>
    </w:rPr>
  </w:style>
  <w:style w:type="paragraph" w:customStyle="1" w:styleId="DateMarking">
    <w:name w:val="DateMarking"/>
    <w:basedOn w:val="Normal"/>
    <w:pPr>
      <w:spacing w:line="276" w:lineRule="auto"/>
      <w:ind w:left="5103"/>
      <w:jc w:val="left"/>
    </w:pPr>
    <w:rPr>
      <w:i/>
      <w:sz w:val="28"/>
    </w:rPr>
  </w:style>
  <w:style w:type="paragraph" w:customStyle="1" w:styleId="ReleasableTo">
    <w:name w:val="ReleasableTo"/>
    <w:basedOn w:val="Normal"/>
    <w:pPr>
      <w:spacing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after="240"/>
      <w:jc w:val="left"/>
    </w:pPr>
  </w:style>
  <w:style w:type="paragraph" w:customStyle="1" w:styleId="Datedadoption">
    <w:name w:val="Date d'adoption"/>
    <w:basedOn w:val="Normal"/>
    <w:next w:val="IntrtEEE"/>
    <w:pPr>
      <w:spacing w:before="36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jc w:val="left"/>
    </w:pPr>
    <w:rPr>
      <w:i/>
    </w:rPr>
  </w:style>
  <w:style w:type="paragraph" w:customStyle="1" w:styleId="Rfrenceinterinstitutionnelle">
    <w:name w:val="Référence interinstitutionnelle"/>
    <w:basedOn w:val="Normal"/>
    <w:next w:val="Statut"/>
    <w:pPr>
      <w:ind w:left="5103"/>
      <w:jc w:val="left"/>
    </w:pPr>
  </w:style>
  <w:style w:type="paragraph" w:customStyle="1" w:styleId="Rfrenceinterne">
    <w:name w:val="Référence interne"/>
    <w:basedOn w:val="Normal"/>
    <w:next w:val="Rfrenceinterinstitutionnelle"/>
    <w:pPr>
      <w:ind w:left="5103"/>
      <w:jc w:val="left"/>
    </w:pPr>
  </w:style>
  <w:style w:type="paragraph" w:customStyle="1" w:styleId="Statut">
    <w:name w:val="Statut"/>
    <w:basedOn w:val="Normal"/>
    <w:next w:val="Typedudocument"/>
    <w:pPr>
      <w:spacing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after="600"/>
      <w:jc w:val="center"/>
    </w:pPr>
    <w:rPr>
      <w:b/>
    </w:rPr>
  </w:style>
  <w:style w:type="paragraph" w:customStyle="1" w:styleId="Languesfaisantfoi">
    <w:name w:val="Langues faisant foi"/>
    <w:basedOn w:val="Normal"/>
    <w:next w:val="Normal"/>
    <w:pPr>
      <w:spacing w:before="360"/>
      <w:jc w:val="center"/>
    </w:pPr>
  </w:style>
  <w:style w:type="paragraph" w:customStyle="1" w:styleId="Rfrencecroise">
    <w:name w:val="Référence croisée"/>
    <w:basedOn w:val="Normal"/>
    <w:pPr>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after="240"/>
      <w:jc w:val="center"/>
    </w:pPr>
    <w:rPr>
      <w:b/>
    </w:rPr>
  </w:style>
  <w:style w:type="paragraph" w:customStyle="1" w:styleId="Objetacteprincipal">
    <w:name w:val="Objet acte principal"/>
    <w:basedOn w:val="Normal"/>
    <w:next w:val="Titrearticle"/>
    <w:pPr>
      <w:spacing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jc w:val="center"/>
    </w:pPr>
  </w:style>
  <w:style w:type="character" w:styleId="UnresolvedMention">
    <w:name w:val="Unresolved Mention"/>
    <w:basedOn w:val="DefaultParagraphFont"/>
    <w:uiPriority w:val="99"/>
    <w:semiHidden/>
    <w:unhideWhenUsed/>
    <w:rsid w:val="00446E37"/>
    <w:rPr>
      <w:color w:val="605E5C"/>
      <w:shd w:val="clear" w:color="auto" w:fill="E1DFDD"/>
    </w:rPr>
  </w:style>
  <w:style w:type="paragraph" w:styleId="NormalWeb">
    <w:name w:val="Normal (Web)"/>
    <w:basedOn w:val="Normal"/>
    <w:uiPriority w:val="99"/>
    <w:semiHidden/>
    <w:unhideWhenUsed/>
    <w:rsid w:val="00DA7319"/>
    <w:pPr>
      <w:spacing w:before="100" w:beforeAutospacing="1" w:after="100" w:afterAutospacing="1"/>
      <w:jc w:val="left"/>
    </w:pPr>
    <w:rPr>
      <w:rFonts w:eastAsia="Times New Roman"/>
      <w:szCs w:val="24"/>
      <w:lang w:eastAsia="lv-LV"/>
    </w:rPr>
  </w:style>
  <w:style w:type="paragraph" w:styleId="NoSpacing">
    <w:name w:val="No Spacing"/>
    <w:uiPriority w:val="1"/>
    <w:qFormat/>
    <w:rsid w:val="00453788"/>
    <w:pPr>
      <w:widowControl w:val="0"/>
    </w:pPr>
    <w:rPr>
      <w:rFonts w:eastAsia="Calibri"/>
      <w:sz w:val="28"/>
    </w:rPr>
  </w:style>
  <w:style w:type="character" w:customStyle="1" w:styleId="rynqvb">
    <w:name w:val="rynqvb"/>
    <w:basedOn w:val="DefaultParagraphFont"/>
    <w:rsid w:val="00604E84"/>
  </w:style>
  <w:style w:type="character" w:customStyle="1" w:styleId="hwtze">
    <w:name w:val="hwtze"/>
    <w:basedOn w:val="DefaultParagraphFont"/>
    <w:rsid w:val="00604E84"/>
  </w:style>
  <w:style w:type="paragraph" w:customStyle="1" w:styleId="oj-normal">
    <w:name w:val="oj-normal"/>
    <w:basedOn w:val="Normal"/>
    <w:rsid w:val="00BC0B53"/>
    <w:pPr>
      <w:spacing w:before="100" w:beforeAutospacing="1" w:after="100" w:afterAutospacing="1"/>
      <w:jc w:val="left"/>
    </w:pPr>
    <w:rPr>
      <w:rFonts w:eastAsia="Times New Roman"/>
      <w:szCs w:val="24"/>
      <w:lang w:eastAsia="lv-LV"/>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2 Char"/>
    <w:link w:val="ListParagraph"/>
    <w:uiPriority w:val="34"/>
    <w:qFormat/>
    <w:locked/>
    <w:rsid w:val="00B40A51"/>
    <w:rPr>
      <w:rFonts w:ascii="Times New Roman" w:hAnsi="Times New Roman" w:cs="Times New Roman"/>
      <w:sz w:val="24"/>
      <w:lang w:val="lv-LV"/>
    </w:rPr>
  </w:style>
  <w:style w:type="paragraph" w:customStyle="1" w:styleId="tv213">
    <w:name w:val="tv213"/>
    <w:basedOn w:val="Normal"/>
    <w:rsid w:val="00B8067B"/>
    <w:pPr>
      <w:spacing w:before="100" w:beforeAutospacing="1" w:after="100" w:afterAutospacing="1"/>
      <w:jc w:val="left"/>
    </w:pPr>
    <w:rPr>
      <w:rFonts w:eastAsia="Times New Roman"/>
      <w:sz w:val="24"/>
      <w:szCs w:val="24"/>
      <w:lang w:val="lv-LV" w:eastAsia="lv-LV"/>
    </w:rPr>
  </w:style>
  <w:style w:type="character" w:styleId="Strong">
    <w:name w:val="Strong"/>
    <w:basedOn w:val="DefaultParagraphFont"/>
    <w:uiPriority w:val="22"/>
    <w:qFormat/>
    <w:rsid w:val="00E028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8914">
      <w:bodyDiv w:val="1"/>
      <w:marLeft w:val="0"/>
      <w:marRight w:val="0"/>
      <w:marTop w:val="0"/>
      <w:marBottom w:val="0"/>
      <w:divBdr>
        <w:top w:val="none" w:sz="0" w:space="0" w:color="auto"/>
        <w:left w:val="none" w:sz="0" w:space="0" w:color="auto"/>
        <w:bottom w:val="none" w:sz="0" w:space="0" w:color="auto"/>
        <w:right w:val="none" w:sz="0" w:space="0" w:color="auto"/>
      </w:divBdr>
    </w:div>
    <w:div w:id="578365991">
      <w:bodyDiv w:val="1"/>
      <w:marLeft w:val="0"/>
      <w:marRight w:val="0"/>
      <w:marTop w:val="0"/>
      <w:marBottom w:val="0"/>
      <w:divBdr>
        <w:top w:val="none" w:sz="0" w:space="0" w:color="auto"/>
        <w:left w:val="none" w:sz="0" w:space="0" w:color="auto"/>
        <w:bottom w:val="none" w:sz="0" w:space="0" w:color="auto"/>
        <w:right w:val="none" w:sz="0" w:space="0" w:color="auto"/>
      </w:divBdr>
    </w:div>
    <w:div w:id="579943717">
      <w:bodyDiv w:val="1"/>
      <w:marLeft w:val="0"/>
      <w:marRight w:val="0"/>
      <w:marTop w:val="0"/>
      <w:marBottom w:val="0"/>
      <w:divBdr>
        <w:top w:val="none" w:sz="0" w:space="0" w:color="auto"/>
        <w:left w:val="none" w:sz="0" w:space="0" w:color="auto"/>
        <w:bottom w:val="none" w:sz="0" w:space="0" w:color="auto"/>
        <w:right w:val="none" w:sz="0" w:space="0" w:color="auto"/>
      </w:divBdr>
    </w:div>
    <w:div w:id="661007972">
      <w:bodyDiv w:val="1"/>
      <w:marLeft w:val="0"/>
      <w:marRight w:val="0"/>
      <w:marTop w:val="0"/>
      <w:marBottom w:val="0"/>
      <w:divBdr>
        <w:top w:val="none" w:sz="0" w:space="0" w:color="auto"/>
        <w:left w:val="none" w:sz="0" w:space="0" w:color="auto"/>
        <w:bottom w:val="none" w:sz="0" w:space="0" w:color="auto"/>
        <w:right w:val="none" w:sz="0" w:space="0" w:color="auto"/>
      </w:divBdr>
    </w:div>
    <w:div w:id="684526190">
      <w:bodyDiv w:val="1"/>
      <w:marLeft w:val="0"/>
      <w:marRight w:val="0"/>
      <w:marTop w:val="0"/>
      <w:marBottom w:val="0"/>
      <w:divBdr>
        <w:top w:val="none" w:sz="0" w:space="0" w:color="auto"/>
        <w:left w:val="none" w:sz="0" w:space="0" w:color="auto"/>
        <w:bottom w:val="none" w:sz="0" w:space="0" w:color="auto"/>
        <w:right w:val="none" w:sz="0" w:space="0" w:color="auto"/>
      </w:divBdr>
    </w:div>
    <w:div w:id="739450932">
      <w:bodyDiv w:val="1"/>
      <w:marLeft w:val="0"/>
      <w:marRight w:val="0"/>
      <w:marTop w:val="0"/>
      <w:marBottom w:val="0"/>
      <w:divBdr>
        <w:top w:val="none" w:sz="0" w:space="0" w:color="auto"/>
        <w:left w:val="none" w:sz="0" w:space="0" w:color="auto"/>
        <w:bottom w:val="none" w:sz="0" w:space="0" w:color="auto"/>
        <w:right w:val="none" w:sz="0" w:space="0" w:color="auto"/>
      </w:divBdr>
    </w:div>
    <w:div w:id="905648982">
      <w:bodyDiv w:val="1"/>
      <w:marLeft w:val="0"/>
      <w:marRight w:val="0"/>
      <w:marTop w:val="0"/>
      <w:marBottom w:val="0"/>
      <w:divBdr>
        <w:top w:val="none" w:sz="0" w:space="0" w:color="auto"/>
        <w:left w:val="none" w:sz="0" w:space="0" w:color="auto"/>
        <w:bottom w:val="none" w:sz="0" w:space="0" w:color="auto"/>
        <w:right w:val="none" w:sz="0" w:space="0" w:color="auto"/>
      </w:divBdr>
    </w:div>
    <w:div w:id="919943964">
      <w:bodyDiv w:val="1"/>
      <w:marLeft w:val="0"/>
      <w:marRight w:val="0"/>
      <w:marTop w:val="0"/>
      <w:marBottom w:val="0"/>
      <w:divBdr>
        <w:top w:val="none" w:sz="0" w:space="0" w:color="auto"/>
        <w:left w:val="none" w:sz="0" w:space="0" w:color="auto"/>
        <w:bottom w:val="none" w:sz="0" w:space="0" w:color="auto"/>
        <w:right w:val="none" w:sz="0" w:space="0" w:color="auto"/>
      </w:divBdr>
    </w:div>
    <w:div w:id="1115754737">
      <w:bodyDiv w:val="1"/>
      <w:marLeft w:val="0"/>
      <w:marRight w:val="0"/>
      <w:marTop w:val="0"/>
      <w:marBottom w:val="0"/>
      <w:divBdr>
        <w:top w:val="none" w:sz="0" w:space="0" w:color="auto"/>
        <w:left w:val="none" w:sz="0" w:space="0" w:color="auto"/>
        <w:bottom w:val="none" w:sz="0" w:space="0" w:color="auto"/>
        <w:right w:val="none" w:sz="0" w:space="0" w:color="auto"/>
      </w:divBdr>
    </w:div>
    <w:div w:id="1247419415">
      <w:bodyDiv w:val="1"/>
      <w:marLeft w:val="0"/>
      <w:marRight w:val="0"/>
      <w:marTop w:val="0"/>
      <w:marBottom w:val="0"/>
      <w:divBdr>
        <w:top w:val="none" w:sz="0" w:space="0" w:color="auto"/>
        <w:left w:val="none" w:sz="0" w:space="0" w:color="auto"/>
        <w:bottom w:val="none" w:sz="0" w:space="0" w:color="auto"/>
        <w:right w:val="none" w:sz="0" w:space="0" w:color="auto"/>
      </w:divBdr>
    </w:div>
    <w:div w:id="1277181047">
      <w:bodyDiv w:val="1"/>
      <w:marLeft w:val="0"/>
      <w:marRight w:val="0"/>
      <w:marTop w:val="0"/>
      <w:marBottom w:val="0"/>
      <w:divBdr>
        <w:top w:val="none" w:sz="0" w:space="0" w:color="auto"/>
        <w:left w:val="none" w:sz="0" w:space="0" w:color="auto"/>
        <w:bottom w:val="none" w:sz="0" w:space="0" w:color="auto"/>
        <w:right w:val="none" w:sz="0" w:space="0" w:color="auto"/>
      </w:divBdr>
    </w:div>
    <w:div w:id="1318260885">
      <w:bodyDiv w:val="1"/>
      <w:marLeft w:val="0"/>
      <w:marRight w:val="0"/>
      <w:marTop w:val="0"/>
      <w:marBottom w:val="0"/>
      <w:divBdr>
        <w:top w:val="none" w:sz="0" w:space="0" w:color="auto"/>
        <w:left w:val="none" w:sz="0" w:space="0" w:color="auto"/>
        <w:bottom w:val="none" w:sz="0" w:space="0" w:color="auto"/>
        <w:right w:val="none" w:sz="0" w:space="0" w:color="auto"/>
      </w:divBdr>
    </w:div>
    <w:div w:id="1353260981">
      <w:bodyDiv w:val="1"/>
      <w:marLeft w:val="0"/>
      <w:marRight w:val="0"/>
      <w:marTop w:val="0"/>
      <w:marBottom w:val="0"/>
      <w:divBdr>
        <w:top w:val="none" w:sz="0" w:space="0" w:color="auto"/>
        <w:left w:val="none" w:sz="0" w:space="0" w:color="auto"/>
        <w:bottom w:val="none" w:sz="0" w:space="0" w:color="auto"/>
        <w:right w:val="none" w:sz="0" w:space="0" w:color="auto"/>
      </w:divBdr>
    </w:div>
    <w:div w:id="1760368726">
      <w:bodyDiv w:val="1"/>
      <w:marLeft w:val="0"/>
      <w:marRight w:val="0"/>
      <w:marTop w:val="0"/>
      <w:marBottom w:val="0"/>
      <w:divBdr>
        <w:top w:val="none" w:sz="0" w:space="0" w:color="auto"/>
        <w:left w:val="none" w:sz="0" w:space="0" w:color="auto"/>
        <w:bottom w:val="none" w:sz="0" w:space="0" w:color="auto"/>
        <w:right w:val="none" w:sz="0" w:space="0" w:color="auto"/>
      </w:divBdr>
    </w:div>
    <w:div w:id="2016111490">
      <w:bodyDiv w:val="1"/>
      <w:marLeft w:val="0"/>
      <w:marRight w:val="0"/>
      <w:marTop w:val="0"/>
      <w:marBottom w:val="0"/>
      <w:divBdr>
        <w:top w:val="none" w:sz="0" w:space="0" w:color="auto"/>
        <w:left w:val="none" w:sz="0" w:space="0" w:color="auto"/>
        <w:bottom w:val="none" w:sz="0" w:space="0" w:color="auto"/>
        <w:right w:val="none" w:sz="0" w:space="0" w:color="auto"/>
      </w:divBdr>
    </w:div>
    <w:div w:id="2017461473">
      <w:bodyDiv w:val="1"/>
      <w:marLeft w:val="0"/>
      <w:marRight w:val="0"/>
      <w:marTop w:val="0"/>
      <w:marBottom w:val="0"/>
      <w:divBdr>
        <w:top w:val="none" w:sz="0" w:space="0" w:color="auto"/>
        <w:left w:val="none" w:sz="0" w:space="0" w:color="auto"/>
        <w:bottom w:val="none" w:sz="0" w:space="0" w:color="auto"/>
        <w:right w:val="none" w:sz="0" w:space="0" w:color="auto"/>
      </w:divBdr>
    </w:div>
    <w:div w:id="2097702824">
      <w:bodyDiv w:val="1"/>
      <w:marLeft w:val="0"/>
      <w:marRight w:val="0"/>
      <w:marTop w:val="0"/>
      <w:marBottom w:val="0"/>
      <w:divBdr>
        <w:top w:val="none" w:sz="0" w:space="0" w:color="auto"/>
        <w:left w:val="none" w:sz="0" w:space="0" w:color="auto"/>
        <w:bottom w:val="none" w:sz="0" w:space="0" w:color="auto"/>
        <w:right w:val="none" w:sz="0" w:space="0" w:color="auto"/>
      </w:divBdr>
    </w:div>
    <w:div w:id="21095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ondi.lv/saku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fondi.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pportals.mk.gov.lv/legal_acts/e3e02bb8-2f8c-4cec-8993-07b42f9d7bd7" TargetMode="External"/><Relationship Id="rId5" Type="http://schemas.openxmlformats.org/officeDocument/2006/relationships/numbering" Target="numbering.xml"/><Relationship Id="rId15" Type="http://schemas.openxmlformats.org/officeDocument/2006/relationships/hyperlink" Target="https://www.lm.gov.lv/lv/labas-prakses-piemeri-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em.gov.lv/lv/eiropas-savienibas-fond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en/about-eu-funds/news?filter_by=industries::drosiba" TargetMode="External"/><Relationship Id="rId2" Type="http://schemas.openxmlformats.org/officeDocument/2006/relationships/hyperlink" Target="https://eur-lex.europa.eu/legal-content/LV/AUTO/?uri=OJ:L:2019:135:TOC" TargetMode="External"/><Relationship Id="rId1" Type="http://schemas.openxmlformats.org/officeDocument/2006/relationships/hyperlink" Target="https://eur-lex.europa.eu/legal-content/LV/AUTO/?uri=OJ:L:2019:135:TOC" TargetMode="External"/><Relationship Id="rId4" Type="http://schemas.openxmlformats.org/officeDocument/2006/relationships/hyperlink" Target="https://www.lm.gov.lv/lv/vadlinijas-horizontala-principa-vienlidziba-ieklausana-nediskriminacija-un-pamattiesibu-ieverosana-istenosanai-un-uzraudzibai-idf-irpvp-pmif-2021-20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7" ma:contentTypeDescription="Crée un document." ma:contentTypeScope="" ma:versionID="dc2f4626d67137780b08c2a7e9b000cb">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723a8bc546a816adb1c7177093903c4b"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0130C-A2DA-48C9-9464-810060B69084}">
  <ds:schemaRefs>
    <ds:schemaRef ds:uri="http://schemas.microsoft.com/sharepoint/v3/contenttype/forms"/>
  </ds:schemaRefs>
</ds:datastoreItem>
</file>

<file path=customXml/itemProps2.xml><?xml version="1.0" encoding="utf-8"?>
<ds:datastoreItem xmlns:ds="http://schemas.openxmlformats.org/officeDocument/2006/customXml" ds:itemID="{F52F8A0A-50C3-43E1-8B14-F900ABB0FCC3}">
  <ds:schemaRefs>
    <ds:schemaRef ds:uri="http://schemas.openxmlformats.org/officeDocument/2006/bibliography"/>
  </ds:schemaRefs>
</ds:datastoreItem>
</file>

<file path=customXml/itemProps3.xml><?xml version="1.0" encoding="utf-8"?>
<ds:datastoreItem xmlns:ds="http://schemas.openxmlformats.org/officeDocument/2006/customXml" ds:itemID="{75356D46-FC06-4E2C-B7DB-6E99CB91049A}">
  <ds:schemaRefs>
    <ds:schemaRef ds:uri="http://purl.org/dc/elements/1.1/"/>
    <ds:schemaRef ds:uri="http://schemas.microsoft.com/office/2006/documentManagement/types"/>
    <ds:schemaRef ds:uri="ac131f03-315b-4cd8-8e3a-6189969fd4f0"/>
    <ds:schemaRef ds:uri="5843c966-cb45-4885-93fc-2ce78a94204b"/>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24F46FEB-191F-4390-B79A-1CCCD66FB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ANNEX</Template>
  <TotalTime>1414</TotalTime>
  <Pages>18</Pages>
  <Words>38999</Words>
  <Characters>22230</Characters>
  <Application>Microsoft Office Word</Application>
  <DocSecurity>0</DocSecurity>
  <Lines>185</Lines>
  <Paragraphs>122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Manager/>
  <Company/>
  <LinksUpToDate>false</LinksUpToDate>
  <CharactersWithSpaces>61107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Jankovskis</dc:creator>
  <cp:keywords/>
  <dc:description/>
  <cp:lastModifiedBy>Elīna Laura Maļugina</cp:lastModifiedBy>
  <cp:revision>87</cp:revision>
  <cp:lastPrinted>2024-10-21T13:37:00Z</cp:lastPrinted>
  <dcterms:created xsi:type="dcterms:W3CDTF">2024-10-01T08:17:00Z</dcterms:created>
  <dcterms:modified xsi:type="dcterms:W3CDTF">2025-02-10T14:07:00Z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ContentTypeId">
    <vt:lpwstr>0x010100199782AF6692CB4E8097BF428225D135</vt:lpwstr>
  </property>
  <property fmtid="{D5CDD505-2E9C-101B-9397-08002B2CF9AE}" pid="14" name="MSIP_Label_6bd9ddd1-4d20-43f6-abfa-fc3c07406f94_Enabled">
    <vt:lpwstr>true</vt:lpwstr>
  </property>
  <property fmtid="{D5CDD505-2E9C-101B-9397-08002B2CF9AE}" pid="15" name="MSIP_Label_6bd9ddd1-4d20-43f6-abfa-fc3c07406f94_SetDate">
    <vt:lpwstr>2022-08-23T10:50:18Z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d0a220a1-afb2-4b93-b3b6-3b67db7df70a</vt:lpwstr>
  </property>
  <property fmtid="{D5CDD505-2E9C-101B-9397-08002B2CF9AE}" pid="20" name="MSIP_Label_6bd9ddd1-4d20-43f6-abfa-fc3c07406f94_ContentBits">
    <vt:lpwstr>0</vt:lpwstr>
  </property>
  <property fmtid="{D5CDD505-2E9C-101B-9397-08002B2CF9AE}" pid="21" name="DQCStatus">
    <vt:lpwstr>Green (DQC version 03)</vt:lpwstr>
  </property>
</Properties>
</file>