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0705" w14:textId="4AAF5F98" w:rsidR="00152894" w:rsidRPr="00074F53" w:rsidRDefault="00EA2959" w:rsidP="006A41E2">
      <w:pPr>
        <w:pStyle w:val="Annexetitre"/>
        <w:rPr>
          <w:noProof/>
          <w:lang w:val="lv-LV"/>
        </w:rPr>
      </w:pPr>
      <w:r w:rsidRPr="00074F53">
        <w:rPr>
          <w:noProof/>
          <w:lang w:val="lv-LV"/>
        </w:rPr>
        <w:br/>
      </w:r>
      <w:r w:rsidR="004063D5" w:rsidRPr="00074F53">
        <w:rPr>
          <w:noProof/>
          <w:lang w:val="lv-LV"/>
        </w:rPr>
        <w:t>G</w:t>
      </w:r>
      <w:r w:rsidRPr="00074F53">
        <w:rPr>
          <w:noProof/>
          <w:lang w:val="lv-LV"/>
        </w:rPr>
        <w:t>ada snieguma ziņojum</w:t>
      </w:r>
      <w:r w:rsidR="004063D5" w:rsidRPr="00074F53">
        <w:rPr>
          <w:noProof/>
          <w:lang w:val="lv-LV"/>
        </w:rPr>
        <w:t>s</w:t>
      </w:r>
      <w:r w:rsidRPr="00074F53">
        <w:rPr>
          <w:noProof/>
          <w:lang w:val="lv-LV"/>
        </w:rPr>
        <w:t>, ko dalībvalstis iesniedz Komisijai par Iekšējās drošības fondu saskaņā ar Regulas (ES) 2021/1149 30. pantu</w:t>
      </w:r>
    </w:p>
    <w:p w14:paraId="77681418" w14:textId="77777777" w:rsidR="006A41E2" w:rsidRPr="00074F53" w:rsidRDefault="006A41E2" w:rsidP="006A41E2">
      <w:pPr>
        <w:pStyle w:val="ManualHeading1"/>
        <w:rPr>
          <w:noProof/>
          <w:lang w:val="lv-LV"/>
        </w:rPr>
      </w:pPr>
      <w:r w:rsidRPr="00074F53">
        <w:rPr>
          <w:noProof/>
          <w:lang w:val="lv-LV"/>
        </w:rPr>
        <w:t>IDENTIFIKĀCIJA</w:t>
      </w:r>
    </w:p>
    <w:tbl>
      <w:tblPr>
        <w:tblStyle w:val="TableGrid"/>
        <w:tblW w:w="0" w:type="auto"/>
        <w:tblLook w:val="04A0" w:firstRow="1" w:lastRow="0" w:firstColumn="1" w:lastColumn="0" w:noHBand="0" w:noVBand="1"/>
      </w:tblPr>
      <w:tblGrid>
        <w:gridCol w:w="4523"/>
        <w:gridCol w:w="4540"/>
      </w:tblGrid>
      <w:tr w:rsidR="003A3A17" w:rsidRPr="00074F53" w14:paraId="4572D604" w14:textId="77777777" w:rsidTr="00901E53">
        <w:tc>
          <w:tcPr>
            <w:tcW w:w="4523" w:type="dxa"/>
          </w:tcPr>
          <w:p w14:paraId="6ED7CF48" w14:textId="77777777" w:rsidR="006A41E2" w:rsidRPr="00074F53" w:rsidRDefault="006A41E2" w:rsidP="00E45665">
            <w:pPr>
              <w:pStyle w:val="Personnequisigne"/>
              <w:rPr>
                <w:noProof/>
                <w:lang w:val="lv-LV"/>
              </w:rPr>
            </w:pPr>
            <w:r w:rsidRPr="00074F53">
              <w:rPr>
                <w:noProof/>
                <w:lang w:val="lv-LV"/>
              </w:rPr>
              <w:t>CCI</w:t>
            </w:r>
          </w:p>
        </w:tc>
        <w:tc>
          <w:tcPr>
            <w:tcW w:w="4540" w:type="dxa"/>
          </w:tcPr>
          <w:p w14:paraId="6837F304" w14:textId="1F26C922" w:rsidR="006A41E2" w:rsidRPr="00074F53" w:rsidRDefault="006A41E2" w:rsidP="00E45665">
            <w:pPr>
              <w:pStyle w:val="Personnequisigne"/>
              <w:rPr>
                <w:noProof/>
                <w:lang w:val="lv-LV"/>
              </w:rPr>
            </w:pPr>
          </w:p>
        </w:tc>
      </w:tr>
      <w:tr w:rsidR="003A3A17" w:rsidRPr="00074F53" w14:paraId="27126217" w14:textId="77777777" w:rsidTr="00901E53">
        <w:tc>
          <w:tcPr>
            <w:tcW w:w="4523" w:type="dxa"/>
          </w:tcPr>
          <w:p w14:paraId="61893111" w14:textId="77777777" w:rsidR="006A41E2" w:rsidRPr="00074F53" w:rsidRDefault="006A41E2" w:rsidP="00E45665">
            <w:pPr>
              <w:pStyle w:val="Personnequisigne"/>
              <w:rPr>
                <w:noProof/>
                <w:lang w:val="lv-LV"/>
              </w:rPr>
            </w:pPr>
            <w:r w:rsidRPr="00074F53">
              <w:rPr>
                <w:noProof/>
                <w:lang w:val="lv-LV"/>
              </w:rPr>
              <w:t>Nosaukums</w:t>
            </w:r>
          </w:p>
        </w:tc>
        <w:tc>
          <w:tcPr>
            <w:tcW w:w="4540" w:type="dxa"/>
          </w:tcPr>
          <w:p w14:paraId="672C3C4E" w14:textId="1B232772" w:rsidR="006A41E2" w:rsidRPr="00074F53" w:rsidRDefault="00A2118B" w:rsidP="00E45665">
            <w:pPr>
              <w:pStyle w:val="Personnequisigne"/>
              <w:rPr>
                <w:noProof/>
                <w:lang w:val="lv-LV"/>
              </w:rPr>
            </w:pPr>
            <w:r w:rsidRPr="00074F53">
              <w:rPr>
                <w:noProof/>
                <w:lang w:val="lv-LV"/>
              </w:rPr>
              <w:t>Iekšējās drošības fonda nacionālās programmas gada snieguma ziņojums</w:t>
            </w:r>
          </w:p>
        </w:tc>
      </w:tr>
      <w:tr w:rsidR="003A3A17" w:rsidRPr="00074F53" w14:paraId="1C58E2B9" w14:textId="77777777" w:rsidTr="00901E53">
        <w:tc>
          <w:tcPr>
            <w:tcW w:w="4523" w:type="dxa"/>
          </w:tcPr>
          <w:p w14:paraId="0749D976" w14:textId="77777777" w:rsidR="006A41E2" w:rsidRPr="00074F53" w:rsidRDefault="006A41E2" w:rsidP="00E45665">
            <w:pPr>
              <w:pStyle w:val="Personnequisigne"/>
              <w:rPr>
                <w:noProof/>
                <w:lang w:val="lv-LV"/>
              </w:rPr>
            </w:pPr>
            <w:r w:rsidRPr="00074F53">
              <w:rPr>
                <w:noProof/>
                <w:lang w:val="lv-LV"/>
              </w:rPr>
              <w:t>Versija</w:t>
            </w:r>
          </w:p>
        </w:tc>
        <w:tc>
          <w:tcPr>
            <w:tcW w:w="4540" w:type="dxa"/>
          </w:tcPr>
          <w:p w14:paraId="372833D2" w14:textId="1E15921C" w:rsidR="006A41E2" w:rsidRPr="00074F53" w:rsidRDefault="006A41E2" w:rsidP="00E45665">
            <w:pPr>
              <w:pStyle w:val="Personnequisigne"/>
              <w:rPr>
                <w:noProof/>
                <w:lang w:val="lv-LV"/>
              </w:rPr>
            </w:pPr>
          </w:p>
        </w:tc>
      </w:tr>
      <w:tr w:rsidR="003A3A17" w:rsidRPr="00074F53" w14:paraId="75E65B32" w14:textId="77777777" w:rsidTr="00901E53">
        <w:tc>
          <w:tcPr>
            <w:tcW w:w="4523" w:type="dxa"/>
          </w:tcPr>
          <w:p w14:paraId="18FE881C" w14:textId="77777777" w:rsidR="00901E53" w:rsidRPr="00074F53" w:rsidRDefault="00901E53" w:rsidP="00901E53">
            <w:pPr>
              <w:pStyle w:val="Personnequisigne"/>
              <w:rPr>
                <w:noProof/>
                <w:lang w:val="lv-LV"/>
              </w:rPr>
            </w:pPr>
            <w:r w:rsidRPr="00074F53">
              <w:rPr>
                <w:noProof/>
                <w:lang w:val="lv-LV"/>
              </w:rPr>
              <w:t>Grāmatvedības gads</w:t>
            </w:r>
          </w:p>
        </w:tc>
        <w:tc>
          <w:tcPr>
            <w:tcW w:w="4540" w:type="dxa"/>
          </w:tcPr>
          <w:p w14:paraId="77B856C9" w14:textId="1B18B987" w:rsidR="00901E53" w:rsidRPr="00074F53" w:rsidRDefault="00901E53" w:rsidP="00901E53">
            <w:pPr>
              <w:pStyle w:val="Personnequisigne"/>
              <w:rPr>
                <w:noProof/>
                <w:lang w:val="lv-LV"/>
              </w:rPr>
            </w:pPr>
            <w:r w:rsidRPr="00074F53">
              <w:rPr>
                <w:noProof/>
                <w:lang w:val="lv-LV"/>
              </w:rPr>
              <w:t>01.07.202</w:t>
            </w:r>
            <w:r w:rsidR="00980EBC" w:rsidRPr="00074F53">
              <w:rPr>
                <w:noProof/>
                <w:lang w:val="lv-LV"/>
              </w:rPr>
              <w:t>4.</w:t>
            </w:r>
            <w:r w:rsidRPr="00074F53">
              <w:rPr>
                <w:noProof/>
                <w:lang w:val="lv-LV"/>
              </w:rPr>
              <w:t>-30.06.202</w:t>
            </w:r>
            <w:r w:rsidR="00980EBC" w:rsidRPr="00074F53">
              <w:rPr>
                <w:noProof/>
                <w:lang w:val="lv-LV"/>
              </w:rPr>
              <w:t>5.</w:t>
            </w:r>
          </w:p>
        </w:tc>
      </w:tr>
      <w:tr w:rsidR="003A3A17" w:rsidRPr="00074F53" w14:paraId="4573001C" w14:textId="77777777" w:rsidTr="00901E53">
        <w:tc>
          <w:tcPr>
            <w:tcW w:w="4523" w:type="dxa"/>
          </w:tcPr>
          <w:p w14:paraId="214588DF" w14:textId="77777777" w:rsidR="006A41E2" w:rsidRPr="00074F53" w:rsidRDefault="006A41E2" w:rsidP="00E45665">
            <w:pPr>
              <w:pStyle w:val="Personnequisigne"/>
              <w:rPr>
                <w:noProof/>
                <w:lang w:val="lv-LV"/>
              </w:rPr>
            </w:pPr>
            <w:r w:rsidRPr="00074F53">
              <w:rPr>
                <w:noProof/>
                <w:lang w:val="lv-LV"/>
              </w:rPr>
              <w:t>Datums, kad ziņojumu apstiprinājusi uzraudzības komiteja</w:t>
            </w:r>
          </w:p>
        </w:tc>
        <w:tc>
          <w:tcPr>
            <w:tcW w:w="4540" w:type="dxa"/>
          </w:tcPr>
          <w:p w14:paraId="03A0A8A9" w14:textId="3051B05E" w:rsidR="006A41E2" w:rsidRPr="00074F53" w:rsidRDefault="006A41E2" w:rsidP="00E45665">
            <w:pPr>
              <w:pStyle w:val="Personnequisigne"/>
              <w:rPr>
                <w:noProof/>
                <w:lang w:val="lv-LV"/>
              </w:rPr>
            </w:pPr>
          </w:p>
        </w:tc>
      </w:tr>
    </w:tbl>
    <w:p w14:paraId="67D80C29" w14:textId="5F2D349B" w:rsidR="006A41E2" w:rsidRPr="00074F53" w:rsidRDefault="00B32C89" w:rsidP="00B32C89">
      <w:pPr>
        <w:pStyle w:val="ManualHeading1"/>
        <w:rPr>
          <w:noProof/>
          <w:lang w:val="lv-LV"/>
        </w:rPr>
      </w:pPr>
      <w:r w:rsidRPr="00074F53">
        <w:rPr>
          <w:lang w:val="lv-LV"/>
        </w:rPr>
        <w:t>1.</w:t>
      </w:r>
      <w:r w:rsidRPr="00074F53">
        <w:rPr>
          <w:lang w:val="lv-LV"/>
        </w:rPr>
        <w:tab/>
      </w:r>
      <w:r w:rsidR="006A41E2" w:rsidRPr="00074F53">
        <w:rPr>
          <w:noProof/>
          <w:lang w:val="lv-LV"/>
        </w:rPr>
        <w:t>Sniegums</w:t>
      </w:r>
    </w:p>
    <w:p w14:paraId="66576080" w14:textId="703C9501" w:rsidR="006A41E2" w:rsidRPr="00074F53" w:rsidRDefault="00B32C89" w:rsidP="00B32C89">
      <w:pPr>
        <w:pStyle w:val="ManualHeading2"/>
        <w:rPr>
          <w:noProof/>
          <w:lang w:val="lv-LV"/>
        </w:rPr>
      </w:pPr>
      <w:r w:rsidRPr="00074F53">
        <w:rPr>
          <w:lang w:val="lv-LV"/>
        </w:rPr>
        <w:t>1.1.</w:t>
      </w:r>
      <w:r w:rsidRPr="00074F53">
        <w:rPr>
          <w:lang w:val="lv-LV"/>
        </w:rPr>
        <w:tab/>
      </w:r>
      <w:r w:rsidR="006A41E2" w:rsidRPr="00074F53">
        <w:rPr>
          <w:noProof/>
          <w:lang w:val="lv-LV"/>
        </w:rPr>
        <w:t>Īstenošanā gūtais progress – Regulas (ES) 2021/1149 30. panta 2. punkta a) apakšpunkts</w:t>
      </w:r>
    </w:p>
    <w:p w14:paraId="411E0603" w14:textId="539EA267" w:rsidR="006A41E2" w:rsidRPr="00074F53" w:rsidRDefault="006A41E2" w:rsidP="006A41E2">
      <w:pPr>
        <w:rPr>
          <w:noProof/>
          <w:lang w:val="lv-LV"/>
        </w:rPr>
      </w:pPr>
      <w:r w:rsidRPr="00074F53">
        <w:rPr>
          <w:noProof/>
          <w:lang w:val="lv-LV"/>
        </w:rPr>
        <w:t xml:space="preserve">Par katru konkrēto mērķi paziņojiet, kāds progress gūts programmas īstenošanā un tajā izklāstīto starpposma rādītāju un mērķrādītāju sasniegšanā, ņemot vērā jaunākos datus par grāmatvedības </w:t>
      </w:r>
      <w:r w:rsidR="0093257C">
        <w:rPr>
          <w:noProof/>
          <w:lang w:val="lv-LV"/>
        </w:rPr>
        <w:t>periodu</w:t>
      </w:r>
      <w:r w:rsidRPr="00074F53">
        <w:rPr>
          <w:noProof/>
          <w:lang w:val="lv-LV"/>
        </w:rPr>
        <w:t>, kā noteikts Regulas (ES) 2021/1060 42. pantā. Ar to ir domāti kumulatīvie dati, kas sniegti līdz tā gada 31. jūlijam, kurš ir pirms ziņojuma iesniegšanas gada.</w:t>
      </w:r>
    </w:p>
    <w:p w14:paraId="37D97011" w14:textId="77777777" w:rsidR="006A41E2" w:rsidRPr="00074F53" w:rsidRDefault="006A41E2" w:rsidP="006A41E2">
      <w:pPr>
        <w:rPr>
          <w:noProof/>
          <w:lang w:val="lv-LV"/>
        </w:rPr>
      </w:pPr>
      <w:r w:rsidRPr="00074F53">
        <w:rPr>
          <w:noProof/>
          <w:lang w:val="lv-LV"/>
        </w:rPr>
        <w:t xml:space="preserve">Katram konkrētajam mērķim informāciju par progresu vēlams strukturēt pēc programmā noteiktajiem īstenošanas pasākumiem, indikatīvajām darbībām un vēlamajiem rezultātiem. </w:t>
      </w:r>
    </w:p>
    <w:p w14:paraId="2BAD00E3" w14:textId="4DD00C56" w:rsidR="006A41E2" w:rsidRPr="00074F53" w:rsidRDefault="001F7F00" w:rsidP="006A41E2">
      <w:pPr>
        <w:rPr>
          <w:noProof/>
          <w:lang w:val="lv-LV"/>
        </w:rPr>
      </w:pPr>
      <w:r w:rsidRPr="00074F53">
        <w:rPr>
          <w:noProof/>
          <w:lang w:val="lv-LV"/>
        </w:rPr>
        <w:t xml:space="preserve">Aprakstiet arī visus pasākumus, kas veikti, un attiecīgās aktivitātes, kas saistītas ar Regulas (ES) 2021/1060 8. panta 2. punktā minētās partnerības īstenošanu. </w:t>
      </w:r>
    </w:p>
    <w:tbl>
      <w:tblPr>
        <w:tblStyle w:val="TableGrid"/>
        <w:tblW w:w="0" w:type="auto"/>
        <w:tblLook w:val="04A0" w:firstRow="1" w:lastRow="0" w:firstColumn="1" w:lastColumn="0" w:noHBand="0" w:noVBand="1"/>
      </w:tblPr>
      <w:tblGrid>
        <w:gridCol w:w="9063"/>
      </w:tblGrid>
      <w:tr w:rsidR="003A3A17" w:rsidRPr="001501F7" w14:paraId="716724D8" w14:textId="77777777" w:rsidTr="00E45665">
        <w:tc>
          <w:tcPr>
            <w:tcW w:w="9289" w:type="dxa"/>
          </w:tcPr>
          <w:p w14:paraId="572D2302" w14:textId="77777777" w:rsidR="006A41E2" w:rsidRPr="00074F53" w:rsidRDefault="00EA1A2F" w:rsidP="00B54958">
            <w:pPr>
              <w:pStyle w:val="Personnequisigne"/>
              <w:rPr>
                <w:rFonts w:eastAsia="Times New Roman"/>
                <w:bCs/>
                <w:i w:val="0"/>
                <w:lang w:val="lv-LV" w:eastAsia="lv-LV"/>
              </w:rPr>
            </w:pPr>
            <w:r w:rsidRPr="00074F53">
              <w:rPr>
                <w:rFonts w:eastAsia="Times New Roman"/>
                <w:bCs/>
                <w:i w:val="0"/>
                <w:lang w:val="lv-LV" w:eastAsia="lv-LV"/>
              </w:rPr>
              <w:t>Šeit ierakstiet tekstu. Ne vairāk kā 7000 rakstzīmes.</w:t>
            </w:r>
          </w:p>
          <w:p w14:paraId="041AC8C0" w14:textId="77777777" w:rsidR="00540164" w:rsidRPr="00074F53" w:rsidRDefault="00540164" w:rsidP="00540164">
            <w:pPr>
              <w:pStyle w:val="Institutionquisigne"/>
              <w:spacing w:before="0"/>
              <w:rPr>
                <w:rFonts w:eastAsia="Times New Roman"/>
                <w:bCs/>
                <w:i w:val="0"/>
                <w:lang w:val="lv-LV" w:eastAsia="lv-LV"/>
              </w:rPr>
            </w:pPr>
            <w:bookmarkStart w:id="0" w:name="_Hlk158713595"/>
          </w:p>
          <w:p w14:paraId="7F2F8935" w14:textId="5DAFB362" w:rsidR="00C273E4" w:rsidRPr="00074F53" w:rsidRDefault="00A44041" w:rsidP="006B71D8">
            <w:pPr>
              <w:pStyle w:val="Institutionquisigne"/>
              <w:spacing w:before="0"/>
              <w:ind w:firstLine="743"/>
              <w:rPr>
                <w:rFonts w:eastAsia="Times New Roman"/>
                <w:bCs/>
                <w:i w:val="0"/>
                <w:lang w:val="lv-LV" w:eastAsia="lv-LV"/>
              </w:rPr>
            </w:pPr>
            <w:r w:rsidRPr="00074F53">
              <w:rPr>
                <w:rFonts w:eastAsia="Times New Roman"/>
                <w:bCs/>
                <w:i w:val="0"/>
                <w:lang w:val="lv-LV" w:eastAsia="lv-LV"/>
              </w:rPr>
              <w:t xml:space="preserve">Iekšējās drošības fondā (turpmāk - </w:t>
            </w:r>
            <w:r w:rsidR="0040191A" w:rsidRPr="00074F53">
              <w:rPr>
                <w:rFonts w:eastAsia="Times New Roman"/>
                <w:bCs/>
                <w:i w:val="0"/>
                <w:lang w:val="lv-LV" w:eastAsia="lv-LV"/>
              </w:rPr>
              <w:t>IDF</w:t>
            </w:r>
            <w:r w:rsidRPr="00074F53">
              <w:rPr>
                <w:rFonts w:eastAsia="Times New Roman"/>
                <w:bCs/>
                <w:i w:val="0"/>
                <w:lang w:val="lv-LV" w:eastAsia="lv-LV"/>
              </w:rPr>
              <w:t>) grāmatvedības periodā 01.07.202</w:t>
            </w:r>
            <w:r w:rsidR="00980EBC" w:rsidRPr="00074F53">
              <w:rPr>
                <w:rFonts w:eastAsia="Times New Roman"/>
                <w:bCs/>
                <w:i w:val="0"/>
                <w:lang w:val="lv-LV" w:eastAsia="lv-LV"/>
              </w:rPr>
              <w:t>4.</w:t>
            </w:r>
            <w:r w:rsidRPr="00074F53">
              <w:rPr>
                <w:rFonts w:eastAsia="Times New Roman"/>
                <w:bCs/>
                <w:i w:val="0"/>
                <w:lang w:val="lv-LV" w:eastAsia="lv-LV"/>
              </w:rPr>
              <w:t>-30.06.202</w:t>
            </w:r>
            <w:r w:rsidR="00980EBC" w:rsidRPr="00074F53">
              <w:rPr>
                <w:rFonts w:eastAsia="Times New Roman"/>
                <w:bCs/>
                <w:i w:val="0"/>
                <w:lang w:val="lv-LV" w:eastAsia="lv-LV"/>
              </w:rPr>
              <w:t>5.</w:t>
            </w:r>
            <w:r w:rsidRPr="00074F53">
              <w:rPr>
                <w:rFonts w:eastAsia="Times New Roman"/>
                <w:bCs/>
                <w:i w:val="0"/>
                <w:lang w:val="lv-LV" w:eastAsia="lv-LV"/>
              </w:rPr>
              <w:t xml:space="preserve"> (turpmāk – grāmatvedības periods) ir </w:t>
            </w:r>
            <w:r w:rsidR="003A3A17" w:rsidRPr="00074F53">
              <w:rPr>
                <w:rFonts w:eastAsia="Times New Roman"/>
                <w:bCs/>
                <w:i w:val="0"/>
                <w:lang w:val="lv-LV" w:eastAsia="lv-LV"/>
              </w:rPr>
              <w:t>panākts</w:t>
            </w:r>
            <w:r w:rsidRPr="00074F53">
              <w:rPr>
                <w:rFonts w:eastAsia="Times New Roman"/>
                <w:bCs/>
                <w:i w:val="0"/>
                <w:lang w:val="lv-LV" w:eastAsia="lv-LV"/>
              </w:rPr>
              <w:t xml:space="preserve"> šāds progress:</w:t>
            </w:r>
          </w:p>
          <w:bookmarkEnd w:id="0"/>
          <w:p w14:paraId="1591E6DE" w14:textId="77777777" w:rsidR="004063D5" w:rsidRPr="00074F53" w:rsidRDefault="004063D5" w:rsidP="006B71D8">
            <w:pPr>
              <w:pStyle w:val="Personnequisigne"/>
              <w:jc w:val="both"/>
              <w:rPr>
                <w:rFonts w:eastAsia="Times New Roman"/>
                <w:bCs/>
                <w:i w:val="0"/>
                <w:lang w:val="lv-LV" w:eastAsia="lv-LV"/>
              </w:rPr>
            </w:pPr>
          </w:p>
          <w:p w14:paraId="2491B1DC" w14:textId="1C8434E9" w:rsidR="00C273E4" w:rsidRPr="00074F53" w:rsidRDefault="00B40A51" w:rsidP="006B71D8">
            <w:pPr>
              <w:pStyle w:val="Personnequisigne"/>
              <w:ind w:left="720"/>
              <w:jc w:val="center"/>
              <w:rPr>
                <w:rFonts w:eastAsia="Times New Roman"/>
                <w:bCs/>
                <w:i w:val="0"/>
                <w:u w:val="single"/>
                <w:lang w:val="lv-LV" w:eastAsia="lv-LV"/>
              </w:rPr>
            </w:pPr>
            <w:r w:rsidRPr="00074F53">
              <w:rPr>
                <w:rFonts w:eastAsia="Times New Roman"/>
                <w:bCs/>
                <w:i w:val="0"/>
                <w:u w:val="single"/>
                <w:lang w:val="lv-LV" w:eastAsia="lv-LV"/>
              </w:rPr>
              <w:t xml:space="preserve">1. </w:t>
            </w:r>
            <w:r w:rsidR="00A44041" w:rsidRPr="00074F53">
              <w:rPr>
                <w:rFonts w:eastAsia="Times New Roman"/>
                <w:bCs/>
                <w:i w:val="0"/>
                <w:u w:val="single"/>
                <w:lang w:val="lv-LV" w:eastAsia="lv-LV"/>
              </w:rPr>
              <w:t>konkrētais mērķis</w:t>
            </w:r>
            <w:r w:rsidR="008F5F36" w:rsidRPr="00074F53">
              <w:rPr>
                <w:rFonts w:eastAsia="Times New Roman"/>
                <w:bCs/>
                <w:i w:val="0"/>
                <w:u w:val="single"/>
                <w:lang w:val="lv-LV" w:eastAsia="lv-LV"/>
              </w:rPr>
              <w:t xml:space="preserve"> “Informācijas apmaiņa</w:t>
            </w:r>
            <w:r w:rsidR="00C273E4" w:rsidRPr="00074F53">
              <w:rPr>
                <w:rFonts w:eastAsia="Times New Roman"/>
                <w:bCs/>
                <w:i w:val="0"/>
                <w:u w:val="single"/>
                <w:lang w:val="lv-LV" w:eastAsia="lv-LV"/>
              </w:rPr>
              <w:t>”</w:t>
            </w:r>
          </w:p>
          <w:p w14:paraId="16EE9AB3" w14:textId="77777777" w:rsidR="00C273E4" w:rsidRPr="00074F53" w:rsidRDefault="00C273E4" w:rsidP="006B71D8">
            <w:pPr>
              <w:pStyle w:val="Institutionquisigne"/>
              <w:spacing w:before="0"/>
              <w:rPr>
                <w:rFonts w:eastAsia="Times New Roman"/>
                <w:bCs/>
                <w:i w:val="0"/>
                <w:lang w:val="lv-LV" w:eastAsia="lv-LV"/>
              </w:rPr>
            </w:pPr>
          </w:p>
          <w:p w14:paraId="3515E753" w14:textId="77777777" w:rsidR="00C273E4" w:rsidRPr="00074F53" w:rsidRDefault="00C273E4" w:rsidP="006B71D8">
            <w:pPr>
              <w:pStyle w:val="Institutionquisigne"/>
              <w:spacing w:before="0"/>
              <w:ind w:firstLine="743"/>
              <w:rPr>
                <w:rFonts w:eastAsia="Times New Roman"/>
                <w:bCs/>
                <w:i w:val="0"/>
                <w:lang w:val="lv-LV" w:eastAsia="lv-LV"/>
              </w:rPr>
            </w:pPr>
            <w:r w:rsidRPr="00074F53">
              <w:rPr>
                <w:rFonts w:eastAsia="Times New Roman"/>
                <w:bCs/>
                <w:i w:val="0"/>
                <w:lang w:val="lv-LV" w:eastAsia="lv-LV"/>
              </w:rPr>
              <w:t>Grāmatvedības periodā turpinājās 3 projektu īstenošana un uzsākts 1 jauns projekts. Finansējuma saņēmēji ir Valsts policija (turpmāk – VP), Valsts drošības dienests (turpmāk - VDD) un Iekšlietu ministrijas Informācijas centrs (turpmāk – IeM IC).</w:t>
            </w:r>
          </w:p>
          <w:p w14:paraId="68CD44BD" w14:textId="4950EB09" w:rsidR="00C273E4" w:rsidRPr="00074F53" w:rsidRDefault="00C273E4" w:rsidP="006B71D8">
            <w:pPr>
              <w:pStyle w:val="Institutionquisigne"/>
              <w:spacing w:before="0"/>
              <w:ind w:firstLine="743"/>
              <w:rPr>
                <w:rFonts w:eastAsia="Times New Roman"/>
                <w:bCs/>
                <w:i w:val="0"/>
                <w:lang w:val="lv-LV" w:eastAsia="lv-LV"/>
              </w:rPr>
            </w:pPr>
            <w:r w:rsidRPr="00074F53">
              <w:rPr>
                <w:rFonts w:eastAsia="Times New Roman"/>
                <w:bCs/>
                <w:i w:val="0"/>
                <w:lang w:val="lv-LV" w:eastAsia="lv-LV"/>
              </w:rPr>
              <w:t xml:space="preserve">Lai sasniegtu nacionālajā programmā noteikto mērķi – </w:t>
            </w:r>
            <w:bookmarkStart w:id="1" w:name="_Hlk221197484"/>
            <w:r w:rsidRPr="00074F53">
              <w:rPr>
                <w:rFonts w:eastAsia="Times New Roman"/>
                <w:bCs/>
                <w:i w:val="0"/>
                <w:lang w:val="lv-LV" w:eastAsia="lv-LV"/>
              </w:rPr>
              <w:t>attīstīt informācijas sistēmu un datubāzu sadarbspēju</w:t>
            </w:r>
            <w:bookmarkEnd w:id="1"/>
            <w:r w:rsidRPr="00074F53">
              <w:rPr>
                <w:rFonts w:eastAsia="Times New Roman"/>
                <w:bCs/>
                <w:i w:val="0"/>
                <w:lang w:val="lv-LV" w:eastAsia="lv-LV"/>
              </w:rPr>
              <w:t>, IeM IC sadarbībā ar VP turpināja īstenot projektu, kura ietvaros panākts sekojošs progress</w:t>
            </w:r>
            <w:r w:rsidR="00B42B23" w:rsidRPr="00074F53">
              <w:rPr>
                <w:rFonts w:eastAsia="Times New Roman"/>
                <w:bCs/>
                <w:i w:val="0"/>
                <w:lang w:val="lv-LV" w:eastAsia="lv-LV"/>
              </w:rPr>
              <w:t>:</w:t>
            </w:r>
          </w:p>
          <w:p w14:paraId="69643ABF" w14:textId="01DFD556" w:rsidR="00B42B23" w:rsidRPr="00074F53" w:rsidRDefault="006B71D8" w:rsidP="00EE6CE8">
            <w:pPr>
              <w:pStyle w:val="Personnequisigne"/>
              <w:numPr>
                <w:ilvl w:val="0"/>
                <w:numId w:val="27"/>
              </w:numPr>
              <w:jc w:val="both"/>
              <w:rPr>
                <w:rFonts w:eastAsia="Times New Roman"/>
                <w:bCs/>
                <w:i w:val="0"/>
                <w:lang w:val="lv-LV" w:eastAsia="lv-LV"/>
              </w:rPr>
            </w:pPr>
            <w:r w:rsidRPr="00074F53">
              <w:rPr>
                <w:rFonts w:eastAsia="Times New Roman"/>
                <w:bCs/>
                <w:i w:val="0"/>
                <w:lang w:val="lv-LV" w:eastAsia="lv-LV"/>
              </w:rPr>
              <w:t>IeM IC e-Lieta sistēmai “Tiešsaistes meklētājs”</w:t>
            </w:r>
            <w:r w:rsidR="00B42B23" w:rsidRPr="00074F53">
              <w:rPr>
                <w:rFonts w:eastAsia="Times New Roman"/>
                <w:bCs/>
                <w:i w:val="0"/>
                <w:lang w:val="lv-LV" w:eastAsia="lv-LV"/>
              </w:rPr>
              <w:t xml:space="preserve"> izveidota integrācija ar datu avotiem: Biometrijas datu apstrādes sistēmas (BDAS), IIIS Ieroču reģistrs, “Noziedzīgus nodarījumus nodarījušās personas” (NNIP), Notāru IS</w:t>
            </w:r>
            <w:r w:rsidR="00DE4A49" w:rsidRPr="00074F53">
              <w:rPr>
                <w:rFonts w:eastAsia="Times New Roman"/>
                <w:bCs/>
                <w:i w:val="0"/>
                <w:lang w:val="lv-LV" w:eastAsia="lv-LV"/>
              </w:rPr>
              <w:t>;</w:t>
            </w:r>
          </w:p>
          <w:p w14:paraId="237C7033" w14:textId="65505FCE" w:rsidR="00B42B23" w:rsidRPr="00074F53" w:rsidRDefault="006B71D8" w:rsidP="00EE6CE8">
            <w:pPr>
              <w:pStyle w:val="Personnequisigne"/>
              <w:numPr>
                <w:ilvl w:val="0"/>
                <w:numId w:val="27"/>
              </w:numPr>
              <w:jc w:val="both"/>
              <w:rPr>
                <w:rFonts w:eastAsia="Times New Roman"/>
                <w:bCs/>
                <w:i w:val="0"/>
                <w:lang w:val="lv-LV" w:eastAsia="lv-LV"/>
              </w:rPr>
            </w:pPr>
            <w:r w:rsidRPr="00074F53">
              <w:rPr>
                <w:rFonts w:eastAsia="Times New Roman"/>
                <w:bCs/>
                <w:i w:val="0"/>
                <w:lang w:val="lv-LV" w:eastAsia="lv-LV"/>
              </w:rPr>
              <w:t>Jaunās paaudzes Integrētās iekšlietu informācijas sistēmas (</w:t>
            </w:r>
            <w:r w:rsidR="00B42B23" w:rsidRPr="00074F53">
              <w:rPr>
                <w:rFonts w:eastAsia="Times New Roman"/>
                <w:bCs/>
                <w:i w:val="0"/>
                <w:lang w:val="lv-LV" w:eastAsia="lv-LV"/>
              </w:rPr>
              <w:t>IIIS2</w:t>
            </w:r>
            <w:r w:rsidRPr="00074F53">
              <w:rPr>
                <w:rFonts w:eastAsia="Times New Roman"/>
                <w:bCs/>
                <w:i w:val="0"/>
                <w:lang w:val="lv-LV" w:eastAsia="lv-LV"/>
              </w:rPr>
              <w:t>)</w:t>
            </w:r>
            <w:r w:rsidR="00B42B23" w:rsidRPr="00074F53">
              <w:rPr>
                <w:rFonts w:eastAsia="Times New Roman"/>
                <w:bCs/>
                <w:i w:val="0"/>
                <w:lang w:val="lv-LV" w:eastAsia="lv-LV"/>
              </w:rPr>
              <w:t xml:space="preserve"> Personu reģistrs papildināts ar risinājumiem (Digitālais cilvēks un </w:t>
            </w:r>
            <w:proofErr w:type="spellStart"/>
            <w:r w:rsidR="00B42B23" w:rsidRPr="00074F53">
              <w:rPr>
                <w:rFonts w:eastAsia="Times New Roman"/>
                <w:bCs/>
                <w:i w:val="0"/>
                <w:lang w:val="lv-LV" w:eastAsia="lv-LV"/>
              </w:rPr>
              <w:t>Fotokomplekti</w:t>
            </w:r>
            <w:proofErr w:type="spellEnd"/>
            <w:r w:rsidR="00B42B23" w:rsidRPr="00074F53">
              <w:rPr>
                <w:rFonts w:eastAsia="Times New Roman"/>
                <w:bCs/>
                <w:i w:val="0"/>
                <w:lang w:val="lv-LV" w:eastAsia="lv-LV"/>
              </w:rPr>
              <w:t>);</w:t>
            </w:r>
          </w:p>
          <w:p w14:paraId="586D0694" w14:textId="34D552B8" w:rsidR="00B42B23" w:rsidRPr="00074F53" w:rsidRDefault="00B42B23" w:rsidP="00EE6CE8">
            <w:pPr>
              <w:pStyle w:val="Personnequisigne"/>
              <w:numPr>
                <w:ilvl w:val="0"/>
                <w:numId w:val="27"/>
              </w:numPr>
              <w:jc w:val="both"/>
              <w:rPr>
                <w:rFonts w:eastAsia="Times New Roman"/>
                <w:bCs/>
                <w:i w:val="0"/>
                <w:lang w:val="lv-LV" w:eastAsia="lv-LV"/>
              </w:rPr>
            </w:pPr>
            <w:r w:rsidRPr="00074F53">
              <w:rPr>
                <w:rFonts w:eastAsia="Times New Roman"/>
                <w:bCs/>
                <w:i w:val="0"/>
                <w:lang w:val="lv-LV" w:eastAsia="lv-LV"/>
              </w:rPr>
              <w:t>Nodrošinātas TM izdrukas (Vispārīgās un Individuālas).</w:t>
            </w:r>
          </w:p>
          <w:p w14:paraId="2F33AFB2" w14:textId="32F80432" w:rsidR="00B42B23" w:rsidRPr="00074F53" w:rsidRDefault="00B42B23" w:rsidP="00EE6CE8">
            <w:pPr>
              <w:pStyle w:val="Institutionquisigne"/>
              <w:numPr>
                <w:ilvl w:val="0"/>
                <w:numId w:val="27"/>
              </w:numPr>
              <w:spacing w:before="0"/>
              <w:ind w:left="714" w:hanging="357"/>
              <w:rPr>
                <w:rFonts w:eastAsia="Times New Roman"/>
                <w:bCs/>
                <w:i w:val="0"/>
                <w:lang w:val="lv-LV" w:eastAsia="lv-LV"/>
              </w:rPr>
            </w:pPr>
            <w:r w:rsidRPr="00074F53">
              <w:rPr>
                <w:rFonts w:eastAsia="Times New Roman"/>
                <w:bCs/>
                <w:i w:val="0"/>
                <w:lang w:val="lv-LV" w:eastAsia="lv-LV"/>
              </w:rPr>
              <w:t>Turpināts darbs pie datu migrācijas no vecās datu bāzes uz jauno risinājumu IIIS2 ietvaros;</w:t>
            </w:r>
          </w:p>
          <w:p w14:paraId="5589051B" w14:textId="77777777" w:rsidR="006B71D8" w:rsidRPr="00074F53" w:rsidRDefault="00B42B23" w:rsidP="00EE6CE8">
            <w:pPr>
              <w:pStyle w:val="Personnequisigne"/>
              <w:numPr>
                <w:ilvl w:val="0"/>
                <w:numId w:val="27"/>
              </w:numPr>
              <w:jc w:val="both"/>
              <w:rPr>
                <w:rFonts w:eastAsia="Times New Roman"/>
                <w:bCs/>
                <w:i w:val="0"/>
                <w:lang w:val="lv-LV" w:eastAsia="lv-LV"/>
              </w:rPr>
            </w:pPr>
            <w:r w:rsidRPr="00074F53">
              <w:rPr>
                <w:rFonts w:eastAsia="Times New Roman"/>
                <w:bCs/>
                <w:i w:val="0"/>
                <w:lang w:val="lv-LV" w:eastAsia="lv-LV"/>
              </w:rPr>
              <w:t>Veikta izstrādātās funkcionalitātes drošības testēšana, kuras rezultātā konstatētie riski, tika izvērtēti, atbilstoši novērsti ar augstāko riska pakāpi, kā arī turpinās novēršana tiem riskiem, kas skar arī risinājumus ārpus projekta tvēruma.</w:t>
            </w:r>
          </w:p>
          <w:p w14:paraId="01F0E8ED" w14:textId="77777777" w:rsidR="006B71D8" w:rsidRPr="00074F53" w:rsidRDefault="006B71D8" w:rsidP="006B71D8">
            <w:pPr>
              <w:pStyle w:val="Personnequisigne"/>
              <w:rPr>
                <w:rFonts w:eastAsia="Times New Roman"/>
                <w:bCs/>
                <w:i w:val="0"/>
                <w:lang w:val="lv-LV" w:eastAsia="lv-LV"/>
              </w:rPr>
            </w:pPr>
          </w:p>
          <w:p w14:paraId="2A522308" w14:textId="0495CD48" w:rsidR="00B42B23" w:rsidRPr="00074F53" w:rsidRDefault="006B71D8" w:rsidP="006B71D8">
            <w:pPr>
              <w:pStyle w:val="Personnequisigne"/>
              <w:ind w:firstLine="885"/>
              <w:jc w:val="both"/>
              <w:rPr>
                <w:rFonts w:eastAsia="Times New Roman"/>
                <w:bCs/>
                <w:i w:val="0"/>
                <w:lang w:val="lv-LV" w:eastAsia="lv-LV"/>
              </w:rPr>
            </w:pPr>
            <w:r w:rsidRPr="00074F53">
              <w:rPr>
                <w:rFonts w:eastAsia="Times New Roman"/>
                <w:bCs/>
                <w:i w:val="0"/>
                <w:lang w:val="lv-LV" w:eastAsia="lv-LV"/>
              </w:rPr>
              <w:t xml:space="preserve">Lai izpildītu prasības attiecībā uz informācijas apriti/apstrādi par pārrobežu noziedzību un drošību, VP īsteno projektu, kura mērķis ir </w:t>
            </w:r>
            <w:bookmarkStart w:id="2" w:name="_Hlk221197539"/>
            <w:r w:rsidRPr="00074F53">
              <w:rPr>
                <w:rFonts w:eastAsia="Times New Roman"/>
                <w:bCs/>
                <w:i w:val="0"/>
                <w:lang w:val="lv-LV" w:eastAsia="lv-LV"/>
              </w:rPr>
              <w:t xml:space="preserve">Nacionālās </w:t>
            </w:r>
            <w:proofErr w:type="spellStart"/>
            <w:r w:rsidRPr="00074F53">
              <w:rPr>
                <w:rFonts w:eastAsia="Times New Roman"/>
                <w:bCs/>
                <w:i w:val="0"/>
                <w:lang w:val="lv-LV" w:eastAsia="lv-LV"/>
              </w:rPr>
              <w:t>kriminālizlūkošanas</w:t>
            </w:r>
            <w:proofErr w:type="spellEnd"/>
            <w:r w:rsidRPr="00074F53">
              <w:rPr>
                <w:rFonts w:eastAsia="Times New Roman"/>
                <w:bCs/>
                <w:i w:val="0"/>
                <w:lang w:val="lv-LV" w:eastAsia="lv-LV"/>
              </w:rPr>
              <w:t xml:space="preserve"> (turpmāk – NKIM) informācijas sistēmas izveide, nepieciešamās infrastruktūras un analītiskā rīka izveide un pilnveidošana, attīstot to Iekšlietu ministrijas sistēmas iestādēs </w:t>
            </w:r>
            <w:bookmarkEnd w:id="2"/>
            <w:r w:rsidRPr="00074F53">
              <w:rPr>
                <w:rFonts w:eastAsia="Times New Roman"/>
                <w:bCs/>
                <w:i w:val="0"/>
                <w:lang w:val="lv-LV" w:eastAsia="lv-LV"/>
              </w:rPr>
              <w:t xml:space="preserve">(VP, Valsts robežsardzē – turpmāk – VRS), kā arī starptautiskās informācijas integrēšanas risinājumu izstrāde un </w:t>
            </w:r>
            <w:proofErr w:type="spellStart"/>
            <w:r w:rsidRPr="00074F53">
              <w:rPr>
                <w:rFonts w:eastAsia="Times New Roman"/>
                <w:bCs/>
                <w:i w:val="0"/>
                <w:lang w:val="lv-LV" w:eastAsia="lv-LV"/>
              </w:rPr>
              <w:t>kriminālizlūkošanas</w:t>
            </w:r>
            <w:proofErr w:type="spellEnd"/>
            <w:r w:rsidRPr="00074F53">
              <w:rPr>
                <w:rFonts w:eastAsia="Times New Roman"/>
                <w:bCs/>
                <w:i w:val="0"/>
                <w:lang w:val="lv-LV" w:eastAsia="lv-LV"/>
              </w:rPr>
              <w:t xml:space="preserve"> darba organizācijas un informācijas analīzes metodoloģijas un procesu attīstīšana un pilnveidošana.</w:t>
            </w:r>
          </w:p>
          <w:p w14:paraId="0530CD93" w14:textId="26BEA7C9" w:rsidR="006B71D8" w:rsidRPr="00074F53" w:rsidRDefault="006B71D8" w:rsidP="006B71D8">
            <w:pPr>
              <w:ind w:firstLine="743"/>
              <w:rPr>
                <w:rFonts w:eastAsia="Times New Roman"/>
                <w:bCs/>
                <w:lang w:val="lv-LV" w:eastAsia="lv-LV"/>
              </w:rPr>
            </w:pPr>
            <w:r w:rsidRPr="00074F53">
              <w:rPr>
                <w:rFonts w:eastAsia="Times New Roman"/>
                <w:bCs/>
                <w:lang w:val="lv-LV" w:eastAsia="lv-LV"/>
              </w:rPr>
              <w:t>Grāmatvedības periodā sasniegts</w:t>
            </w:r>
            <w:r w:rsidR="000F3987" w:rsidRPr="00074F53">
              <w:rPr>
                <w:rFonts w:eastAsia="Times New Roman"/>
                <w:bCs/>
                <w:lang w:val="lv-LV" w:eastAsia="lv-LV"/>
              </w:rPr>
              <w:t xml:space="preserve"> kopš iepriekšējā grāmatvedības perioda</w:t>
            </w:r>
            <w:r w:rsidRPr="00074F53">
              <w:rPr>
                <w:rFonts w:eastAsia="Times New Roman"/>
                <w:bCs/>
                <w:lang w:val="lv-LV" w:eastAsia="lv-LV"/>
              </w:rPr>
              <w:t>:</w:t>
            </w:r>
          </w:p>
          <w:p w14:paraId="6F68673F" w14:textId="7B86F9D0" w:rsidR="0010092C" w:rsidRPr="00074F53" w:rsidRDefault="000F3987" w:rsidP="00EE6CE8">
            <w:pPr>
              <w:pStyle w:val="ListParagraph"/>
              <w:numPr>
                <w:ilvl w:val="0"/>
                <w:numId w:val="27"/>
              </w:numPr>
              <w:rPr>
                <w:rFonts w:eastAsia="Times New Roman"/>
                <w:bCs/>
                <w:lang w:val="lv-LV" w:eastAsia="lv-LV"/>
              </w:rPr>
            </w:pPr>
            <w:r w:rsidRPr="00074F53">
              <w:rPr>
                <w:rFonts w:eastAsia="Times New Roman"/>
                <w:bCs/>
                <w:lang w:val="lv-LV" w:eastAsia="lv-LV"/>
              </w:rPr>
              <w:lastRenderedPageBreak/>
              <w:t xml:space="preserve">Veiktas iegādes vājstrāvas un optiskā </w:t>
            </w:r>
            <w:r w:rsidR="0010092C" w:rsidRPr="00074F53">
              <w:rPr>
                <w:rFonts w:eastAsia="Times New Roman"/>
                <w:bCs/>
                <w:lang w:val="lv-LV" w:eastAsia="lv-LV"/>
              </w:rPr>
              <w:t>tīkla ievilkšanas materiāliem;</w:t>
            </w:r>
          </w:p>
          <w:p w14:paraId="7052A612" w14:textId="3707923A" w:rsidR="0010092C" w:rsidRPr="00074F53" w:rsidRDefault="0010092C" w:rsidP="00EE6CE8">
            <w:pPr>
              <w:pStyle w:val="ListParagraph"/>
              <w:numPr>
                <w:ilvl w:val="0"/>
                <w:numId w:val="27"/>
              </w:numPr>
              <w:rPr>
                <w:rFonts w:eastAsia="Times New Roman"/>
                <w:bCs/>
                <w:lang w:val="lv-LV" w:eastAsia="lv-LV"/>
              </w:rPr>
            </w:pPr>
            <w:r w:rsidRPr="00074F53">
              <w:rPr>
                <w:rFonts w:eastAsia="Times New Roman"/>
                <w:bCs/>
                <w:lang w:val="lv-LV" w:eastAsia="lv-LV"/>
              </w:rPr>
              <w:t xml:space="preserve">Atskaites periodā regulāri tika veikti pasākumi, kas ir saistīti ar </w:t>
            </w:r>
            <w:proofErr w:type="spellStart"/>
            <w:r w:rsidRPr="00074F53">
              <w:rPr>
                <w:rFonts w:eastAsia="Times New Roman"/>
                <w:bCs/>
                <w:lang w:val="lv-LV" w:eastAsia="lv-LV"/>
              </w:rPr>
              <w:t>Kriminālizlūkošanas</w:t>
            </w:r>
            <w:proofErr w:type="spellEnd"/>
            <w:r w:rsidRPr="00074F53">
              <w:rPr>
                <w:rFonts w:eastAsia="Times New Roman"/>
                <w:bCs/>
                <w:lang w:val="lv-LV" w:eastAsia="lv-LV"/>
              </w:rPr>
              <w:t xml:space="preserve"> atbalsta informācijas sistēmas (KAIS) izstrādes un testa vides pielāgošanu KAIS izstrādātāja vajadzībām, nodrošināta KAIS burbuļa (testēšanas vide) darbība, KAIS burbulis ir savienots ar ārējo IS testa vidēm, ar ārējo IS turētājiem tiek saskaņots datu apjoms un testa vides testēšanai;</w:t>
            </w:r>
          </w:p>
          <w:p w14:paraId="38817C09" w14:textId="29DC31A9" w:rsidR="0010092C" w:rsidRPr="00074F53" w:rsidRDefault="0010092C" w:rsidP="00EE6CE8">
            <w:pPr>
              <w:pStyle w:val="ListParagraph"/>
              <w:numPr>
                <w:ilvl w:val="0"/>
                <w:numId w:val="27"/>
              </w:numPr>
              <w:rPr>
                <w:rFonts w:eastAsia="Times New Roman"/>
                <w:bCs/>
                <w:lang w:val="lv-LV" w:eastAsia="lv-LV"/>
              </w:rPr>
            </w:pPr>
            <w:r w:rsidRPr="00074F53">
              <w:rPr>
                <w:rFonts w:eastAsia="Times New Roman"/>
                <w:bCs/>
                <w:lang w:val="lv-LV" w:eastAsia="lv-LV"/>
              </w:rPr>
              <w:t>Iegādāts programmatūras drošības un veiktspējas/ātrdarbības testēšanas pakalpojums;</w:t>
            </w:r>
          </w:p>
          <w:p w14:paraId="7F69E45A" w14:textId="584EE6F0" w:rsidR="0010092C" w:rsidRPr="00074F53" w:rsidRDefault="0010092C" w:rsidP="00EE6CE8">
            <w:pPr>
              <w:pStyle w:val="ListParagraph"/>
              <w:numPr>
                <w:ilvl w:val="0"/>
                <w:numId w:val="27"/>
              </w:numPr>
              <w:rPr>
                <w:rFonts w:eastAsia="Times New Roman"/>
                <w:bCs/>
                <w:lang w:val="lv-LV" w:eastAsia="lv-LV"/>
              </w:rPr>
            </w:pPr>
            <w:r w:rsidRPr="00074F53">
              <w:rPr>
                <w:rFonts w:eastAsia="Times New Roman"/>
                <w:bCs/>
                <w:lang w:val="lv-LV" w:eastAsia="lv-LV"/>
              </w:rPr>
              <w:t xml:space="preserve">Pilnveidota </w:t>
            </w:r>
            <w:r w:rsidR="0087247F" w:rsidRPr="00074F53">
              <w:rPr>
                <w:rFonts w:eastAsia="Times New Roman"/>
                <w:bCs/>
                <w:lang w:val="lv-LV" w:eastAsia="lv-LV"/>
              </w:rPr>
              <w:t>KAIS sadaļas “SLEPENI” (</w:t>
            </w:r>
            <w:r w:rsidRPr="00074F53">
              <w:rPr>
                <w:rFonts w:eastAsia="Times New Roman"/>
                <w:bCs/>
                <w:lang w:val="lv-LV" w:eastAsia="lv-LV"/>
              </w:rPr>
              <w:t>KAIS-S</w:t>
            </w:r>
            <w:r w:rsidR="0087247F" w:rsidRPr="00074F53">
              <w:rPr>
                <w:rFonts w:eastAsia="Times New Roman"/>
                <w:bCs/>
                <w:lang w:val="lv-LV" w:eastAsia="lv-LV"/>
              </w:rPr>
              <w:t>)</w:t>
            </w:r>
            <w:r w:rsidRPr="00074F53">
              <w:rPr>
                <w:rFonts w:eastAsia="Times New Roman"/>
                <w:bCs/>
                <w:lang w:val="lv-LV" w:eastAsia="lv-LV"/>
              </w:rPr>
              <w:t xml:space="preserve"> infrastruktūra un izveidota atbilstoši </w:t>
            </w:r>
            <w:r w:rsidR="0087247F" w:rsidRPr="00074F53">
              <w:rPr>
                <w:lang w:val="lv-LV"/>
              </w:rPr>
              <w:t>Eiropas Savienības (turpmāk – ES) Strukturālo reformu atbalsta programmas (</w:t>
            </w:r>
            <w:r w:rsidRPr="00074F53">
              <w:rPr>
                <w:rFonts w:eastAsia="Times New Roman"/>
                <w:bCs/>
                <w:lang w:val="lv-LV" w:eastAsia="lv-LV"/>
              </w:rPr>
              <w:t>S</w:t>
            </w:r>
            <w:r w:rsidR="0087247F" w:rsidRPr="00074F53">
              <w:rPr>
                <w:rFonts w:eastAsia="Times New Roman"/>
                <w:bCs/>
                <w:lang w:val="lv-LV" w:eastAsia="lv-LV"/>
              </w:rPr>
              <w:t>R</w:t>
            </w:r>
            <w:r w:rsidRPr="00074F53">
              <w:rPr>
                <w:rFonts w:eastAsia="Times New Roman"/>
                <w:bCs/>
                <w:lang w:val="lv-LV" w:eastAsia="lv-LV"/>
              </w:rPr>
              <w:t>AP</w:t>
            </w:r>
            <w:r w:rsidR="0087247F" w:rsidRPr="00074F53">
              <w:rPr>
                <w:rFonts w:eastAsia="Times New Roman"/>
                <w:bCs/>
                <w:lang w:val="lv-LV" w:eastAsia="lv-LV"/>
              </w:rPr>
              <w:t>)</w:t>
            </w:r>
            <w:r w:rsidRPr="00074F53">
              <w:rPr>
                <w:rFonts w:eastAsia="Times New Roman"/>
                <w:bCs/>
                <w:lang w:val="lv-LV" w:eastAsia="lv-LV"/>
              </w:rPr>
              <w:t xml:space="preserve"> reformai, tehniskās dokumentācijas sagatavošana;</w:t>
            </w:r>
          </w:p>
          <w:p w14:paraId="6947D1E6" w14:textId="34E14F60" w:rsidR="0010092C" w:rsidRPr="00074F53" w:rsidRDefault="0010092C" w:rsidP="00EE6CE8">
            <w:pPr>
              <w:pStyle w:val="ListParagraph"/>
              <w:numPr>
                <w:ilvl w:val="0"/>
                <w:numId w:val="27"/>
              </w:numPr>
              <w:rPr>
                <w:rFonts w:eastAsia="Times New Roman"/>
                <w:bCs/>
                <w:lang w:val="lv-LV" w:eastAsia="lv-LV"/>
              </w:rPr>
            </w:pPr>
            <w:r w:rsidRPr="00074F53">
              <w:rPr>
                <w:rFonts w:eastAsia="Times New Roman"/>
                <w:bCs/>
                <w:lang w:val="lv-LV" w:eastAsia="lv-LV"/>
              </w:rPr>
              <w:t xml:space="preserve">KAIS starptautiskās informācijas integrēšana </w:t>
            </w:r>
            <w:r w:rsidR="0087247F" w:rsidRPr="00074F53">
              <w:rPr>
                <w:rFonts w:eastAsia="Times New Roman"/>
                <w:bCs/>
                <w:lang w:val="lv-LV" w:eastAsia="lv-LV"/>
              </w:rPr>
              <w:t>–</w:t>
            </w:r>
            <w:r w:rsidRPr="00074F53">
              <w:rPr>
                <w:rFonts w:eastAsia="Times New Roman"/>
                <w:bCs/>
                <w:lang w:val="lv-LV" w:eastAsia="lv-LV"/>
              </w:rPr>
              <w:t xml:space="preserve"> </w:t>
            </w:r>
            <w:r w:rsidR="0087247F" w:rsidRPr="00074F53">
              <w:rPr>
                <w:rFonts w:eastAsia="Times New Roman"/>
                <w:bCs/>
                <w:lang w:val="lv-LV" w:eastAsia="lv-LV"/>
              </w:rPr>
              <w:t>Informācijas sistēmas “</w:t>
            </w:r>
            <w:r w:rsidRPr="00074F53">
              <w:rPr>
                <w:rFonts w:eastAsia="Times New Roman"/>
                <w:bCs/>
                <w:lang w:val="lv-LV" w:eastAsia="lv-LV"/>
              </w:rPr>
              <w:t>SIRENE</w:t>
            </w:r>
            <w:r w:rsidR="0087247F" w:rsidRPr="00074F53">
              <w:rPr>
                <w:rFonts w:eastAsia="Times New Roman"/>
                <w:bCs/>
                <w:lang w:val="lv-LV" w:eastAsia="lv-LV"/>
              </w:rPr>
              <w:t xml:space="preserve">” </w:t>
            </w:r>
            <w:r w:rsidRPr="00074F53">
              <w:rPr>
                <w:rFonts w:eastAsia="Times New Roman"/>
                <w:bCs/>
                <w:lang w:val="lv-LV" w:eastAsia="lv-LV"/>
              </w:rPr>
              <w:t>kā informācijas tehniskā risinājuma izstrāde sasaistei ar KAIS datu noliktavu;</w:t>
            </w:r>
          </w:p>
          <w:p w14:paraId="67557098" w14:textId="7E8109DA" w:rsidR="0010092C" w:rsidRPr="00074F53" w:rsidRDefault="0010092C" w:rsidP="00EE6CE8">
            <w:pPr>
              <w:pStyle w:val="ListParagraph"/>
              <w:numPr>
                <w:ilvl w:val="0"/>
                <w:numId w:val="27"/>
              </w:numPr>
              <w:rPr>
                <w:rFonts w:eastAsia="Times New Roman"/>
                <w:bCs/>
                <w:lang w:val="lv-LV" w:eastAsia="lv-LV"/>
              </w:rPr>
            </w:pPr>
            <w:r w:rsidRPr="00074F53">
              <w:rPr>
                <w:rFonts w:eastAsia="Times New Roman"/>
                <w:bCs/>
                <w:lang w:val="lv-LV" w:eastAsia="lv-LV"/>
              </w:rPr>
              <w:t>turpināts darbs pie biznesa procesu izstrādes starptautiskās policijas sadarbības rezultātā iegūtās informācijas apstrādes un aprites nodrošināšanai starp KAIS un</w:t>
            </w:r>
            <w:r w:rsidR="0087247F" w:rsidRPr="00074F53">
              <w:rPr>
                <w:rFonts w:eastAsia="Times New Roman"/>
                <w:bCs/>
                <w:lang w:val="lv-LV" w:eastAsia="lv-LV"/>
              </w:rPr>
              <w:t xml:space="preserve"> informācijas sistēmu</w:t>
            </w:r>
            <w:r w:rsidRPr="00074F53">
              <w:rPr>
                <w:rFonts w:eastAsia="Times New Roman"/>
                <w:bCs/>
                <w:lang w:val="lv-LV" w:eastAsia="lv-LV"/>
              </w:rPr>
              <w:t xml:space="preserve"> </w:t>
            </w:r>
            <w:r w:rsidR="0087247F" w:rsidRPr="00074F53">
              <w:rPr>
                <w:rFonts w:eastAsia="Times New Roman"/>
                <w:bCs/>
                <w:lang w:val="lv-LV" w:eastAsia="lv-LV"/>
              </w:rPr>
              <w:t>“</w:t>
            </w:r>
            <w:r w:rsidRPr="00074F53">
              <w:rPr>
                <w:rFonts w:eastAsia="Times New Roman"/>
                <w:bCs/>
                <w:lang w:val="lv-LV" w:eastAsia="lv-LV"/>
              </w:rPr>
              <w:t>SIRENE</w:t>
            </w:r>
            <w:r w:rsidR="0087247F" w:rsidRPr="00074F53">
              <w:rPr>
                <w:rFonts w:eastAsia="Times New Roman"/>
                <w:bCs/>
                <w:lang w:val="lv-LV" w:eastAsia="lv-LV"/>
              </w:rPr>
              <w:t>”</w:t>
            </w:r>
            <w:r w:rsidRPr="00074F53">
              <w:rPr>
                <w:rFonts w:eastAsia="Times New Roman"/>
                <w:bCs/>
                <w:lang w:val="lv-LV" w:eastAsia="lv-LV"/>
              </w:rPr>
              <w:t>;</w:t>
            </w:r>
          </w:p>
          <w:p w14:paraId="6A428BF5" w14:textId="65FE6505" w:rsidR="0010092C" w:rsidRPr="00074F53" w:rsidRDefault="0010092C" w:rsidP="00EE6CE8">
            <w:pPr>
              <w:pStyle w:val="ListParagraph"/>
              <w:numPr>
                <w:ilvl w:val="0"/>
                <w:numId w:val="27"/>
              </w:numPr>
              <w:rPr>
                <w:rFonts w:eastAsia="Times New Roman"/>
                <w:bCs/>
                <w:lang w:val="lv-LV" w:eastAsia="lv-LV"/>
              </w:rPr>
            </w:pPr>
            <w:r w:rsidRPr="00074F53">
              <w:rPr>
                <w:rFonts w:eastAsia="Times New Roman"/>
                <w:bCs/>
                <w:lang w:val="lv-LV" w:eastAsia="lv-LV"/>
              </w:rPr>
              <w:t>Eiropola drošas informācijas apmaiņas tīkla lietojumprogrammas</w:t>
            </w:r>
            <w:r w:rsidR="0087247F" w:rsidRPr="00074F53">
              <w:rPr>
                <w:rFonts w:eastAsia="Times New Roman"/>
                <w:bCs/>
                <w:lang w:val="lv-LV" w:eastAsia="lv-LV"/>
              </w:rPr>
              <w:t xml:space="preserve"> </w:t>
            </w:r>
            <w:r w:rsidR="0087247F" w:rsidRPr="00074F53">
              <w:rPr>
                <w:rFonts w:eastAsia="Times New Roman"/>
                <w:lang w:val="lv-LV" w:eastAsia="lv-LV"/>
              </w:rPr>
              <w:t>“</w:t>
            </w:r>
            <w:proofErr w:type="spellStart"/>
            <w:r w:rsidR="0087247F" w:rsidRPr="00074F53">
              <w:rPr>
                <w:lang w:val="lv-LV"/>
              </w:rPr>
              <w:t>Secure</w:t>
            </w:r>
            <w:proofErr w:type="spellEnd"/>
            <w:r w:rsidR="0087247F" w:rsidRPr="00074F53">
              <w:rPr>
                <w:lang w:val="lv-LV"/>
              </w:rPr>
              <w:t xml:space="preserve"> </w:t>
            </w:r>
            <w:proofErr w:type="spellStart"/>
            <w:r w:rsidR="0087247F" w:rsidRPr="00074F53">
              <w:rPr>
                <w:lang w:val="lv-LV"/>
              </w:rPr>
              <w:t>Information</w:t>
            </w:r>
            <w:proofErr w:type="spellEnd"/>
            <w:r w:rsidR="0087247F" w:rsidRPr="00074F53">
              <w:rPr>
                <w:lang w:val="lv-LV"/>
              </w:rPr>
              <w:t xml:space="preserve"> Exchange </w:t>
            </w:r>
            <w:proofErr w:type="spellStart"/>
            <w:r w:rsidR="0087247F" w:rsidRPr="00074F53">
              <w:rPr>
                <w:lang w:val="lv-LV"/>
              </w:rPr>
              <w:t>Network</w:t>
            </w:r>
            <w:proofErr w:type="spellEnd"/>
            <w:r w:rsidR="0087247F" w:rsidRPr="00074F53">
              <w:rPr>
                <w:lang w:val="lv-LV"/>
              </w:rPr>
              <w:t xml:space="preserve"> </w:t>
            </w:r>
            <w:proofErr w:type="spellStart"/>
            <w:r w:rsidR="0087247F" w:rsidRPr="00074F53">
              <w:rPr>
                <w:lang w:val="lv-LV"/>
              </w:rPr>
              <w:t>Application</w:t>
            </w:r>
            <w:proofErr w:type="spellEnd"/>
            <w:r w:rsidR="0087247F" w:rsidRPr="00074F53">
              <w:rPr>
                <w:rFonts w:eastAsia="Times New Roman"/>
                <w:lang w:val="lv-LV" w:eastAsia="lv-LV"/>
              </w:rPr>
              <w:t>” (</w:t>
            </w:r>
            <w:r w:rsidRPr="00074F53">
              <w:rPr>
                <w:rFonts w:eastAsia="Times New Roman"/>
                <w:bCs/>
                <w:lang w:val="lv-LV" w:eastAsia="lv-LV"/>
              </w:rPr>
              <w:t>SIENA</w:t>
            </w:r>
            <w:r w:rsidR="0087247F" w:rsidRPr="00074F53">
              <w:rPr>
                <w:rFonts w:eastAsia="Times New Roman"/>
                <w:bCs/>
                <w:lang w:val="lv-LV" w:eastAsia="lv-LV"/>
              </w:rPr>
              <w:t>)</w:t>
            </w:r>
            <w:r w:rsidRPr="00074F53">
              <w:rPr>
                <w:rFonts w:eastAsia="Times New Roman"/>
                <w:bCs/>
                <w:lang w:val="lv-LV" w:eastAsia="lv-LV"/>
              </w:rPr>
              <w:t xml:space="preserve"> BPL risinājuma integrēšana </w:t>
            </w:r>
            <w:r w:rsidR="0087247F" w:rsidRPr="00074F53">
              <w:rPr>
                <w:rFonts w:eastAsia="Times New Roman"/>
                <w:bCs/>
                <w:lang w:val="lv-LV" w:eastAsia="lv-LV"/>
              </w:rPr>
              <w:t>informācijas sistēmā “SIRENE”</w:t>
            </w:r>
          </w:p>
          <w:p w14:paraId="6B7656DE" w14:textId="55280332" w:rsidR="0087247F" w:rsidRPr="00074F53" w:rsidRDefault="0087247F" w:rsidP="0087247F">
            <w:pPr>
              <w:rPr>
                <w:rFonts w:eastAsia="Times New Roman"/>
                <w:bCs/>
                <w:lang w:val="lv-LV" w:eastAsia="lv-LV"/>
              </w:rPr>
            </w:pPr>
          </w:p>
          <w:p w14:paraId="7B0F828E" w14:textId="67F53BD6" w:rsidR="0087247F" w:rsidRPr="00074F53" w:rsidRDefault="0087247F" w:rsidP="009E4A0C">
            <w:pPr>
              <w:ind w:firstLine="744"/>
              <w:rPr>
                <w:rFonts w:eastAsia="Times New Roman"/>
                <w:lang w:val="lv-LV" w:eastAsia="lv-LV"/>
              </w:rPr>
            </w:pPr>
            <w:r w:rsidRPr="00074F53">
              <w:rPr>
                <w:rFonts w:eastAsia="Times New Roman"/>
                <w:bCs/>
                <w:lang w:val="lv-LV" w:eastAsia="lv-LV"/>
              </w:rPr>
              <w:t xml:space="preserve">Grāmatvedības periodā Valsts policija uzsāka projekta īstenošanu, kura mērķis ir </w:t>
            </w:r>
            <w:bookmarkStart w:id="3" w:name="_Hlk221197555"/>
            <w:r w:rsidRPr="00074F53">
              <w:rPr>
                <w:rFonts w:eastAsia="Times New Roman"/>
                <w:lang w:val="lv-LV" w:eastAsia="lv-LV"/>
              </w:rPr>
              <w:t xml:space="preserve">efektivitātes palielināšana cīņā pret </w:t>
            </w:r>
            <w:proofErr w:type="spellStart"/>
            <w:r w:rsidRPr="00074F53">
              <w:rPr>
                <w:rFonts w:eastAsia="Times New Roman"/>
                <w:lang w:val="lv-LV" w:eastAsia="lv-LV"/>
              </w:rPr>
              <w:t>kibernoziedzību</w:t>
            </w:r>
            <w:proofErr w:type="spellEnd"/>
            <w:r w:rsidRPr="00074F53">
              <w:rPr>
                <w:lang w:val="lv-LV"/>
              </w:rPr>
              <w:t xml:space="preserve"> </w:t>
            </w:r>
            <w:r w:rsidRPr="00074F53">
              <w:rPr>
                <w:rFonts w:eastAsia="Times New Roman"/>
                <w:lang w:val="lv-LV" w:eastAsia="lv-LV"/>
              </w:rPr>
              <w:t xml:space="preserve">un ar </w:t>
            </w:r>
            <w:proofErr w:type="spellStart"/>
            <w:r w:rsidRPr="00074F53">
              <w:rPr>
                <w:rFonts w:eastAsia="Times New Roman"/>
                <w:lang w:val="lv-LV" w:eastAsia="lv-LV"/>
              </w:rPr>
              <w:t>kibernoziedzību</w:t>
            </w:r>
            <w:proofErr w:type="spellEnd"/>
            <w:r w:rsidRPr="00074F53">
              <w:rPr>
                <w:rFonts w:eastAsia="Times New Roman"/>
                <w:lang w:val="lv-LV" w:eastAsia="lv-LV"/>
              </w:rPr>
              <w:t xml:space="preserve"> saistītajiem smagiem un sevišķi smagiem noziegumiem</w:t>
            </w:r>
            <w:bookmarkEnd w:id="3"/>
            <w:r w:rsidRPr="00074F53">
              <w:rPr>
                <w:rFonts w:eastAsia="Times New Roman"/>
                <w:lang w:val="lv-LV" w:eastAsia="lv-LV"/>
              </w:rPr>
              <w:t>.</w:t>
            </w:r>
            <w:r w:rsidR="000D21EF" w:rsidRPr="00074F53">
              <w:rPr>
                <w:rFonts w:eastAsia="Times New Roman"/>
                <w:lang w:val="lv-LV" w:eastAsia="lv-LV"/>
              </w:rPr>
              <w:t xml:space="preserve"> Grāmatvedības perioda panākts šāds progress:</w:t>
            </w:r>
          </w:p>
          <w:p w14:paraId="0667EC74" w14:textId="77777777" w:rsidR="000D21EF" w:rsidRPr="00074F53" w:rsidRDefault="000D21EF" w:rsidP="00EE6CE8">
            <w:pPr>
              <w:pStyle w:val="ListParagraph"/>
              <w:numPr>
                <w:ilvl w:val="0"/>
                <w:numId w:val="27"/>
              </w:numPr>
              <w:rPr>
                <w:rFonts w:eastAsia="Times New Roman"/>
                <w:lang w:val="lv-LV" w:eastAsia="lv-LV"/>
              </w:rPr>
            </w:pPr>
            <w:r w:rsidRPr="00074F53">
              <w:rPr>
                <w:rFonts w:eastAsia="Times New Roman"/>
                <w:lang w:val="lv-LV" w:eastAsia="lv-LV"/>
              </w:rPr>
              <w:t xml:space="preserve">Uzsākts process </w:t>
            </w:r>
            <w:proofErr w:type="spellStart"/>
            <w:r w:rsidRPr="00074F53">
              <w:rPr>
                <w:rFonts w:eastAsia="Times New Roman"/>
                <w:lang w:val="lv-LV" w:eastAsia="lv-LV"/>
              </w:rPr>
              <w:t>serversistēmu</w:t>
            </w:r>
            <w:proofErr w:type="spellEnd"/>
            <w:r w:rsidRPr="00074F53">
              <w:rPr>
                <w:rFonts w:eastAsia="Times New Roman"/>
                <w:lang w:val="lv-LV" w:eastAsia="lv-LV"/>
              </w:rPr>
              <w:t>, tīkla iekārtu un tīkla disku masīvu iegādei;</w:t>
            </w:r>
          </w:p>
          <w:p w14:paraId="6DF5A490" w14:textId="3FC5129D" w:rsidR="000D21EF" w:rsidRPr="00074F53" w:rsidRDefault="000D21EF" w:rsidP="00EE6CE8">
            <w:pPr>
              <w:pStyle w:val="ListParagraph"/>
              <w:numPr>
                <w:ilvl w:val="0"/>
                <w:numId w:val="27"/>
              </w:numPr>
              <w:rPr>
                <w:rFonts w:eastAsia="Times New Roman"/>
                <w:lang w:val="lv-LV" w:eastAsia="lv-LV"/>
              </w:rPr>
            </w:pPr>
            <w:r w:rsidRPr="00074F53">
              <w:rPr>
                <w:rFonts w:eastAsia="Times New Roman"/>
                <w:lang w:val="lv-LV" w:eastAsia="lv-LV"/>
              </w:rPr>
              <w:t>Procesā iepirkums specializētajām mācībām darbam ar elektroniskajiem pierādījumiem, kura ietvaros tiks iegādāti 3 mācību kursi - mācību kurss darbam ar programmnodrošinājumu “</w:t>
            </w:r>
            <w:proofErr w:type="spellStart"/>
            <w:r w:rsidRPr="00074F53">
              <w:rPr>
                <w:rFonts w:eastAsia="Times New Roman"/>
                <w:lang w:val="lv-LV" w:eastAsia="lv-LV"/>
              </w:rPr>
              <w:t>Cellebrite</w:t>
            </w:r>
            <w:proofErr w:type="spellEnd"/>
            <w:r w:rsidRPr="00074F53">
              <w:rPr>
                <w:rFonts w:eastAsia="Times New Roman"/>
                <w:lang w:val="lv-LV" w:eastAsia="lv-LV"/>
              </w:rPr>
              <w:t xml:space="preserve"> </w:t>
            </w:r>
            <w:proofErr w:type="spellStart"/>
            <w:r w:rsidRPr="00074F53">
              <w:rPr>
                <w:rFonts w:eastAsia="Times New Roman"/>
                <w:lang w:val="lv-LV" w:eastAsia="lv-LV"/>
              </w:rPr>
              <w:t>Inseyets</w:t>
            </w:r>
            <w:proofErr w:type="spellEnd"/>
            <w:r w:rsidRPr="00074F53">
              <w:rPr>
                <w:rFonts w:eastAsia="Times New Roman"/>
                <w:lang w:val="lv-LV" w:eastAsia="lv-LV"/>
              </w:rPr>
              <w:t>” un “</w:t>
            </w:r>
            <w:proofErr w:type="spellStart"/>
            <w:r w:rsidRPr="00074F53">
              <w:rPr>
                <w:rFonts w:eastAsia="Times New Roman"/>
                <w:lang w:val="lv-LV" w:eastAsia="lv-LV"/>
              </w:rPr>
              <w:t>Cellebrite</w:t>
            </w:r>
            <w:proofErr w:type="spellEnd"/>
            <w:r w:rsidRPr="00074F53">
              <w:rPr>
                <w:rFonts w:eastAsia="Times New Roman"/>
                <w:lang w:val="lv-LV" w:eastAsia="lv-LV"/>
              </w:rPr>
              <w:t xml:space="preserve"> </w:t>
            </w:r>
            <w:proofErr w:type="spellStart"/>
            <w:r w:rsidRPr="00074F53">
              <w:rPr>
                <w:rFonts w:eastAsia="Times New Roman"/>
                <w:lang w:val="lv-LV" w:eastAsia="lv-LV"/>
              </w:rPr>
              <w:t>Inseyets</w:t>
            </w:r>
            <w:proofErr w:type="spellEnd"/>
            <w:r w:rsidRPr="00074F53">
              <w:rPr>
                <w:rFonts w:eastAsia="Times New Roman"/>
                <w:lang w:val="lv-LV" w:eastAsia="lv-LV"/>
              </w:rPr>
              <w:t xml:space="preserve"> </w:t>
            </w:r>
            <w:proofErr w:type="spellStart"/>
            <w:r w:rsidRPr="00074F53">
              <w:rPr>
                <w:rFonts w:eastAsia="Times New Roman"/>
                <w:lang w:val="lv-LV" w:eastAsia="lv-LV"/>
              </w:rPr>
              <w:t>Physical</w:t>
            </w:r>
            <w:proofErr w:type="spellEnd"/>
            <w:r w:rsidRPr="00074F53">
              <w:rPr>
                <w:rFonts w:eastAsia="Times New Roman"/>
                <w:lang w:val="lv-LV" w:eastAsia="lv-LV"/>
              </w:rPr>
              <w:t xml:space="preserve"> </w:t>
            </w:r>
            <w:proofErr w:type="spellStart"/>
            <w:r w:rsidRPr="00074F53">
              <w:rPr>
                <w:rFonts w:eastAsia="Times New Roman"/>
                <w:lang w:val="lv-LV" w:eastAsia="lv-LV"/>
              </w:rPr>
              <w:t>Analyzer</w:t>
            </w:r>
            <w:proofErr w:type="spellEnd"/>
            <w:r w:rsidRPr="00074F53">
              <w:rPr>
                <w:rFonts w:eastAsia="Times New Roman"/>
                <w:lang w:val="lv-LV" w:eastAsia="lv-LV"/>
              </w:rPr>
              <w:t>” – “</w:t>
            </w:r>
            <w:proofErr w:type="spellStart"/>
            <w:r w:rsidRPr="00074F53">
              <w:rPr>
                <w:rFonts w:eastAsia="Times New Roman"/>
                <w:lang w:val="lv-LV" w:eastAsia="lv-LV"/>
              </w:rPr>
              <w:t>Cellebrite</w:t>
            </w:r>
            <w:proofErr w:type="spellEnd"/>
            <w:r w:rsidRPr="00074F53">
              <w:rPr>
                <w:rFonts w:eastAsia="Times New Roman"/>
                <w:lang w:val="lv-LV" w:eastAsia="lv-LV"/>
              </w:rPr>
              <w:t xml:space="preserve"> </w:t>
            </w:r>
            <w:proofErr w:type="spellStart"/>
            <w:r w:rsidRPr="00074F53">
              <w:rPr>
                <w:rFonts w:eastAsia="Times New Roman"/>
                <w:lang w:val="lv-LV" w:eastAsia="lv-LV"/>
              </w:rPr>
              <w:t>Certified</w:t>
            </w:r>
            <w:proofErr w:type="spellEnd"/>
            <w:r w:rsidRPr="00074F53">
              <w:rPr>
                <w:rFonts w:eastAsia="Times New Roman"/>
                <w:lang w:val="lv-LV" w:eastAsia="lv-LV"/>
              </w:rPr>
              <w:t xml:space="preserve"> Operator </w:t>
            </w:r>
            <w:proofErr w:type="spellStart"/>
            <w:r w:rsidRPr="00074F53">
              <w:rPr>
                <w:rFonts w:eastAsia="Times New Roman"/>
                <w:lang w:val="lv-LV" w:eastAsia="lv-LV"/>
              </w:rPr>
              <w:t>for</w:t>
            </w:r>
            <w:proofErr w:type="spellEnd"/>
            <w:r w:rsidRPr="00074F53">
              <w:rPr>
                <w:rFonts w:eastAsia="Times New Roman"/>
                <w:lang w:val="lv-LV" w:eastAsia="lv-LV"/>
              </w:rPr>
              <w:t xml:space="preserve"> </w:t>
            </w:r>
            <w:proofErr w:type="spellStart"/>
            <w:r w:rsidRPr="00074F53">
              <w:rPr>
                <w:rFonts w:eastAsia="Times New Roman"/>
                <w:lang w:val="lv-LV" w:eastAsia="lv-LV"/>
              </w:rPr>
              <w:t>Inseyets</w:t>
            </w:r>
            <w:proofErr w:type="spellEnd"/>
            <w:r w:rsidRPr="00074F53">
              <w:rPr>
                <w:rFonts w:eastAsia="Times New Roman"/>
                <w:lang w:val="lv-LV" w:eastAsia="lv-LV"/>
              </w:rPr>
              <w:t xml:space="preserve"> </w:t>
            </w:r>
            <w:proofErr w:type="spellStart"/>
            <w:r w:rsidRPr="00074F53">
              <w:rPr>
                <w:rFonts w:eastAsia="Times New Roman"/>
                <w:lang w:val="lv-LV" w:eastAsia="lv-LV"/>
              </w:rPr>
              <w:t>and</w:t>
            </w:r>
            <w:proofErr w:type="spellEnd"/>
            <w:r w:rsidRPr="00074F53">
              <w:rPr>
                <w:rFonts w:eastAsia="Times New Roman"/>
                <w:lang w:val="lv-LV" w:eastAsia="lv-LV"/>
              </w:rPr>
              <w:t xml:space="preserve"> </w:t>
            </w:r>
            <w:proofErr w:type="spellStart"/>
            <w:r w:rsidRPr="00074F53">
              <w:rPr>
                <w:rFonts w:eastAsia="Times New Roman"/>
                <w:lang w:val="lv-LV" w:eastAsia="lv-LV"/>
              </w:rPr>
              <w:t>Cellebrite</w:t>
            </w:r>
            <w:proofErr w:type="spellEnd"/>
            <w:r w:rsidRPr="00074F53">
              <w:rPr>
                <w:rFonts w:eastAsia="Times New Roman"/>
                <w:lang w:val="lv-LV" w:eastAsia="lv-LV"/>
              </w:rPr>
              <w:t xml:space="preserve"> </w:t>
            </w:r>
            <w:proofErr w:type="spellStart"/>
            <w:r w:rsidRPr="00074F53">
              <w:rPr>
                <w:rFonts w:eastAsia="Times New Roman"/>
                <w:lang w:val="lv-LV" w:eastAsia="lv-LV"/>
              </w:rPr>
              <w:t>Certified</w:t>
            </w:r>
            <w:proofErr w:type="spellEnd"/>
            <w:r w:rsidRPr="00074F53">
              <w:rPr>
                <w:rFonts w:eastAsia="Times New Roman"/>
                <w:lang w:val="lv-LV" w:eastAsia="lv-LV"/>
              </w:rPr>
              <w:t xml:space="preserve"> </w:t>
            </w:r>
            <w:proofErr w:type="spellStart"/>
            <w:r w:rsidRPr="00074F53">
              <w:rPr>
                <w:rFonts w:eastAsia="Times New Roman"/>
                <w:lang w:val="lv-LV" w:eastAsia="lv-LV"/>
              </w:rPr>
              <w:t>Physical</w:t>
            </w:r>
            <w:proofErr w:type="spellEnd"/>
            <w:r w:rsidRPr="00074F53">
              <w:rPr>
                <w:rFonts w:eastAsia="Times New Roman"/>
                <w:lang w:val="lv-LV" w:eastAsia="lv-LV"/>
              </w:rPr>
              <w:t xml:space="preserve"> </w:t>
            </w:r>
            <w:proofErr w:type="spellStart"/>
            <w:r w:rsidRPr="00074F53">
              <w:rPr>
                <w:rFonts w:eastAsia="Times New Roman"/>
                <w:lang w:val="lv-LV" w:eastAsia="lv-LV"/>
              </w:rPr>
              <w:t>Analyst</w:t>
            </w:r>
            <w:proofErr w:type="spellEnd"/>
            <w:r w:rsidRPr="00074F53">
              <w:rPr>
                <w:rFonts w:eastAsia="Times New Roman"/>
                <w:lang w:val="lv-LV" w:eastAsia="lv-LV"/>
              </w:rPr>
              <w:t xml:space="preserve"> </w:t>
            </w:r>
            <w:proofErr w:type="spellStart"/>
            <w:r w:rsidRPr="00074F53">
              <w:rPr>
                <w:rFonts w:eastAsia="Times New Roman"/>
                <w:lang w:val="lv-LV" w:eastAsia="lv-LV"/>
              </w:rPr>
              <w:t>for</w:t>
            </w:r>
            <w:proofErr w:type="spellEnd"/>
            <w:r w:rsidRPr="00074F53">
              <w:rPr>
                <w:rFonts w:eastAsia="Times New Roman"/>
                <w:lang w:val="lv-LV" w:eastAsia="lv-LV"/>
              </w:rPr>
              <w:t xml:space="preserve"> </w:t>
            </w:r>
            <w:proofErr w:type="spellStart"/>
            <w:r w:rsidRPr="00074F53">
              <w:rPr>
                <w:rFonts w:eastAsia="Times New Roman"/>
                <w:lang w:val="lv-LV" w:eastAsia="lv-LV"/>
              </w:rPr>
              <w:t>Inseyets</w:t>
            </w:r>
            <w:proofErr w:type="spellEnd"/>
            <w:r w:rsidRPr="00074F53">
              <w:rPr>
                <w:rFonts w:eastAsia="Times New Roman"/>
                <w:lang w:val="lv-LV" w:eastAsia="lv-LV"/>
              </w:rPr>
              <w:t>”, padziļinātais mācību kurss mobilo telefonu analīzē, izmantojot “</w:t>
            </w:r>
            <w:proofErr w:type="spellStart"/>
            <w:r w:rsidRPr="00074F53">
              <w:rPr>
                <w:rFonts w:eastAsia="Times New Roman"/>
                <w:lang w:val="lv-LV" w:eastAsia="lv-LV"/>
              </w:rPr>
              <w:t>Cellebrite</w:t>
            </w:r>
            <w:proofErr w:type="spellEnd"/>
            <w:r w:rsidRPr="00074F53">
              <w:rPr>
                <w:rFonts w:eastAsia="Times New Roman"/>
                <w:lang w:val="lv-LV" w:eastAsia="lv-LV"/>
              </w:rPr>
              <w:t xml:space="preserve"> </w:t>
            </w:r>
            <w:proofErr w:type="spellStart"/>
            <w:r w:rsidRPr="00074F53">
              <w:rPr>
                <w:rFonts w:eastAsia="Times New Roman"/>
                <w:lang w:val="lv-LV" w:eastAsia="lv-LV"/>
              </w:rPr>
              <w:t>Inseyets</w:t>
            </w:r>
            <w:proofErr w:type="spellEnd"/>
            <w:r w:rsidRPr="00074F53">
              <w:rPr>
                <w:rFonts w:eastAsia="Times New Roman"/>
                <w:lang w:val="lv-LV" w:eastAsia="lv-LV"/>
              </w:rPr>
              <w:t>” programmnodrošinājumu – “</w:t>
            </w:r>
            <w:proofErr w:type="spellStart"/>
            <w:r w:rsidRPr="00074F53">
              <w:rPr>
                <w:rFonts w:eastAsia="Times New Roman"/>
                <w:lang w:val="lv-LV" w:eastAsia="lv-LV"/>
              </w:rPr>
              <w:t>Cellebrite</w:t>
            </w:r>
            <w:proofErr w:type="spellEnd"/>
            <w:r w:rsidRPr="00074F53">
              <w:rPr>
                <w:rFonts w:eastAsia="Times New Roman"/>
                <w:lang w:val="lv-LV" w:eastAsia="lv-LV"/>
              </w:rPr>
              <w:t xml:space="preserve"> </w:t>
            </w:r>
            <w:proofErr w:type="spellStart"/>
            <w:r w:rsidRPr="00074F53">
              <w:rPr>
                <w:rFonts w:eastAsia="Times New Roman"/>
                <w:lang w:val="lv-LV" w:eastAsia="lv-LV"/>
              </w:rPr>
              <w:t>Advanced</w:t>
            </w:r>
            <w:proofErr w:type="spellEnd"/>
            <w:r w:rsidRPr="00074F53">
              <w:rPr>
                <w:rFonts w:eastAsia="Times New Roman"/>
                <w:lang w:val="lv-LV" w:eastAsia="lv-LV"/>
              </w:rPr>
              <w:t xml:space="preserve"> </w:t>
            </w:r>
            <w:proofErr w:type="spellStart"/>
            <w:r w:rsidRPr="00074F53">
              <w:rPr>
                <w:rFonts w:eastAsia="Times New Roman"/>
                <w:lang w:val="lv-LV" w:eastAsia="lv-LV"/>
              </w:rPr>
              <w:t>Smartphone</w:t>
            </w:r>
            <w:proofErr w:type="spellEnd"/>
            <w:r w:rsidRPr="00074F53">
              <w:rPr>
                <w:rFonts w:eastAsia="Times New Roman"/>
                <w:lang w:val="lv-LV" w:eastAsia="lv-LV"/>
              </w:rPr>
              <w:t xml:space="preserve"> </w:t>
            </w:r>
            <w:proofErr w:type="spellStart"/>
            <w:r w:rsidRPr="00074F53">
              <w:rPr>
                <w:rFonts w:eastAsia="Times New Roman"/>
                <w:lang w:val="lv-LV" w:eastAsia="lv-LV"/>
              </w:rPr>
              <w:t>Analysis</w:t>
            </w:r>
            <w:proofErr w:type="spellEnd"/>
            <w:r w:rsidRPr="00074F53">
              <w:rPr>
                <w:rFonts w:eastAsia="Times New Roman"/>
                <w:lang w:val="lv-LV" w:eastAsia="lv-LV"/>
              </w:rPr>
              <w:t xml:space="preserve"> </w:t>
            </w:r>
            <w:proofErr w:type="spellStart"/>
            <w:r w:rsidRPr="00074F53">
              <w:rPr>
                <w:rFonts w:eastAsia="Times New Roman"/>
                <w:lang w:val="lv-LV" w:eastAsia="lv-LV"/>
              </w:rPr>
              <w:t>for</w:t>
            </w:r>
            <w:proofErr w:type="spellEnd"/>
            <w:r w:rsidRPr="00074F53">
              <w:rPr>
                <w:rFonts w:eastAsia="Times New Roman"/>
                <w:lang w:val="lv-LV" w:eastAsia="lv-LV"/>
              </w:rPr>
              <w:t xml:space="preserve"> </w:t>
            </w:r>
            <w:proofErr w:type="spellStart"/>
            <w:r w:rsidRPr="00074F53">
              <w:rPr>
                <w:rFonts w:eastAsia="Times New Roman"/>
                <w:lang w:val="lv-LV" w:eastAsia="lv-LV"/>
              </w:rPr>
              <w:t>Inseyets</w:t>
            </w:r>
            <w:proofErr w:type="spellEnd"/>
            <w:r w:rsidRPr="00074F53">
              <w:rPr>
                <w:rFonts w:eastAsia="Times New Roman"/>
                <w:lang w:val="lv-LV" w:eastAsia="lv-LV"/>
              </w:rPr>
              <w:t xml:space="preserve">”, padziļinātais </w:t>
            </w:r>
            <w:proofErr w:type="spellStart"/>
            <w:r w:rsidRPr="00074F53">
              <w:rPr>
                <w:rFonts w:eastAsia="Times New Roman"/>
                <w:lang w:val="lv-LV" w:eastAsia="lv-LV"/>
              </w:rPr>
              <w:t>datorkriminālistikas</w:t>
            </w:r>
            <w:proofErr w:type="spellEnd"/>
            <w:r w:rsidRPr="00074F53">
              <w:rPr>
                <w:rFonts w:eastAsia="Times New Roman"/>
                <w:lang w:val="lv-LV" w:eastAsia="lv-LV"/>
              </w:rPr>
              <w:t xml:space="preserve"> kurss – “Magnet </w:t>
            </w:r>
            <w:proofErr w:type="spellStart"/>
            <w:r w:rsidRPr="00074F53">
              <w:rPr>
                <w:rFonts w:eastAsia="Times New Roman"/>
                <w:lang w:val="lv-LV" w:eastAsia="lv-LV"/>
              </w:rPr>
              <w:t>Forensics</w:t>
            </w:r>
            <w:proofErr w:type="spellEnd"/>
            <w:r w:rsidRPr="00074F53">
              <w:rPr>
                <w:rFonts w:eastAsia="Times New Roman"/>
                <w:lang w:val="lv-LV" w:eastAsia="lv-LV"/>
              </w:rPr>
              <w:t xml:space="preserve"> AX250 </w:t>
            </w:r>
            <w:proofErr w:type="spellStart"/>
            <w:r w:rsidRPr="00074F53">
              <w:rPr>
                <w:rFonts w:eastAsia="Times New Roman"/>
                <w:lang w:val="lv-LV" w:eastAsia="lv-LV"/>
              </w:rPr>
              <w:t>Axiom</w:t>
            </w:r>
            <w:proofErr w:type="spellEnd"/>
            <w:r w:rsidRPr="00074F53">
              <w:rPr>
                <w:rFonts w:eastAsia="Times New Roman"/>
                <w:lang w:val="lv-LV" w:eastAsia="lv-LV"/>
              </w:rPr>
              <w:t xml:space="preserve"> </w:t>
            </w:r>
            <w:proofErr w:type="spellStart"/>
            <w:r w:rsidRPr="00074F53">
              <w:rPr>
                <w:rFonts w:eastAsia="Times New Roman"/>
                <w:lang w:val="lv-LV" w:eastAsia="lv-LV"/>
              </w:rPr>
              <w:t>advanced</w:t>
            </w:r>
            <w:proofErr w:type="spellEnd"/>
            <w:r w:rsidRPr="00074F53">
              <w:rPr>
                <w:rFonts w:eastAsia="Times New Roman"/>
                <w:lang w:val="lv-LV" w:eastAsia="lv-LV"/>
              </w:rPr>
              <w:t xml:space="preserve"> </w:t>
            </w:r>
            <w:proofErr w:type="spellStart"/>
            <w:r w:rsidRPr="00074F53">
              <w:rPr>
                <w:rFonts w:eastAsia="Times New Roman"/>
                <w:lang w:val="lv-LV" w:eastAsia="lv-LV"/>
              </w:rPr>
              <w:t>computer</w:t>
            </w:r>
            <w:proofErr w:type="spellEnd"/>
            <w:r w:rsidRPr="00074F53">
              <w:rPr>
                <w:rFonts w:eastAsia="Times New Roman"/>
                <w:lang w:val="lv-LV" w:eastAsia="lv-LV"/>
              </w:rPr>
              <w:t xml:space="preserve"> </w:t>
            </w:r>
            <w:proofErr w:type="spellStart"/>
            <w:r w:rsidRPr="00074F53">
              <w:rPr>
                <w:rFonts w:eastAsia="Times New Roman"/>
                <w:lang w:val="lv-LV" w:eastAsia="lv-LV"/>
              </w:rPr>
              <w:t>forensics</w:t>
            </w:r>
            <w:proofErr w:type="spellEnd"/>
            <w:r w:rsidRPr="00074F53">
              <w:rPr>
                <w:rFonts w:eastAsia="Times New Roman"/>
                <w:lang w:val="lv-LV" w:eastAsia="lv-LV"/>
              </w:rPr>
              <w:t xml:space="preserve"> </w:t>
            </w:r>
            <w:proofErr w:type="spellStart"/>
            <w:r w:rsidRPr="00074F53">
              <w:rPr>
                <w:rFonts w:eastAsia="Times New Roman"/>
                <w:lang w:val="lv-LV" w:eastAsia="lv-LV"/>
              </w:rPr>
              <w:t>self</w:t>
            </w:r>
            <w:proofErr w:type="spellEnd"/>
            <w:r w:rsidRPr="00074F53">
              <w:rPr>
                <w:rFonts w:eastAsia="Times New Roman"/>
                <w:lang w:val="lv-LV" w:eastAsia="lv-LV"/>
              </w:rPr>
              <w:t xml:space="preserve"> </w:t>
            </w:r>
            <w:proofErr w:type="spellStart"/>
            <w:r w:rsidRPr="00074F53">
              <w:rPr>
                <w:rFonts w:eastAsia="Times New Roman"/>
                <w:lang w:val="lv-LV" w:eastAsia="lv-LV"/>
              </w:rPr>
              <w:t>paced</w:t>
            </w:r>
            <w:proofErr w:type="spellEnd"/>
            <w:r w:rsidRPr="00074F53">
              <w:rPr>
                <w:rFonts w:eastAsia="Times New Roman"/>
                <w:lang w:val="lv-LV" w:eastAsia="lv-LV"/>
              </w:rPr>
              <w:t>”.</w:t>
            </w:r>
          </w:p>
          <w:p w14:paraId="25CECAFF" w14:textId="77777777" w:rsidR="000D21EF" w:rsidRPr="00074F53" w:rsidRDefault="000D21EF" w:rsidP="005A4005">
            <w:pPr>
              <w:pStyle w:val="Personnequisigne"/>
              <w:rPr>
                <w:i w:val="0"/>
                <w:iCs/>
                <w:lang w:val="lv-LV"/>
              </w:rPr>
            </w:pPr>
          </w:p>
          <w:p w14:paraId="7801EBDE" w14:textId="51B8B814" w:rsidR="00E611BF" w:rsidRPr="00074F53" w:rsidRDefault="000D21EF" w:rsidP="00E611BF">
            <w:pPr>
              <w:pStyle w:val="Personnequisigne"/>
              <w:ind w:firstLine="743"/>
              <w:rPr>
                <w:i w:val="0"/>
                <w:iCs/>
                <w:lang w:val="lv-LV"/>
              </w:rPr>
            </w:pPr>
            <w:r w:rsidRPr="00074F53">
              <w:rPr>
                <w:i w:val="0"/>
                <w:iCs/>
                <w:lang w:val="lv-LV"/>
              </w:rPr>
              <w:t>Faktisko iznākuma un rezultātu rādītāju apguvi skatīt ziņojuma 1. pielikumā. Finansējuma apguvi skatīt ziņojuma 2. pielikumā.</w:t>
            </w:r>
          </w:p>
          <w:p w14:paraId="367AC87C" w14:textId="77777777" w:rsidR="00E611BF" w:rsidRPr="00074F53" w:rsidRDefault="00E611BF" w:rsidP="00E611BF">
            <w:pPr>
              <w:pStyle w:val="Institutionquisigne"/>
              <w:spacing w:before="0"/>
              <w:rPr>
                <w:lang w:val="lv-LV"/>
              </w:rPr>
            </w:pPr>
          </w:p>
          <w:p w14:paraId="58B21E4B" w14:textId="5EFD49D0" w:rsidR="00103A21" w:rsidRPr="00074F53" w:rsidRDefault="00B40A51" w:rsidP="00E611BF">
            <w:pPr>
              <w:pStyle w:val="Personnequisigne"/>
              <w:ind w:left="720"/>
              <w:jc w:val="center"/>
              <w:rPr>
                <w:rFonts w:eastAsia="Times New Roman"/>
                <w:bCs/>
                <w:i w:val="0"/>
                <w:u w:val="single"/>
                <w:lang w:val="lv-LV" w:eastAsia="lv-LV"/>
              </w:rPr>
            </w:pPr>
            <w:bookmarkStart w:id="4" w:name="_Hlk189564979"/>
            <w:r w:rsidRPr="00074F53">
              <w:rPr>
                <w:rFonts w:eastAsia="Times New Roman"/>
                <w:bCs/>
                <w:i w:val="0"/>
                <w:u w:val="single"/>
                <w:lang w:val="lv-LV" w:eastAsia="lv-LV"/>
              </w:rPr>
              <w:t xml:space="preserve">2. </w:t>
            </w:r>
            <w:r w:rsidR="00317D44" w:rsidRPr="00074F53">
              <w:rPr>
                <w:rFonts w:eastAsia="Times New Roman"/>
                <w:bCs/>
                <w:i w:val="0"/>
                <w:u w:val="single"/>
                <w:lang w:val="lv-LV" w:eastAsia="lv-LV"/>
              </w:rPr>
              <w:t>konkrēt</w:t>
            </w:r>
            <w:r w:rsidR="00A44041" w:rsidRPr="00074F53">
              <w:rPr>
                <w:rFonts w:eastAsia="Times New Roman"/>
                <w:bCs/>
                <w:i w:val="0"/>
                <w:u w:val="single"/>
                <w:lang w:val="lv-LV" w:eastAsia="lv-LV"/>
              </w:rPr>
              <w:t>ais mērķis</w:t>
            </w:r>
            <w:r w:rsidR="008F5F36" w:rsidRPr="00074F53">
              <w:rPr>
                <w:rFonts w:eastAsia="Times New Roman"/>
                <w:bCs/>
                <w:i w:val="0"/>
                <w:u w:val="single"/>
                <w:lang w:val="lv-LV" w:eastAsia="lv-LV"/>
              </w:rPr>
              <w:t xml:space="preserve"> “Pārrobežu sadarbība”</w:t>
            </w:r>
          </w:p>
          <w:p w14:paraId="36058B14" w14:textId="30556796" w:rsidR="00E611BF" w:rsidRPr="00074F53" w:rsidRDefault="00E611BF" w:rsidP="00615B4A">
            <w:pPr>
              <w:pStyle w:val="Institutionquisigne"/>
              <w:spacing w:before="0"/>
              <w:rPr>
                <w:i w:val="0"/>
                <w:iCs/>
                <w:lang w:val="lv-LV" w:eastAsia="lv-LV"/>
              </w:rPr>
            </w:pPr>
          </w:p>
          <w:bookmarkEnd w:id="4"/>
          <w:p w14:paraId="42B59F57" w14:textId="2C53C131" w:rsidR="00615B4A" w:rsidRPr="00074F53" w:rsidRDefault="00E611BF" w:rsidP="00615B4A">
            <w:pPr>
              <w:pStyle w:val="Institutionquisigne"/>
              <w:spacing w:before="0"/>
              <w:ind w:firstLine="743"/>
              <w:rPr>
                <w:i w:val="0"/>
                <w:iCs/>
                <w:lang w:val="lv-LV"/>
              </w:rPr>
            </w:pPr>
            <w:r w:rsidRPr="00074F53">
              <w:rPr>
                <w:i w:val="0"/>
                <w:iCs/>
                <w:lang w:val="lv-LV"/>
              </w:rPr>
              <w:t xml:space="preserve">Grāmatvedības periodā tika turpināta </w:t>
            </w:r>
            <w:r w:rsidR="000055DE" w:rsidRPr="00074F53">
              <w:rPr>
                <w:i w:val="0"/>
                <w:iCs/>
                <w:lang w:val="lv-LV"/>
              </w:rPr>
              <w:t>2</w:t>
            </w:r>
            <w:r w:rsidRPr="00074F53">
              <w:rPr>
                <w:i w:val="0"/>
                <w:iCs/>
                <w:lang w:val="lv-LV"/>
              </w:rPr>
              <w:t xml:space="preserve"> projektu īstenošana</w:t>
            </w:r>
            <w:r w:rsidR="00022124" w:rsidRPr="00074F53">
              <w:rPr>
                <w:i w:val="0"/>
                <w:iCs/>
                <w:lang w:val="lv-LV"/>
              </w:rPr>
              <w:t>, no tiem viens tika pabeigts. F</w:t>
            </w:r>
            <w:r w:rsidRPr="00074F53">
              <w:rPr>
                <w:i w:val="0"/>
                <w:iCs/>
                <w:lang w:val="lv-LV"/>
              </w:rPr>
              <w:t xml:space="preserve">inansējuma saņēmēji ir VP un </w:t>
            </w:r>
            <w:r w:rsidR="00042E85" w:rsidRPr="00074F53">
              <w:rPr>
                <w:i w:val="0"/>
                <w:iCs/>
                <w:lang w:val="lv-LV"/>
              </w:rPr>
              <w:t xml:space="preserve">Valsts ieņēmumu dienests (turpmāk – </w:t>
            </w:r>
            <w:r w:rsidRPr="00074F53">
              <w:rPr>
                <w:i w:val="0"/>
                <w:iCs/>
                <w:lang w:val="lv-LV"/>
              </w:rPr>
              <w:t>VID</w:t>
            </w:r>
            <w:r w:rsidR="00042E85" w:rsidRPr="00074F53">
              <w:rPr>
                <w:i w:val="0"/>
                <w:iCs/>
                <w:lang w:val="lv-LV"/>
              </w:rPr>
              <w:t xml:space="preserve">) </w:t>
            </w:r>
            <w:r w:rsidRPr="00074F53">
              <w:rPr>
                <w:i w:val="0"/>
                <w:iCs/>
                <w:lang w:val="lv-LV"/>
              </w:rPr>
              <w:t>(īstenošanas progresu skatīt 1.5. sadaļā “Konkrētās darbības” un uzsākta 2 jaunu projektu īstenošana</w:t>
            </w:r>
            <w:r w:rsidR="000055DE" w:rsidRPr="00074F53">
              <w:rPr>
                <w:i w:val="0"/>
                <w:iCs/>
                <w:lang w:val="lv-LV"/>
              </w:rPr>
              <w:t xml:space="preserve"> (no kuriem viens ir konkrētās darbības projekts – skatīt 1.5. sadaļu)</w:t>
            </w:r>
            <w:r w:rsidRPr="00074F53">
              <w:rPr>
                <w:i w:val="0"/>
                <w:iCs/>
                <w:lang w:val="lv-LV"/>
              </w:rPr>
              <w:t xml:space="preserve">, kuru finansējuma saņēmējs ir VP. </w:t>
            </w:r>
          </w:p>
          <w:p w14:paraId="310A7F95" w14:textId="1F13F85A" w:rsidR="00615B4A" w:rsidRPr="00074F53" w:rsidRDefault="00615B4A" w:rsidP="00615B4A">
            <w:pPr>
              <w:pStyle w:val="Institutionquisigne"/>
              <w:spacing w:before="0"/>
              <w:ind w:firstLine="743"/>
              <w:rPr>
                <w:i w:val="0"/>
                <w:iCs/>
                <w:lang w:val="lv-LV"/>
              </w:rPr>
            </w:pPr>
            <w:r w:rsidRPr="00074F53">
              <w:rPr>
                <w:i w:val="0"/>
                <w:iCs/>
                <w:lang w:val="lv-LV"/>
              </w:rPr>
              <w:t xml:space="preserve">VP sadarbībā ar </w:t>
            </w:r>
            <w:r w:rsidR="00DB557B">
              <w:rPr>
                <w:i w:val="0"/>
                <w:iCs/>
                <w:lang w:val="lv-LV"/>
              </w:rPr>
              <w:t>Valsts policijas koledžu (turpmāk - VPK)</w:t>
            </w:r>
            <w:r w:rsidR="00DB557B" w:rsidRPr="00074F53">
              <w:rPr>
                <w:i w:val="0"/>
                <w:iCs/>
                <w:lang w:val="lv-LV"/>
              </w:rPr>
              <w:t xml:space="preserve"> uzsāka projekta</w:t>
            </w:r>
            <w:bookmarkStart w:id="5" w:name="_Hlk179372008"/>
            <w:r w:rsidR="00DB557B" w:rsidRPr="00713E19">
              <w:rPr>
                <w:bCs/>
              </w:rPr>
              <w:t xml:space="preserve"> </w:t>
            </w:r>
            <w:r w:rsidR="00DB557B" w:rsidRPr="0003467C">
              <w:rPr>
                <w:bCs/>
                <w:i w:val="0"/>
                <w:iCs/>
              </w:rPr>
              <w:t>“</w:t>
            </w:r>
            <w:proofErr w:type="spellStart"/>
            <w:r w:rsidR="00DB557B" w:rsidRPr="0003467C">
              <w:rPr>
                <w:bCs/>
                <w:i w:val="0"/>
                <w:iCs/>
              </w:rPr>
              <w:t>Smagās</w:t>
            </w:r>
            <w:proofErr w:type="spellEnd"/>
            <w:r w:rsidR="00DB557B" w:rsidRPr="0003467C">
              <w:rPr>
                <w:bCs/>
                <w:i w:val="0"/>
                <w:iCs/>
              </w:rPr>
              <w:t xml:space="preserve">, </w:t>
            </w:r>
            <w:proofErr w:type="spellStart"/>
            <w:r w:rsidR="00DB557B" w:rsidRPr="0003467C">
              <w:rPr>
                <w:bCs/>
                <w:i w:val="0"/>
                <w:iCs/>
              </w:rPr>
              <w:t>organizētās</w:t>
            </w:r>
            <w:proofErr w:type="spellEnd"/>
            <w:r w:rsidR="00DB557B" w:rsidRPr="0003467C">
              <w:rPr>
                <w:bCs/>
                <w:i w:val="0"/>
                <w:iCs/>
              </w:rPr>
              <w:t xml:space="preserve"> un </w:t>
            </w:r>
            <w:proofErr w:type="spellStart"/>
            <w:r w:rsidR="00DB557B" w:rsidRPr="0003467C">
              <w:rPr>
                <w:bCs/>
                <w:i w:val="0"/>
                <w:iCs/>
              </w:rPr>
              <w:t>pārrobežu</w:t>
            </w:r>
            <w:proofErr w:type="spellEnd"/>
            <w:r w:rsidR="00DB557B" w:rsidRPr="0003467C">
              <w:rPr>
                <w:bCs/>
                <w:i w:val="0"/>
                <w:iCs/>
              </w:rPr>
              <w:t xml:space="preserve"> </w:t>
            </w:r>
            <w:proofErr w:type="spellStart"/>
            <w:r w:rsidR="00DB557B" w:rsidRPr="0003467C">
              <w:rPr>
                <w:bCs/>
                <w:i w:val="0"/>
                <w:iCs/>
              </w:rPr>
              <w:t>noziedzības</w:t>
            </w:r>
            <w:proofErr w:type="spellEnd"/>
            <w:r w:rsidR="00DB557B" w:rsidRPr="0003467C">
              <w:rPr>
                <w:bCs/>
                <w:i w:val="0"/>
                <w:iCs/>
              </w:rPr>
              <w:t xml:space="preserve"> </w:t>
            </w:r>
            <w:proofErr w:type="spellStart"/>
            <w:r w:rsidR="00DB557B" w:rsidRPr="0003467C">
              <w:rPr>
                <w:bCs/>
                <w:i w:val="0"/>
                <w:iCs/>
              </w:rPr>
              <w:t>apkarošanas</w:t>
            </w:r>
            <w:proofErr w:type="spellEnd"/>
            <w:r w:rsidR="00DB557B" w:rsidRPr="0003467C">
              <w:rPr>
                <w:bCs/>
                <w:i w:val="0"/>
                <w:iCs/>
              </w:rPr>
              <w:t xml:space="preserve"> </w:t>
            </w:r>
            <w:proofErr w:type="spellStart"/>
            <w:r w:rsidR="00DB557B" w:rsidRPr="0003467C">
              <w:rPr>
                <w:bCs/>
                <w:i w:val="0"/>
                <w:iCs/>
              </w:rPr>
              <w:t>stiprināšana</w:t>
            </w:r>
            <w:proofErr w:type="spellEnd"/>
            <w:r w:rsidR="00DB557B" w:rsidRPr="0003467C">
              <w:rPr>
                <w:bCs/>
                <w:i w:val="0"/>
                <w:iCs/>
              </w:rPr>
              <w:t xml:space="preserve"> un </w:t>
            </w:r>
            <w:proofErr w:type="spellStart"/>
            <w:r w:rsidR="00DB557B" w:rsidRPr="0003467C">
              <w:rPr>
                <w:bCs/>
                <w:i w:val="0"/>
                <w:iCs/>
              </w:rPr>
              <w:t>sadarbības</w:t>
            </w:r>
            <w:proofErr w:type="spellEnd"/>
            <w:r w:rsidR="00DB557B" w:rsidRPr="0003467C">
              <w:rPr>
                <w:bCs/>
                <w:i w:val="0"/>
                <w:iCs/>
              </w:rPr>
              <w:t xml:space="preserve"> </w:t>
            </w:r>
            <w:proofErr w:type="spellStart"/>
            <w:r w:rsidR="00DB557B" w:rsidRPr="0003467C">
              <w:rPr>
                <w:bCs/>
                <w:i w:val="0"/>
                <w:iCs/>
              </w:rPr>
              <w:t>veicināšana</w:t>
            </w:r>
            <w:proofErr w:type="spellEnd"/>
            <w:r w:rsidR="00DB557B" w:rsidRPr="0003467C">
              <w:rPr>
                <w:bCs/>
                <w:i w:val="0"/>
                <w:iCs/>
              </w:rPr>
              <w:t xml:space="preserve"> </w:t>
            </w:r>
            <w:proofErr w:type="spellStart"/>
            <w:r w:rsidR="00DB557B" w:rsidRPr="0003467C">
              <w:rPr>
                <w:bCs/>
                <w:i w:val="0"/>
                <w:iCs/>
              </w:rPr>
              <w:t>ar</w:t>
            </w:r>
            <w:proofErr w:type="spellEnd"/>
            <w:r w:rsidR="00DB557B" w:rsidRPr="0003467C">
              <w:rPr>
                <w:bCs/>
                <w:i w:val="0"/>
                <w:iCs/>
              </w:rPr>
              <w:t xml:space="preserve"> </w:t>
            </w:r>
            <w:proofErr w:type="spellStart"/>
            <w:r w:rsidR="00DB557B" w:rsidRPr="0003467C">
              <w:rPr>
                <w:bCs/>
                <w:i w:val="0"/>
                <w:iCs/>
              </w:rPr>
              <w:t>iesaistītajām</w:t>
            </w:r>
            <w:proofErr w:type="spellEnd"/>
            <w:r w:rsidR="00DB557B" w:rsidRPr="0003467C">
              <w:rPr>
                <w:bCs/>
                <w:i w:val="0"/>
                <w:iCs/>
              </w:rPr>
              <w:t xml:space="preserve"> </w:t>
            </w:r>
            <w:proofErr w:type="spellStart"/>
            <w:r w:rsidR="00DB557B" w:rsidRPr="0003467C">
              <w:rPr>
                <w:bCs/>
                <w:i w:val="0"/>
                <w:iCs/>
              </w:rPr>
              <w:t>valstīm</w:t>
            </w:r>
            <w:bookmarkEnd w:id="5"/>
            <w:proofErr w:type="spellEnd"/>
            <w:r w:rsidR="00DB557B" w:rsidRPr="0003467C">
              <w:rPr>
                <w:bCs/>
                <w:i w:val="0"/>
                <w:iCs/>
              </w:rPr>
              <w:t>”</w:t>
            </w:r>
            <w:r w:rsidR="00DB557B">
              <w:rPr>
                <w:bCs/>
              </w:rPr>
              <w:t xml:space="preserve"> </w:t>
            </w:r>
            <w:r w:rsidRPr="00074F53">
              <w:rPr>
                <w:i w:val="0"/>
                <w:iCs/>
                <w:lang w:val="lv-LV"/>
              </w:rPr>
              <w:t xml:space="preserve">īstenošanu ar mērķi </w:t>
            </w:r>
            <w:bookmarkStart w:id="6" w:name="_Hlk221197574"/>
            <w:r w:rsidRPr="00074F53">
              <w:rPr>
                <w:i w:val="0"/>
                <w:iCs/>
                <w:lang w:val="lv-LV"/>
              </w:rPr>
              <w:t>attīstīt tiesībaizsardzības iestāžu (TAI) sistēmu un investēt tās cilvēkresursos un izglītībā, radot tiesiski drošu dzīves un investīciju vidi, kā arī priekšnoteikumus efektīvākai kriminālprocesu virzībai, tiesas spriešanai un cīņai pret korupciju</w:t>
            </w:r>
            <w:bookmarkEnd w:id="6"/>
            <w:r w:rsidRPr="00074F53">
              <w:rPr>
                <w:i w:val="0"/>
                <w:iCs/>
                <w:lang w:val="lv-LV"/>
              </w:rPr>
              <w:t>. Grāmatvedības periodā panākts progress:</w:t>
            </w:r>
          </w:p>
          <w:p w14:paraId="0F93402C" w14:textId="77777777" w:rsidR="00615B4A" w:rsidRPr="00074F53" w:rsidRDefault="00615B4A" w:rsidP="00EE6CE8">
            <w:pPr>
              <w:pStyle w:val="Personnequisigne"/>
              <w:numPr>
                <w:ilvl w:val="0"/>
                <w:numId w:val="27"/>
              </w:numPr>
              <w:jc w:val="both"/>
              <w:rPr>
                <w:i w:val="0"/>
                <w:iCs/>
                <w:lang w:val="lv-LV"/>
              </w:rPr>
            </w:pPr>
            <w:r w:rsidRPr="00074F53">
              <w:rPr>
                <w:i w:val="0"/>
                <w:iCs/>
                <w:lang w:val="lv-LV"/>
              </w:rPr>
              <w:t xml:space="preserve">Procesā pētījums par narkotisko/psihotropo vielu pieejamību jauniešu vidū, narkotisko/psihotropo vielu aprites īpatnībām un to pieejamību izglītības iestādēs - sadarbībā ar pētījuma izstrādātājiem sagatavota un Izglītības ministrijā apstiprināta anketa. Norit aktīva datu ievākšana, tiek apzinātas </w:t>
            </w:r>
            <w:proofErr w:type="spellStart"/>
            <w:r w:rsidRPr="00074F53">
              <w:rPr>
                <w:i w:val="0"/>
                <w:iCs/>
                <w:lang w:val="lv-LV"/>
              </w:rPr>
              <w:t>fokusgrupu</w:t>
            </w:r>
            <w:proofErr w:type="spellEnd"/>
            <w:r w:rsidRPr="00074F53">
              <w:rPr>
                <w:i w:val="0"/>
                <w:iCs/>
                <w:lang w:val="lv-LV"/>
              </w:rPr>
              <w:t xml:space="preserve"> diskusiju tēmas;</w:t>
            </w:r>
          </w:p>
          <w:p w14:paraId="6814E1D4" w14:textId="1E175238" w:rsidR="000267BF" w:rsidRPr="00074F53" w:rsidRDefault="00615B4A" w:rsidP="00EE6CE8">
            <w:pPr>
              <w:pStyle w:val="Personnequisigne"/>
              <w:numPr>
                <w:ilvl w:val="0"/>
                <w:numId w:val="27"/>
              </w:numPr>
              <w:jc w:val="both"/>
              <w:rPr>
                <w:i w:val="0"/>
                <w:iCs/>
                <w:lang w:val="lv-LV"/>
              </w:rPr>
            </w:pPr>
            <w:r w:rsidRPr="00074F53">
              <w:rPr>
                <w:i w:val="0"/>
                <w:iCs/>
                <w:lang w:val="lv-LV"/>
              </w:rPr>
              <w:t>VP koledža īstenoja pieredzes apmaiņu un apmācības par policijas dienestu praksi upuru mirstīgo atlieku meklēšanas pasākumu organizēšanā, apmācot 65 VP amatpersonas</w:t>
            </w:r>
            <w:r w:rsidR="00393EEC">
              <w:rPr>
                <w:i w:val="0"/>
                <w:iCs/>
                <w:lang w:val="lv-LV"/>
              </w:rPr>
              <w:t xml:space="preserve"> (36 sievietes, 29 vīrieši)</w:t>
            </w:r>
            <w:r w:rsidR="000267BF" w:rsidRPr="00074F53">
              <w:rPr>
                <w:i w:val="0"/>
                <w:iCs/>
                <w:lang w:val="lv-LV"/>
              </w:rPr>
              <w:t>;</w:t>
            </w:r>
          </w:p>
          <w:p w14:paraId="6D81EC67" w14:textId="52EA1555" w:rsidR="000267BF" w:rsidRPr="00074F53" w:rsidRDefault="000267BF" w:rsidP="00EE6CE8">
            <w:pPr>
              <w:pStyle w:val="Personnequisigne"/>
              <w:numPr>
                <w:ilvl w:val="0"/>
                <w:numId w:val="27"/>
              </w:numPr>
              <w:jc w:val="both"/>
              <w:rPr>
                <w:i w:val="0"/>
                <w:iCs/>
                <w:lang w:val="lv-LV"/>
              </w:rPr>
            </w:pPr>
            <w:r w:rsidRPr="00074F53">
              <w:rPr>
                <w:i w:val="0"/>
                <w:iCs/>
                <w:lang w:val="lv-LV"/>
              </w:rPr>
              <w:lastRenderedPageBreak/>
              <w:t>VP koledža organizēja K9 speciālistu pieredzes apmaiņu un apmācību cilvēku mirstīgo atlieku meklēšanā ar mērķi dalīties pieredzē cilvēku mirstīgo atlieku meklēšanā, pārņemt ārvalstu speciālistu praksi un apmācīt Valsts policijas amatpersonas, kā arī stiprināt starptautisko sadarbību kinoloģijas un kriminālpolicijas jomā;</w:t>
            </w:r>
          </w:p>
          <w:p w14:paraId="79412D3A" w14:textId="4FBBC2BD" w:rsidR="000267BF" w:rsidRPr="00074F53" w:rsidRDefault="000267BF" w:rsidP="00EE6CE8">
            <w:pPr>
              <w:pStyle w:val="ListParagraph"/>
              <w:numPr>
                <w:ilvl w:val="0"/>
                <w:numId w:val="27"/>
              </w:numPr>
              <w:tabs>
                <w:tab w:val="left" w:pos="426"/>
              </w:tabs>
              <w:rPr>
                <w:iCs/>
                <w:lang w:val="lv-LV"/>
              </w:rPr>
            </w:pPr>
            <w:r w:rsidRPr="00074F53">
              <w:rPr>
                <w:iCs/>
                <w:lang w:val="lv-LV"/>
              </w:rPr>
              <w:t>Novadītas ekstrēmās braukšanas apmācības 56 VP amatpersonām</w:t>
            </w:r>
            <w:r w:rsidR="00393EEC">
              <w:rPr>
                <w:iCs/>
                <w:lang w:val="lv-LV"/>
              </w:rPr>
              <w:t xml:space="preserve"> (9 sievietes, 47 vīrieši)</w:t>
            </w:r>
            <w:r w:rsidRPr="00074F53">
              <w:rPr>
                <w:iCs/>
                <w:lang w:val="lv-LV"/>
              </w:rPr>
              <w:t>, tādējādi uzlabojot VP amatpersonu kapacitāti cīņā ar mobilajām organizētajām grupām (izsekošana un aizturēšana);</w:t>
            </w:r>
          </w:p>
          <w:p w14:paraId="01F2FD08" w14:textId="60B6C338" w:rsidR="000267BF" w:rsidRPr="00074F53" w:rsidRDefault="000267BF" w:rsidP="00EE6CE8">
            <w:pPr>
              <w:pStyle w:val="ListParagraph"/>
              <w:numPr>
                <w:ilvl w:val="0"/>
                <w:numId w:val="27"/>
              </w:numPr>
              <w:tabs>
                <w:tab w:val="left" w:pos="426"/>
              </w:tabs>
              <w:rPr>
                <w:iCs/>
                <w:lang w:val="lv-LV"/>
              </w:rPr>
            </w:pPr>
            <w:proofErr w:type="spellStart"/>
            <w:r w:rsidRPr="00074F53">
              <w:t>Īstenoti</w:t>
            </w:r>
            <w:proofErr w:type="spellEnd"/>
            <w:r w:rsidRPr="00074F53">
              <w:t xml:space="preserve"> OSINT </w:t>
            </w:r>
            <w:proofErr w:type="spellStart"/>
            <w:r w:rsidRPr="00074F53">
              <w:t>apmācību</w:t>
            </w:r>
            <w:proofErr w:type="spellEnd"/>
            <w:r w:rsidRPr="00074F53">
              <w:t xml:space="preserve"> </w:t>
            </w:r>
            <w:proofErr w:type="spellStart"/>
            <w:r w:rsidRPr="00074F53">
              <w:t>kursi</w:t>
            </w:r>
            <w:proofErr w:type="spellEnd"/>
            <w:r w:rsidRPr="00074F53">
              <w:t xml:space="preserve"> 67 VP </w:t>
            </w:r>
            <w:proofErr w:type="spellStart"/>
            <w:r w:rsidRPr="00074F53">
              <w:t>amaptersonām</w:t>
            </w:r>
            <w:proofErr w:type="spellEnd"/>
            <w:r w:rsidRPr="00074F53">
              <w:t xml:space="preserve"> </w:t>
            </w:r>
            <w:r w:rsidR="00393EEC">
              <w:t xml:space="preserve">(21 </w:t>
            </w:r>
            <w:proofErr w:type="spellStart"/>
            <w:r w:rsidR="00393EEC">
              <w:t>sieviete</w:t>
            </w:r>
            <w:proofErr w:type="spellEnd"/>
            <w:r w:rsidR="00393EEC">
              <w:t xml:space="preserve">, 23 </w:t>
            </w:r>
            <w:proofErr w:type="spellStart"/>
            <w:r w:rsidR="00393EEC">
              <w:t>vīrieši</w:t>
            </w:r>
            <w:proofErr w:type="spellEnd"/>
            <w:r w:rsidR="00393EEC">
              <w:t xml:space="preserve">, 23 personas </w:t>
            </w:r>
            <w:proofErr w:type="spellStart"/>
            <w:r w:rsidR="00393EEC">
              <w:t>ar</w:t>
            </w:r>
            <w:proofErr w:type="spellEnd"/>
            <w:r w:rsidR="00393EEC">
              <w:t xml:space="preserve"> </w:t>
            </w:r>
            <w:proofErr w:type="spellStart"/>
            <w:r w:rsidR="00393EEC">
              <w:t>identifikācijas</w:t>
            </w:r>
            <w:proofErr w:type="spellEnd"/>
            <w:r w:rsidR="00393EEC">
              <w:t xml:space="preserve"> </w:t>
            </w:r>
            <w:proofErr w:type="spellStart"/>
            <w:r w:rsidR="00393EEC">
              <w:t>numuriem</w:t>
            </w:r>
            <w:proofErr w:type="spellEnd"/>
            <w:r w:rsidR="00393EEC">
              <w:t xml:space="preserve">) </w:t>
            </w:r>
            <w:r w:rsidRPr="00074F53">
              <w:t xml:space="preserve">un 13 </w:t>
            </w:r>
            <w:proofErr w:type="spellStart"/>
            <w:r w:rsidRPr="00074F53">
              <w:t>citu</w:t>
            </w:r>
            <w:proofErr w:type="spellEnd"/>
            <w:r w:rsidRPr="00074F53">
              <w:t xml:space="preserve"> TAI </w:t>
            </w:r>
            <w:proofErr w:type="spellStart"/>
            <w:r w:rsidRPr="00074F53">
              <w:t>amatpersonām</w:t>
            </w:r>
            <w:proofErr w:type="spellEnd"/>
            <w:r w:rsidR="00393EEC">
              <w:t xml:space="preserve"> (5 </w:t>
            </w:r>
            <w:proofErr w:type="spellStart"/>
            <w:r w:rsidR="00393EEC">
              <w:t>sievietes</w:t>
            </w:r>
            <w:proofErr w:type="spellEnd"/>
            <w:r w:rsidR="00393EEC">
              <w:t xml:space="preserve">, 6 </w:t>
            </w:r>
            <w:proofErr w:type="spellStart"/>
            <w:r w:rsidR="00393EEC">
              <w:t>vīrieši</w:t>
            </w:r>
            <w:proofErr w:type="spellEnd"/>
            <w:r w:rsidR="00393EEC">
              <w:t xml:space="preserve">, 2 personas </w:t>
            </w:r>
            <w:proofErr w:type="spellStart"/>
            <w:r w:rsidR="00393EEC">
              <w:t>ar</w:t>
            </w:r>
            <w:proofErr w:type="spellEnd"/>
            <w:r w:rsidR="00393EEC">
              <w:t xml:space="preserve"> </w:t>
            </w:r>
            <w:proofErr w:type="spellStart"/>
            <w:r w:rsidR="00393EEC">
              <w:t>identifikācijas</w:t>
            </w:r>
            <w:proofErr w:type="spellEnd"/>
            <w:r w:rsidR="00393EEC">
              <w:t xml:space="preserve"> </w:t>
            </w:r>
            <w:proofErr w:type="spellStart"/>
            <w:r w:rsidR="00393EEC">
              <w:t>numuriem</w:t>
            </w:r>
            <w:proofErr w:type="spellEnd"/>
            <w:r w:rsidR="00393EEC">
              <w:t>)</w:t>
            </w:r>
            <w:r w:rsidR="00EC1A7E" w:rsidRPr="00074F53">
              <w:t>;</w:t>
            </w:r>
          </w:p>
          <w:p w14:paraId="6A09D37D" w14:textId="70979033" w:rsidR="00EC1A7E" w:rsidRPr="00074F53" w:rsidRDefault="00EC1A7E" w:rsidP="00EE6CE8">
            <w:pPr>
              <w:pStyle w:val="ListParagraph"/>
              <w:numPr>
                <w:ilvl w:val="0"/>
                <w:numId w:val="27"/>
              </w:numPr>
              <w:tabs>
                <w:tab w:val="left" w:pos="426"/>
              </w:tabs>
              <w:rPr>
                <w:iCs/>
                <w:lang w:val="lv-LV"/>
              </w:rPr>
            </w:pPr>
            <w:r w:rsidRPr="00074F53">
              <w:rPr>
                <w:iCs/>
                <w:lang w:val="lv-LV"/>
              </w:rPr>
              <w:t xml:space="preserve">īstenota mācību aktivitāte “Ar </w:t>
            </w:r>
            <w:proofErr w:type="spellStart"/>
            <w:r w:rsidRPr="00074F53">
              <w:rPr>
                <w:iCs/>
                <w:lang w:val="lv-LV"/>
              </w:rPr>
              <w:t>kriptovalūtu</w:t>
            </w:r>
            <w:proofErr w:type="spellEnd"/>
            <w:r w:rsidRPr="00074F53">
              <w:rPr>
                <w:iCs/>
                <w:lang w:val="lv-LV"/>
              </w:rPr>
              <w:t xml:space="preserve"> saistīto noziedzīgo nodarījumu identificēšana un izmeklēšana” 29 VP amatpersonām</w:t>
            </w:r>
            <w:r w:rsidR="00393EEC">
              <w:rPr>
                <w:iCs/>
                <w:lang w:val="lv-LV"/>
              </w:rPr>
              <w:t xml:space="preserve"> (18 sievietes, 11 vīrieši)</w:t>
            </w:r>
            <w:r w:rsidRPr="00074F53">
              <w:rPr>
                <w:iCs/>
                <w:lang w:val="lv-LV"/>
              </w:rPr>
              <w:t>;</w:t>
            </w:r>
          </w:p>
          <w:p w14:paraId="5031F962" w14:textId="00B471C7" w:rsidR="00EC1A7E" w:rsidRPr="00074F53" w:rsidRDefault="00EC1A7E" w:rsidP="00EE6CE8">
            <w:pPr>
              <w:pStyle w:val="ListParagraph"/>
              <w:numPr>
                <w:ilvl w:val="0"/>
                <w:numId w:val="27"/>
              </w:numPr>
              <w:tabs>
                <w:tab w:val="left" w:pos="426"/>
              </w:tabs>
              <w:rPr>
                <w:iCs/>
                <w:lang w:val="lv-LV"/>
              </w:rPr>
            </w:pPr>
            <w:r w:rsidRPr="00074F53">
              <w:rPr>
                <w:iCs/>
                <w:lang w:val="lv-LV"/>
              </w:rPr>
              <w:t>Īstenota 1apmācību sesija – šaujamieroču taktiskās apmācības kurss 7 VP amatpersonām</w:t>
            </w:r>
            <w:r w:rsidR="00393EEC">
              <w:rPr>
                <w:iCs/>
                <w:lang w:val="lv-LV"/>
              </w:rPr>
              <w:t xml:space="preserve"> (7 vīrieši)</w:t>
            </w:r>
            <w:r w:rsidRPr="00074F53">
              <w:rPr>
                <w:iCs/>
                <w:lang w:val="lv-LV"/>
              </w:rPr>
              <w:t>;</w:t>
            </w:r>
          </w:p>
          <w:p w14:paraId="1C44C876" w14:textId="37261325" w:rsidR="00EC1A7E" w:rsidRPr="00074F53" w:rsidRDefault="00ED6215" w:rsidP="00EE6CE8">
            <w:pPr>
              <w:pStyle w:val="ListParagraph"/>
              <w:numPr>
                <w:ilvl w:val="0"/>
                <w:numId w:val="27"/>
              </w:numPr>
              <w:tabs>
                <w:tab w:val="left" w:pos="426"/>
              </w:tabs>
              <w:rPr>
                <w:iCs/>
                <w:lang w:val="lv-LV"/>
              </w:rPr>
            </w:pPr>
            <w:r w:rsidRPr="00074F53">
              <w:rPr>
                <w:iCs/>
                <w:lang w:val="lv-LV"/>
              </w:rPr>
              <w:t>Īstenota 1 apmācību sesija – slepenās novērošanas apmācību kurss – 7 VP amatpersonām</w:t>
            </w:r>
            <w:r w:rsidR="00393EEC">
              <w:rPr>
                <w:iCs/>
                <w:lang w:val="lv-LV"/>
              </w:rPr>
              <w:t xml:space="preserve"> (7 vīrieši)</w:t>
            </w:r>
            <w:r w:rsidRPr="00074F53">
              <w:rPr>
                <w:iCs/>
                <w:lang w:val="lv-LV"/>
              </w:rPr>
              <w:t>;</w:t>
            </w:r>
          </w:p>
          <w:p w14:paraId="0AD08BD8" w14:textId="40336789" w:rsidR="00ED6215" w:rsidRPr="00074F53" w:rsidRDefault="00ED6215" w:rsidP="00EE6CE8">
            <w:pPr>
              <w:pStyle w:val="ListParagraph"/>
              <w:numPr>
                <w:ilvl w:val="0"/>
                <w:numId w:val="27"/>
              </w:numPr>
              <w:tabs>
                <w:tab w:val="left" w:pos="426"/>
              </w:tabs>
              <w:rPr>
                <w:iCs/>
                <w:lang w:val="lv-LV"/>
              </w:rPr>
            </w:pPr>
            <w:r w:rsidRPr="00074F53">
              <w:rPr>
                <w:iCs/>
                <w:lang w:val="lv-LV"/>
              </w:rPr>
              <w:t xml:space="preserve">Īstenota apmācība </w:t>
            </w:r>
            <w:r w:rsidRPr="00074F53">
              <w:rPr>
                <w:lang w:val="lv-LV"/>
              </w:rPr>
              <w:t>specializētās mobilās audio/video novērošanas un ierakstīšanas tehnikas veiksmīgai aprobācijai darbā, apmācot 25 VP amatpersonas</w:t>
            </w:r>
            <w:r w:rsidR="00393EEC">
              <w:rPr>
                <w:lang w:val="lv-LV"/>
              </w:rPr>
              <w:t xml:space="preserve"> (15 sievietes, 10 vīrieši)</w:t>
            </w:r>
            <w:r w:rsidRPr="00074F53">
              <w:rPr>
                <w:lang w:val="lv-LV"/>
              </w:rPr>
              <w:t>;</w:t>
            </w:r>
          </w:p>
          <w:p w14:paraId="5AEFBE2F" w14:textId="78630B48" w:rsidR="00ED6215" w:rsidRPr="00074F53" w:rsidRDefault="00ED6215" w:rsidP="00EE6CE8">
            <w:pPr>
              <w:pStyle w:val="ListParagraph"/>
              <w:numPr>
                <w:ilvl w:val="0"/>
                <w:numId w:val="27"/>
              </w:numPr>
              <w:tabs>
                <w:tab w:val="left" w:pos="426"/>
              </w:tabs>
              <w:rPr>
                <w:iCs/>
                <w:lang w:val="lv-LV"/>
              </w:rPr>
            </w:pPr>
            <w:r w:rsidRPr="00074F53">
              <w:rPr>
                <w:iCs/>
                <w:lang w:val="lv-LV"/>
              </w:rPr>
              <w:t xml:space="preserve">Apmācība </w:t>
            </w:r>
            <w:proofErr w:type="spellStart"/>
            <w:r w:rsidRPr="00074F53">
              <w:rPr>
                <w:iCs/>
                <w:lang w:val="lv-LV"/>
              </w:rPr>
              <w:t>georadara</w:t>
            </w:r>
            <w:proofErr w:type="spellEnd"/>
            <w:r w:rsidRPr="00074F53">
              <w:rPr>
                <w:iCs/>
                <w:lang w:val="lv-LV"/>
              </w:rPr>
              <w:t xml:space="preserve"> izmantošanai dažādos pētījumos, apmācot </w:t>
            </w:r>
            <w:r w:rsidR="00393EEC">
              <w:rPr>
                <w:iCs/>
                <w:lang w:val="lv-LV"/>
              </w:rPr>
              <w:t>8</w:t>
            </w:r>
            <w:r w:rsidRPr="00074F53">
              <w:rPr>
                <w:iCs/>
                <w:lang w:val="lv-LV"/>
              </w:rPr>
              <w:t xml:space="preserve"> VP amatpersonas</w:t>
            </w:r>
            <w:r w:rsidR="00393EEC">
              <w:rPr>
                <w:iCs/>
                <w:lang w:val="lv-LV"/>
              </w:rPr>
              <w:t xml:space="preserve"> (6 vīrieši, 2 sievietes)</w:t>
            </w:r>
            <w:r w:rsidRPr="00074F53">
              <w:rPr>
                <w:iCs/>
                <w:lang w:val="lv-LV"/>
              </w:rPr>
              <w:t>;</w:t>
            </w:r>
          </w:p>
          <w:p w14:paraId="65893AA4" w14:textId="7D523415" w:rsidR="00ED6215" w:rsidRPr="00074F53" w:rsidRDefault="00ED6215" w:rsidP="00EE6CE8">
            <w:pPr>
              <w:pStyle w:val="ListParagraph"/>
              <w:numPr>
                <w:ilvl w:val="0"/>
                <w:numId w:val="27"/>
              </w:numPr>
              <w:tabs>
                <w:tab w:val="left" w:pos="426"/>
              </w:tabs>
              <w:rPr>
                <w:iCs/>
                <w:lang w:val="lv-LV"/>
              </w:rPr>
            </w:pPr>
            <w:r w:rsidRPr="00074F53">
              <w:rPr>
                <w:iCs/>
                <w:lang w:val="lv-LV"/>
              </w:rPr>
              <w:t>Noritēja starptautiska konference “Par personu ieinteresētību sniegt informāciju un liecības kriminālprocesos saistībā ar smagiem un organizētiem noziegumiem” ar mērķi nodrošināt pieredzes apmaiņu par personu motivēšanu sniegt liecības pret nozieguma līdzdalībniekiem, kas palīdz notiesāt iesaistītās personas, tai skaitā organizēto noziedzīgo grupu līderus, un vienlaicīgi ļauj samazināt sodu liecību sniedzējam;</w:t>
            </w:r>
          </w:p>
          <w:p w14:paraId="205997F7" w14:textId="0D8B70D4" w:rsidR="00ED6215" w:rsidRPr="00074F53" w:rsidRDefault="00ED6215" w:rsidP="00EE6CE8">
            <w:pPr>
              <w:pStyle w:val="ListParagraph"/>
              <w:numPr>
                <w:ilvl w:val="0"/>
                <w:numId w:val="27"/>
              </w:numPr>
              <w:tabs>
                <w:tab w:val="left" w:pos="426"/>
              </w:tabs>
              <w:rPr>
                <w:rFonts w:eastAsiaTheme="minorHAnsi"/>
                <w:iCs/>
                <w:lang w:val="lv-LV"/>
              </w:rPr>
            </w:pPr>
            <w:r w:rsidRPr="00074F53">
              <w:rPr>
                <w:rFonts w:eastAsia="Times New Roman"/>
                <w:lang w:val="lv-LV" w:eastAsia="lv-LV"/>
              </w:rPr>
              <w:t>Noorganizēta ikgadējā ES dalībvalstu slepkavību izmeklēšanas nodaļu vadītāju tikšanās sanāksme, ar mērķi nodrošināt pieredzes apmaiņu par pārrobežu slepkavību izmeklēšanas labāko praksi, uzturēt ekspertu kontaktu tīkls un risināti sadarbības jautājumi;</w:t>
            </w:r>
          </w:p>
          <w:p w14:paraId="7697907E" w14:textId="0CD9B91C" w:rsidR="00ED6215" w:rsidRPr="00074F53" w:rsidRDefault="00ED6215" w:rsidP="00EE6CE8">
            <w:pPr>
              <w:pStyle w:val="ListParagraph"/>
              <w:numPr>
                <w:ilvl w:val="0"/>
                <w:numId w:val="27"/>
              </w:numPr>
              <w:tabs>
                <w:tab w:val="left" w:pos="426"/>
              </w:tabs>
              <w:rPr>
                <w:rFonts w:eastAsiaTheme="minorHAnsi"/>
                <w:iCs/>
                <w:lang w:val="lv-LV"/>
              </w:rPr>
            </w:pPr>
            <w:r w:rsidRPr="00074F53">
              <w:rPr>
                <w:rFonts w:eastAsia="Times New Roman"/>
                <w:lang w:val="lv-LV" w:eastAsia="lv-LV"/>
              </w:rPr>
              <w:t xml:space="preserve">Iegādāts </w:t>
            </w:r>
            <w:proofErr w:type="spellStart"/>
            <w:r w:rsidRPr="00074F53">
              <w:rPr>
                <w:rFonts w:eastAsia="Times New Roman"/>
                <w:lang w:val="lv-LV" w:eastAsia="lv-LV"/>
              </w:rPr>
              <w:t>georadars</w:t>
            </w:r>
            <w:proofErr w:type="spellEnd"/>
            <w:r w:rsidRPr="00074F53">
              <w:rPr>
                <w:rFonts w:eastAsia="Times New Roman"/>
                <w:lang w:val="lv-LV" w:eastAsia="lv-LV"/>
              </w:rPr>
              <w:t>, mirstīgo atlieku meklēšanai;</w:t>
            </w:r>
          </w:p>
          <w:p w14:paraId="179F2058" w14:textId="61991053" w:rsidR="00ED6215" w:rsidRPr="00074F53" w:rsidRDefault="00ED6215" w:rsidP="00EE6CE8">
            <w:pPr>
              <w:pStyle w:val="ListParagraph"/>
              <w:numPr>
                <w:ilvl w:val="0"/>
                <w:numId w:val="27"/>
              </w:numPr>
              <w:tabs>
                <w:tab w:val="left" w:pos="426"/>
              </w:tabs>
              <w:rPr>
                <w:iCs/>
                <w:lang w:val="lv-LV"/>
              </w:rPr>
            </w:pPr>
            <w:r w:rsidRPr="00074F53">
              <w:rPr>
                <w:iCs/>
                <w:lang w:val="lv-LV"/>
              </w:rPr>
              <w:t>Iegādāti 2 gāzu hromatogrāfa komplekti;</w:t>
            </w:r>
          </w:p>
          <w:p w14:paraId="481436C3" w14:textId="7D7F9FBD" w:rsidR="00ED6215" w:rsidRPr="00074F53" w:rsidRDefault="00ED6215" w:rsidP="00EE6CE8">
            <w:pPr>
              <w:pStyle w:val="ListParagraph"/>
              <w:numPr>
                <w:ilvl w:val="0"/>
                <w:numId w:val="27"/>
              </w:numPr>
              <w:tabs>
                <w:tab w:val="left" w:pos="426"/>
              </w:tabs>
              <w:rPr>
                <w:iCs/>
                <w:lang w:val="lv-LV"/>
              </w:rPr>
            </w:pPr>
            <w:r w:rsidRPr="00074F53">
              <w:rPr>
                <w:iCs/>
                <w:lang w:val="lv-LV"/>
              </w:rPr>
              <w:t>Iegādāta kodu noteikšanas iekārta;</w:t>
            </w:r>
          </w:p>
          <w:p w14:paraId="3F53B6F8" w14:textId="44DB41A4" w:rsidR="00ED6215" w:rsidRPr="00074F53" w:rsidRDefault="00ED6215" w:rsidP="00EE6CE8">
            <w:pPr>
              <w:pStyle w:val="ListParagraph"/>
              <w:numPr>
                <w:ilvl w:val="0"/>
                <w:numId w:val="27"/>
              </w:numPr>
              <w:tabs>
                <w:tab w:val="left" w:pos="426"/>
              </w:tabs>
              <w:rPr>
                <w:iCs/>
                <w:lang w:val="lv-LV"/>
              </w:rPr>
            </w:pPr>
            <w:r w:rsidRPr="00074F53">
              <w:rPr>
                <w:iCs/>
                <w:lang w:val="lv-LV"/>
              </w:rPr>
              <w:t>Iegādāti 2 GPS slāpētāju detektori;</w:t>
            </w:r>
          </w:p>
          <w:p w14:paraId="068EE223" w14:textId="3F0C3208" w:rsidR="00ED6215" w:rsidRPr="00074F53" w:rsidRDefault="00ED6215" w:rsidP="00EE6CE8">
            <w:pPr>
              <w:pStyle w:val="ListParagraph"/>
              <w:numPr>
                <w:ilvl w:val="0"/>
                <w:numId w:val="27"/>
              </w:numPr>
              <w:tabs>
                <w:tab w:val="left" w:pos="426"/>
              </w:tabs>
              <w:rPr>
                <w:iCs/>
                <w:lang w:val="lv-LV"/>
              </w:rPr>
            </w:pPr>
            <w:r w:rsidRPr="00074F53">
              <w:rPr>
                <w:iCs/>
                <w:lang w:val="lv-LV"/>
              </w:rPr>
              <w:t>Iegādāts komplekts ar specializēto audio/video tehniku, kas uzlabos VP tehnisko kapacitāti noziedzīgo nodarījumu atklāšanā;</w:t>
            </w:r>
          </w:p>
          <w:p w14:paraId="2D81847F" w14:textId="77777777" w:rsidR="00DB557B" w:rsidRDefault="00ED6215" w:rsidP="00EE6CE8">
            <w:pPr>
              <w:pStyle w:val="ListParagraph"/>
              <w:numPr>
                <w:ilvl w:val="0"/>
                <w:numId w:val="27"/>
              </w:numPr>
              <w:tabs>
                <w:tab w:val="left" w:pos="426"/>
              </w:tabs>
              <w:rPr>
                <w:iCs/>
                <w:lang w:val="lv-LV"/>
              </w:rPr>
            </w:pPr>
            <w:r w:rsidRPr="00074F53">
              <w:rPr>
                <w:iCs/>
                <w:lang w:val="lv-LV"/>
              </w:rPr>
              <w:t>Iegādāti 4 specializētās mobilās audio/video novērošanas un ierakstīšanas aprīkojuma komplekt</w:t>
            </w:r>
            <w:r w:rsidR="00C268D8" w:rsidRPr="00074F53">
              <w:rPr>
                <w:iCs/>
                <w:lang w:val="lv-LV"/>
              </w:rPr>
              <w:t>i</w:t>
            </w:r>
            <w:r w:rsidR="00DB557B">
              <w:rPr>
                <w:iCs/>
                <w:lang w:val="lv-LV"/>
              </w:rPr>
              <w:t>;</w:t>
            </w:r>
          </w:p>
          <w:p w14:paraId="65F4616E" w14:textId="0AB4B881" w:rsidR="00C268D8" w:rsidRPr="0003467C" w:rsidRDefault="00DB557B" w:rsidP="00DB557B">
            <w:pPr>
              <w:pStyle w:val="ListParagraph"/>
              <w:numPr>
                <w:ilvl w:val="0"/>
                <w:numId w:val="27"/>
              </w:numPr>
              <w:tabs>
                <w:tab w:val="left" w:pos="426"/>
              </w:tabs>
              <w:rPr>
                <w:iCs/>
                <w:lang w:val="lv-LV"/>
              </w:rPr>
            </w:pPr>
            <w:r>
              <w:rPr>
                <w:iCs/>
                <w:lang w:val="lv-LV"/>
              </w:rPr>
              <w:t>Iegādāta licence programmatūrai “</w:t>
            </w:r>
            <w:proofErr w:type="spellStart"/>
            <w:r>
              <w:rPr>
                <w:iCs/>
                <w:lang w:val="lv-LV"/>
              </w:rPr>
              <w:t>Paliscope</w:t>
            </w:r>
            <w:proofErr w:type="spellEnd"/>
            <w:r>
              <w:rPr>
                <w:iCs/>
                <w:lang w:val="lv-LV"/>
              </w:rPr>
              <w:t xml:space="preserve"> </w:t>
            </w:r>
            <w:proofErr w:type="spellStart"/>
            <w:r>
              <w:rPr>
                <w:iCs/>
                <w:lang w:val="lv-LV"/>
              </w:rPr>
              <w:t>Yose</w:t>
            </w:r>
            <w:proofErr w:type="spellEnd"/>
            <w:r>
              <w:rPr>
                <w:iCs/>
                <w:lang w:val="lv-LV"/>
              </w:rPr>
              <w:t>”</w:t>
            </w:r>
            <w:r w:rsidRPr="00074F53">
              <w:rPr>
                <w:iCs/>
                <w:lang w:val="lv-LV"/>
              </w:rPr>
              <w:t>.</w:t>
            </w:r>
          </w:p>
          <w:p w14:paraId="51599C41" w14:textId="77777777" w:rsidR="00C268D8" w:rsidRPr="00074F53" w:rsidRDefault="00C268D8" w:rsidP="00C268D8">
            <w:pPr>
              <w:tabs>
                <w:tab w:val="left" w:pos="426"/>
              </w:tabs>
              <w:rPr>
                <w:lang w:val="lv-LV"/>
              </w:rPr>
            </w:pPr>
          </w:p>
          <w:p w14:paraId="51F72EE3" w14:textId="5E0E0764" w:rsidR="008C7216" w:rsidRPr="00074F53" w:rsidRDefault="008C7216" w:rsidP="008C7216">
            <w:pPr>
              <w:pStyle w:val="Personnequisigne"/>
              <w:ind w:firstLine="743"/>
              <w:rPr>
                <w:rFonts w:eastAsiaTheme="minorHAnsi"/>
                <w:i w:val="0"/>
                <w:iCs/>
                <w:lang w:val="lv-LV"/>
              </w:rPr>
            </w:pPr>
            <w:r w:rsidRPr="00074F53">
              <w:rPr>
                <w:i w:val="0"/>
                <w:iCs/>
                <w:lang w:val="lv-LV"/>
              </w:rPr>
              <w:t>Faktisko iznākuma un rezultātu rādītāju apguvi skatīt ziņojuma 1. pielikumā. Finansējuma apguvi skatīt ziņojuma 2. pielikumā.</w:t>
            </w:r>
          </w:p>
          <w:p w14:paraId="3C9E38B9" w14:textId="77777777" w:rsidR="008C7216" w:rsidRPr="00074F53" w:rsidRDefault="008C7216" w:rsidP="008C7216">
            <w:pPr>
              <w:ind w:firstLine="744"/>
              <w:rPr>
                <w:rFonts w:eastAsia="Times New Roman"/>
                <w:lang w:val="lv-LV" w:eastAsia="lv-LV"/>
              </w:rPr>
            </w:pPr>
          </w:p>
          <w:p w14:paraId="042D3D35" w14:textId="5B3E62AA" w:rsidR="00317D44" w:rsidRPr="00074F53" w:rsidRDefault="00B40A51" w:rsidP="00DB1D8E">
            <w:pPr>
              <w:pStyle w:val="Personnequisigne"/>
              <w:ind w:left="720"/>
              <w:jc w:val="center"/>
              <w:rPr>
                <w:rFonts w:eastAsia="Times New Roman"/>
                <w:bCs/>
                <w:i w:val="0"/>
                <w:u w:val="single"/>
                <w:lang w:val="lv-LV" w:eastAsia="lv-LV"/>
              </w:rPr>
            </w:pPr>
            <w:bookmarkStart w:id="7" w:name="_Hlk189565037"/>
            <w:r w:rsidRPr="00074F53">
              <w:rPr>
                <w:rFonts w:eastAsia="Times New Roman"/>
                <w:bCs/>
                <w:i w:val="0"/>
                <w:u w:val="single"/>
                <w:lang w:val="lv-LV" w:eastAsia="lv-LV"/>
              </w:rPr>
              <w:t xml:space="preserve">3. </w:t>
            </w:r>
            <w:r w:rsidR="00317D44" w:rsidRPr="00074F53">
              <w:rPr>
                <w:rFonts w:eastAsia="Times New Roman"/>
                <w:bCs/>
                <w:i w:val="0"/>
                <w:u w:val="single"/>
                <w:lang w:val="lv-LV" w:eastAsia="lv-LV"/>
              </w:rPr>
              <w:t>konkrēt</w:t>
            </w:r>
            <w:r w:rsidR="00A44041" w:rsidRPr="00074F53">
              <w:rPr>
                <w:rFonts w:eastAsia="Times New Roman"/>
                <w:bCs/>
                <w:i w:val="0"/>
                <w:u w:val="single"/>
                <w:lang w:val="lv-LV" w:eastAsia="lv-LV"/>
              </w:rPr>
              <w:t>ais mērķis</w:t>
            </w:r>
            <w:r w:rsidR="008F5F36" w:rsidRPr="00074F53">
              <w:rPr>
                <w:rFonts w:eastAsia="Times New Roman"/>
                <w:bCs/>
                <w:i w:val="0"/>
                <w:u w:val="single"/>
                <w:lang w:val="lv-LV" w:eastAsia="lv-LV"/>
              </w:rPr>
              <w:t xml:space="preserve"> “Noziedzības novēršana un apkarošana”</w:t>
            </w:r>
          </w:p>
          <w:p w14:paraId="035BFDB6" w14:textId="3303F035" w:rsidR="008C7216" w:rsidRPr="00074F53" w:rsidRDefault="008C7216" w:rsidP="008C7216">
            <w:pPr>
              <w:pStyle w:val="Institutionquisigne"/>
              <w:spacing w:before="0"/>
              <w:contextualSpacing/>
              <w:rPr>
                <w:i w:val="0"/>
                <w:iCs/>
                <w:lang w:val="lv-LV" w:eastAsia="lv-LV"/>
              </w:rPr>
            </w:pPr>
          </w:p>
          <w:p w14:paraId="21047E12" w14:textId="49C32AC7" w:rsidR="00022124" w:rsidRPr="00074F53" w:rsidRDefault="008C7216" w:rsidP="00022124">
            <w:pPr>
              <w:pStyle w:val="Institutionquisigne"/>
              <w:spacing w:before="0"/>
              <w:ind w:firstLine="743"/>
              <w:rPr>
                <w:i w:val="0"/>
                <w:iCs/>
                <w:lang w:val="lv-LV"/>
              </w:rPr>
            </w:pPr>
            <w:r w:rsidRPr="00074F53">
              <w:rPr>
                <w:i w:val="0"/>
                <w:iCs/>
                <w:lang w:val="lv-LV" w:eastAsia="lv-LV"/>
              </w:rPr>
              <w:t xml:space="preserve">Grāmatvedības periodā turpinājās </w:t>
            </w:r>
            <w:r w:rsidR="00A139CF" w:rsidRPr="00074F53">
              <w:rPr>
                <w:i w:val="0"/>
                <w:iCs/>
                <w:lang w:val="lv-LV" w:eastAsia="lv-LV"/>
              </w:rPr>
              <w:t>5</w:t>
            </w:r>
            <w:r w:rsidRPr="00074F53">
              <w:rPr>
                <w:i w:val="0"/>
                <w:iCs/>
                <w:lang w:val="lv-LV" w:eastAsia="lv-LV"/>
              </w:rPr>
              <w:t xml:space="preserve"> projektu īstenošana, no tiem</w:t>
            </w:r>
            <w:r w:rsidR="00022124" w:rsidRPr="00074F53">
              <w:rPr>
                <w:i w:val="0"/>
                <w:iCs/>
                <w:lang w:val="lv-LV" w:eastAsia="lv-LV"/>
              </w:rPr>
              <w:t xml:space="preserve"> tika pabeigts </w:t>
            </w:r>
            <w:r w:rsidR="00A87C9F" w:rsidRPr="00074F53">
              <w:rPr>
                <w:i w:val="0"/>
                <w:iCs/>
                <w:lang w:val="lv-LV" w:eastAsia="lv-LV"/>
              </w:rPr>
              <w:t>1</w:t>
            </w:r>
            <w:r w:rsidR="00022124" w:rsidRPr="00074F53">
              <w:rPr>
                <w:i w:val="0"/>
                <w:iCs/>
                <w:lang w:val="lv-LV" w:eastAsia="lv-LV"/>
              </w:rPr>
              <w:t xml:space="preserve"> projekts</w:t>
            </w:r>
            <w:r w:rsidR="00565D19" w:rsidRPr="00074F53">
              <w:rPr>
                <w:i w:val="0"/>
                <w:iCs/>
                <w:lang w:val="lv-LV" w:eastAsia="lv-LV"/>
              </w:rPr>
              <w:t xml:space="preserve"> </w:t>
            </w:r>
            <w:r w:rsidRPr="00074F53">
              <w:rPr>
                <w:i w:val="0"/>
                <w:iCs/>
                <w:lang w:val="lv-LV" w:eastAsia="lv-LV"/>
              </w:rPr>
              <w:t xml:space="preserve">un uzsākta </w:t>
            </w:r>
            <w:r w:rsidR="00A139CF" w:rsidRPr="00074F53">
              <w:rPr>
                <w:i w:val="0"/>
                <w:iCs/>
                <w:lang w:val="lv-LV" w:eastAsia="lv-LV"/>
              </w:rPr>
              <w:t>1</w:t>
            </w:r>
            <w:r w:rsidRPr="00074F53">
              <w:rPr>
                <w:i w:val="0"/>
                <w:iCs/>
                <w:lang w:val="lv-LV" w:eastAsia="lv-LV"/>
              </w:rPr>
              <w:t xml:space="preserve"> jau</w:t>
            </w:r>
            <w:r w:rsidR="00A139CF" w:rsidRPr="00074F53">
              <w:rPr>
                <w:i w:val="0"/>
                <w:iCs/>
                <w:lang w:val="lv-LV" w:eastAsia="lv-LV"/>
              </w:rPr>
              <w:t>na</w:t>
            </w:r>
            <w:r w:rsidRPr="00074F53">
              <w:rPr>
                <w:i w:val="0"/>
                <w:iCs/>
                <w:lang w:val="lv-LV" w:eastAsia="lv-LV"/>
              </w:rPr>
              <w:t xml:space="preserve"> projektu īstenošana. </w:t>
            </w:r>
            <w:r w:rsidRPr="00074F53">
              <w:rPr>
                <w:i w:val="0"/>
                <w:iCs/>
                <w:lang w:val="lv-LV"/>
              </w:rPr>
              <w:t>Projektu finansējuma saņēmēji ir VP, IeM IC, Nodrošinājuma valsts aģentūra</w:t>
            </w:r>
            <w:r w:rsidR="00A139CF" w:rsidRPr="00074F53">
              <w:rPr>
                <w:i w:val="0"/>
                <w:iCs/>
                <w:lang w:val="lv-LV"/>
              </w:rPr>
              <w:t xml:space="preserve"> </w:t>
            </w:r>
            <w:r w:rsidRPr="00074F53">
              <w:rPr>
                <w:i w:val="0"/>
                <w:iCs/>
                <w:lang w:val="lv-LV"/>
              </w:rPr>
              <w:t>(turpmāk – NVA) un Valsts ugunsdzēsības un glābšanas dienests (turpmāk - VUGD).</w:t>
            </w:r>
          </w:p>
          <w:p w14:paraId="330E87CE" w14:textId="1C172217" w:rsidR="00022124" w:rsidRPr="00074F53" w:rsidRDefault="00022124" w:rsidP="00022124">
            <w:pPr>
              <w:pStyle w:val="Institutionquisigne"/>
              <w:spacing w:before="0"/>
              <w:ind w:firstLine="743"/>
              <w:rPr>
                <w:i w:val="0"/>
                <w:iCs/>
                <w:lang w:val="lv-LV"/>
              </w:rPr>
            </w:pPr>
            <w:r w:rsidRPr="00074F53">
              <w:rPr>
                <w:i w:val="0"/>
                <w:iCs/>
                <w:lang w:val="lv-LV"/>
              </w:rPr>
              <w:t xml:space="preserve">VP turpināja projekta īstenošanu par </w:t>
            </w:r>
            <w:bookmarkStart w:id="8" w:name="_Hlk221197608"/>
            <w:r w:rsidRPr="00074F53">
              <w:rPr>
                <w:rFonts w:eastAsiaTheme="minorHAnsi"/>
                <w:i w:val="0"/>
                <w:iCs/>
                <w:lang w:val="lv-LV"/>
              </w:rPr>
              <w:t>VP operatīvās vadības struktūrvienību materiāltehniskā nodrošinājuma uzlabošanu, iegādājoties un pielāgojot pārvietojamo operatīvās vadības centru, lai pilnveidotu VP resursu koordināciju un situācijas pārvaldību lielu pasākumu, krīžu un operāciju gadījumos</w:t>
            </w:r>
            <w:bookmarkEnd w:id="8"/>
            <w:r w:rsidRPr="00074F53">
              <w:rPr>
                <w:i w:val="0"/>
                <w:iCs/>
                <w:lang w:val="lv-LV"/>
              </w:rPr>
              <w:t xml:space="preserve">. </w:t>
            </w:r>
            <w:r w:rsidRPr="00074F53">
              <w:rPr>
                <w:rFonts w:eastAsiaTheme="minorHAnsi"/>
                <w:i w:val="0"/>
                <w:iCs/>
                <w:lang w:val="lv-LV"/>
              </w:rPr>
              <w:t xml:space="preserve">Grāmatvedības periodā </w:t>
            </w:r>
            <w:r w:rsidR="000C3158" w:rsidRPr="00074F53">
              <w:rPr>
                <w:i w:val="0"/>
                <w:iCs/>
                <w:lang w:val="lv-LV"/>
              </w:rPr>
              <w:t xml:space="preserve">kopš iepriekšējā grāmatvedības perioda </w:t>
            </w:r>
            <w:r w:rsidRPr="00074F53">
              <w:rPr>
                <w:rFonts w:eastAsiaTheme="minorHAnsi"/>
                <w:i w:val="0"/>
                <w:iCs/>
                <w:lang w:val="lv-LV"/>
              </w:rPr>
              <w:t>tika panākts progress:</w:t>
            </w:r>
          </w:p>
          <w:p w14:paraId="77F5EC25" w14:textId="77777777" w:rsidR="000C3158" w:rsidRPr="00074F53" w:rsidRDefault="000C3158" w:rsidP="00EE6CE8">
            <w:pPr>
              <w:pStyle w:val="Personnequisigne"/>
              <w:numPr>
                <w:ilvl w:val="0"/>
                <w:numId w:val="27"/>
              </w:numPr>
              <w:ind w:left="714" w:hanging="357"/>
              <w:rPr>
                <w:i w:val="0"/>
                <w:iCs/>
                <w:lang w:val="lv-LV"/>
              </w:rPr>
            </w:pPr>
            <w:r w:rsidRPr="00074F53">
              <w:rPr>
                <w:i w:val="0"/>
                <w:iCs/>
                <w:lang w:val="lv-LV"/>
              </w:rPr>
              <w:t>iegādāt</w:t>
            </w:r>
            <w:bookmarkEnd w:id="7"/>
            <w:r w:rsidRPr="00074F53">
              <w:rPr>
                <w:i w:val="0"/>
                <w:iCs/>
                <w:lang w:val="lv-LV"/>
              </w:rPr>
              <w:t>a automašīnas piekabe ar vāku;</w:t>
            </w:r>
          </w:p>
          <w:p w14:paraId="74A03AF3" w14:textId="77777777" w:rsidR="000C3158" w:rsidRPr="00074F53" w:rsidRDefault="000C3158" w:rsidP="00EE6CE8">
            <w:pPr>
              <w:pStyle w:val="Institutionquisigne"/>
              <w:numPr>
                <w:ilvl w:val="0"/>
                <w:numId w:val="27"/>
              </w:numPr>
              <w:spacing w:before="0"/>
              <w:ind w:left="714" w:hanging="357"/>
              <w:rPr>
                <w:i w:val="0"/>
                <w:iCs/>
                <w:lang w:val="lv-LV"/>
              </w:rPr>
            </w:pPr>
            <w:r w:rsidRPr="00074F53">
              <w:rPr>
                <w:i w:val="0"/>
                <w:iCs/>
                <w:lang w:val="lv-LV"/>
              </w:rPr>
              <w:t>iegādāts speciālo taktisko mācību aprīkojuma komplekts – 20 saliekamās gultas, 20 guļammaisi, 20 paklāji gulēšanai, iegādātas nestuves un nestuvju somas;</w:t>
            </w:r>
          </w:p>
          <w:p w14:paraId="6BA69035" w14:textId="404C934C" w:rsidR="000055DE" w:rsidRPr="00074F53" w:rsidRDefault="000C3158" w:rsidP="00540062">
            <w:pPr>
              <w:pStyle w:val="Personnequisigne"/>
              <w:numPr>
                <w:ilvl w:val="0"/>
                <w:numId w:val="27"/>
              </w:numPr>
              <w:ind w:left="714" w:hanging="357"/>
              <w:rPr>
                <w:i w:val="0"/>
                <w:iCs/>
                <w:lang w:val="lv-LV"/>
              </w:rPr>
            </w:pPr>
            <w:r w:rsidRPr="00074F53">
              <w:rPr>
                <w:i w:val="0"/>
                <w:iCs/>
                <w:lang w:val="lv-LV"/>
              </w:rPr>
              <w:t>notiek SUB amatpersonu apmācība taktiskajā medicīnā.</w:t>
            </w:r>
          </w:p>
          <w:p w14:paraId="090AE7CB" w14:textId="5CED3B7A" w:rsidR="00900E66" w:rsidRPr="00074F53" w:rsidRDefault="000055DE" w:rsidP="00900E66">
            <w:pPr>
              <w:pStyle w:val="Institutionquisigne"/>
              <w:spacing w:before="120"/>
              <w:ind w:firstLine="744"/>
              <w:rPr>
                <w:i w:val="0"/>
                <w:iCs/>
                <w:lang w:val="lv-LV"/>
              </w:rPr>
            </w:pPr>
            <w:r w:rsidRPr="00074F53">
              <w:rPr>
                <w:i w:val="0"/>
                <w:iCs/>
                <w:lang w:val="lv-LV"/>
              </w:rPr>
              <w:lastRenderedPageBreak/>
              <w:t xml:space="preserve">VP </w:t>
            </w:r>
            <w:r w:rsidRPr="00074F53">
              <w:rPr>
                <w:rFonts w:eastAsiaTheme="minorHAnsi"/>
                <w:i w:val="0"/>
                <w:iCs/>
                <w:lang w:val="lv-LV"/>
              </w:rPr>
              <w:t xml:space="preserve">sadarbībā ar IeM IC </w:t>
            </w:r>
            <w:r w:rsidRPr="00074F53">
              <w:rPr>
                <w:i w:val="0"/>
                <w:iCs/>
                <w:lang w:val="lv-LV"/>
              </w:rPr>
              <w:t>turpināja</w:t>
            </w:r>
            <w:r w:rsidRPr="00074F53">
              <w:rPr>
                <w:rFonts w:eastAsiaTheme="minorHAnsi"/>
                <w:i w:val="0"/>
                <w:iCs/>
                <w:lang w:val="lv-LV"/>
              </w:rPr>
              <w:t xml:space="preserve"> projekta par nepilngadīgo cietušo interešu aizsargāšanu īstenošanu</w:t>
            </w:r>
            <w:r w:rsidRPr="00074F53">
              <w:rPr>
                <w:i w:val="0"/>
                <w:iCs/>
                <w:lang w:val="lv-LV"/>
              </w:rPr>
              <w:t>, kura mērķis ir</w:t>
            </w:r>
            <w:r w:rsidRPr="00074F53">
              <w:rPr>
                <w:rFonts w:eastAsiaTheme="minorHAnsi"/>
                <w:i w:val="0"/>
                <w:iCs/>
                <w:lang w:val="lv-LV"/>
              </w:rPr>
              <w:t xml:space="preserve"> </w:t>
            </w:r>
            <w:bookmarkStart w:id="9" w:name="_Hlk221197664"/>
            <w:r w:rsidRPr="00074F53">
              <w:rPr>
                <w:i w:val="0"/>
                <w:iCs/>
                <w:lang w:val="lv-LV"/>
              </w:rPr>
              <w:t>aprīkot noziedzīgos nodarījumos cietušo nepilngadīgo un īpaši aizsargājamo personu pratināšanas telpas, palīdzības veicināšanai kriminālprocesā noziegumos cietušajiem un īpaši neaizsargātām personām (jo īpaši bērniem).</w:t>
            </w:r>
            <w:bookmarkEnd w:id="9"/>
            <w:r w:rsidRPr="00074F53">
              <w:rPr>
                <w:i w:val="0"/>
                <w:iCs/>
                <w:lang w:val="lv-LV"/>
              </w:rPr>
              <w:t xml:space="preserve"> Kopš </w:t>
            </w:r>
            <w:proofErr w:type="spellStart"/>
            <w:r w:rsidRPr="00074F53">
              <w:rPr>
                <w:i w:val="0"/>
                <w:iCs/>
                <w:lang w:val="lv-LV"/>
              </w:rPr>
              <w:t>iepriekšejā</w:t>
            </w:r>
            <w:proofErr w:type="spellEnd"/>
            <w:r w:rsidRPr="00074F53">
              <w:rPr>
                <w:i w:val="0"/>
                <w:iCs/>
                <w:lang w:val="lv-LV"/>
              </w:rPr>
              <w:t xml:space="preserve"> grāmatvedības perioda ir panāks šāds progress:</w:t>
            </w:r>
          </w:p>
          <w:p w14:paraId="140F973C" w14:textId="7E214DC2" w:rsidR="00900E66" w:rsidRPr="00074F53" w:rsidRDefault="00900E66" w:rsidP="00EE6CE8">
            <w:pPr>
              <w:pStyle w:val="CommentText"/>
              <w:numPr>
                <w:ilvl w:val="0"/>
                <w:numId w:val="27"/>
              </w:numPr>
              <w:rPr>
                <w:sz w:val="22"/>
                <w:szCs w:val="22"/>
                <w:lang w:val="lv-LV"/>
              </w:rPr>
            </w:pPr>
            <w:r w:rsidRPr="00074F53">
              <w:rPr>
                <w:sz w:val="22"/>
                <w:szCs w:val="22"/>
                <w:lang w:val="lv-LV"/>
              </w:rPr>
              <w:t>Apkopota un izanalizēta dažādu institūciju un nevalstisko organizāciju pieredze, nopratināšanas telpu izveidošanā un aprīkošanā ar tehniskajiem līdzekļiem. Identificēti esošie trūkumi un nepilnības, lai nepieļautu esošās problēmas, izveidojot VP struktūrvienības ar nopratināšanas telpām un aprīkojot tās ar tehniskajiem līdzekļiem;</w:t>
            </w:r>
          </w:p>
          <w:p w14:paraId="5EB0FEDD" w14:textId="600CB194" w:rsidR="00900E66" w:rsidRPr="00074F53" w:rsidRDefault="00900E66" w:rsidP="00EE6CE8">
            <w:pPr>
              <w:pStyle w:val="CommentText"/>
              <w:numPr>
                <w:ilvl w:val="0"/>
                <w:numId w:val="27"/>
              </w:numPr>
              <w:rPr>
                <w:iCs/>
                <w:sz w:val="22"/>
                <w:szCs w:val="22"/>
                <w:lang w:val="lv-LV" w:eastAsia="lv-LV"/>
              </w:rPr>
            </w:pPr>
            <w:r w:rsidRPr="00074F53">
              <w:rPr>
                <w:rFonts w:eastAsiaTheme="minorHAnsi"/>
                <w:iCs/>
                <w:sz w:val="22"/>
                <w:szCs w:val="22"/>
                <w:lang w:val="lv-LV" w:eastAsia="lv-LV"/>
              </w:rPr>
              <w:t>Īstenoti komandējumi uz 2 ES valstīm (Franciju un Īriju), kuru rezultātā apkopotas un izanalizētas minēto</w:t>
            </w:r>
            <w:r w:rsidRPr="00074F53">
              <w:rPr>
                <w:iCs/>
                <w:sz w:val="22"/>
                <w:szCs w:val="22"/>
                <w:lang w:val="lv-LV" w:eastAsia="lv-LV"/>
              </w:rPr>
              <w:t xml:space="preserve"> valstu prasības nopratināšanas telpām un to tehniskajam aprīkojumam;</w:t>
            </w:r>
          </w:p>
          <w:p w14:paraId="4C622C62" w14:textId="77777777" w:rsidR="00900E66" w:rsidRPr="00074F53" w:rsidRDefault="00900E66" w:rsidP="00EE6CE8">
            <w:pPr>
              <w:pStyle w:val="CommentText"/>
              <w:numPr>
                <w:ilvl w:val="0"/>
                <w:numId w:val="27"/>
              </w:numPr>
              <w:rPr>
                <w:rFonts w:eastAsiaTheme="minorHAnsi"/>
                <w:iCs/>
                <w:sz w:val="22"/>
                <w:szCs w:val="22"/>
                <w:lang w:val="lv-LV" w:eastAsia="lv-LV"/>
              </w:rPr>
            </w:pPr>
            <w:r w:rsidRPr="00074F53">
              <w:rPr>
                <w:iCs/>
                <w:sz w:val="22"/>
                <w:szCs w:val="22"/>
                <w:lang w:val="lv-LV" w:eastAsia="lv-LV"/>
              </w:rPr>
              <w:t xml:space="preserve">Norit darbi pie 18 </w:t>
            </w:r>
            <w:r w:rsidRPr="00074F53">
              <w:rPr>
                <w:rFonts w:eastAsiaTheme="minorHAnsi"/>
                <w:iCs/>
                <w:sz w:val="22"/>
                <w:szCs w:val="22"/>
                <w:lang w:val="lv-LV" w:eastAsia="lv-LV"/>
              </w:rPr>
              <w:t>speciālu no</w:t>
            </w:r>
            <w:r w:rsidRPr="00074F53">
              <w:rPr>
                <w:iCs/>
                <w:sz w:val="22"/>
                <w:szCs w:val="22"/>
                <w:lang w:val="lv-LV" w:eastAsia="lv-LV"/>
              </w:rPr>
              <w:t>pratināšanas telpu, kuras piemērotas nepilngadīgo cietušo nopratināšanai kriminālprocesā,</w:t>
            </w:r>
            <w:r w:rsidRPr="00074F53">
              <w:rPr>
                <w:rFonts w:eastAsiaTheme="minorHAnsi"/>
                <w:iCs/>
                <w:sz w:val="22"/>
                <w:szCs w:val="22"/>
                <w:lang w:val="lv-LV" w:eastAsia="lv-LV"/>
              </w:rPr>
              <w:t xml:space="preserve"> aprīkošanai ar skaņas un attēla ieraksta tehniskajiem līdzekļiem, kā arī darbs pie 15 pārvietojamo portatīvo kameru iegādes – iepirkuma procedūras;</w:t>
            </w:r>
          </w:p>
          <w:p w14:paraId="02D92F45" w14:textId="7962D3B1" w:rsidR="00900E66" w:rsidRPr="00074F53" w:rsidRDefault="00900E66" w:rsidP="00EE6CE8">
            <w:pPr>
              <w:pStyle w:val="CommentText"/>
              <w:numPr>
                <w:ilvl w:val="0"/>
                <w:numId w:val="27"/>
              </w:numPr>
              <w:rPr>
                <w:iCs/>
                <w:sz w:val="22"/>
                <w:szCs w:val="22"/>
                <w:lang w:val="lv-LV" w:eastAsia="lv-LV"/>
              </w:rPr>
            </w:pPr>
            <w:r w:rsidRPr="00074F53">
              <w:rPr>
                <w:iCs/>
                <w:sz w:val="22"/>
                <w:szCs w:val="22"/>
                <w:lang w:val="lv-LV" w:eastAsia="lv-LV"/>
              </w:rPr>
              <w:t>VP eksperti turpina darbu pie metodiskā materiāla “Nepilngadīgo cietušo un liecinieku nopratināšanas vadlīnijas” izstrādes par nepilngadīgo cietušo un liecinieku nopratināšanu, kā arī metodiskā materiāla sagatavošanas publicēšanai tiešsaistē un drukātā veidā, tai skaitā izvērtēta Francijas pieeja un metodiskie materiāli nepilngadīgo nopratināšanā.</w:t>
            </w:r>
          </w:p>
          <w:p w14:paraId="29AFD56A" w14:textId="77777777" w:rsidR="00A139CF" w:rsidRPr="00074F53" w:rsidRDefault="00A139CF" w:rsidP="00900E66">
            <w:pPr>
              <w:pStyle w:val="CommentText"/>
              <w:rPr>
                <w:rFonts w:eastAsiaTheme="minorHAnsi"/>
                <w:iCs/>
                <w:sz w:val="22"/>
                <w:szCs w:val="22"/>
                <w:lang w:val="lv-LV" w:eastAsia="lv-LV"/>
              </w:rPr>
            </w:pPr>
          </w:p>
          <w:p w14:paraId="5ED27DC0" w14:textId="02C9C46E" w:rsidR="00807454" w:rsidRPr="00074F53" w:rsidRDefault="00A139CF" w:rsidP="00807454">
            <w:pPr>
              <w:pStyle w:val="CommentText"/>
              <w:ind w:firstLine="743"/>
              <w:rPr>
                <w:rFonts w:eastAsiaTheme="minorHAnsi"/>
                <w:iCs/>
                <w:sz w:val="22"/>
                <w:szCs w:val="22"/>
                <w:lang w:val="lv-LV" w:eastAsia="lv-LV"/>
              </w:rPr>
            </w:pPr>
            <w:r w:rsidRPr="00074F53">
              <w:rPr>
                <w:rFonts w:eastAsiaTheme="minorHAnsi"/>
                <w:iCs/>
                <w:sz w:val="22"/>
                <w:szCs w:val="22"/>
                <w:lang w:val="lv-LV" w:eastAsia="lv-LV"/>
              </w:rPr>
              <w:t xml:space="preserve">VP sadarbībā ar NVA turpināja īstenot projektu, lai </w:t>
            </w:r>
            <w:bookmarkStart w:id="10" w:name="_Hlk221197676"/>
            <w:r w:rsidRPr="00074F53">
              <w:rPr>
                <w:rFonts w:eastAsiaTheme="minorHAnsi"/>
                <w:iCs/>
                <w:sz w:val="22"/>
                <w:szCs w:val="22"/>
                <w:lang w:val="lv-LV" w:eastAsia="lv-LV"/>
              </w:rPr>
              <w:t>radītu mācību vidi, kas nodrošinātu, ka cīņa pret visu veidu noziedzību un terorismu ir kvalitatīva un efektīva</w:t>
            </w:r>
            <w:bookmarkEnd w:id="10"/>
            <w:r w:rsidRPr="00074F53">
              <w:rPr>
                <w:rFonts w:eastAsiaTheme="minorHAnsi"/>
                <w:iCs/>
                <w:sz w:val="22"/>
                <w:szCs w:val="22"/>
                <w:lang w:val="lv-LV" w:eastAsia="lv-LV"/>
              </w:rPr>
              <w:t xml:space="preserve">. </w:t>
            </w:r>
            <w:r w:rsidR="00807454" w:rsidRPr="00074F53">
              <w:rPr>
                <w:rFonts w:eastAsiaTheme="minorHAnsi"/>
                <w:iCs/>
                <w:sz w:val="22"/>
                <w:szCs w:val="22"/>
                <w:lang w:val="lv-LV" w:eastAsia="lv-LV"/>
              </w:rPr>
              <w:t>Grāmatvedības periodā panākts progress:</w:t>
            </w:r>
          </w:p>
          <w:p w14:paraId="566BD255" w14:textId="77777777" w:rsidR="00807454" w:rsidRPr="00074F53" w:rsidRDefault="00807454" w:rsidP="00EE6CE8">
            <w:pPr>
              <w:pStyle w:val="CommentText"/>
              <w:numPr>
                <w:ilvl w:val="0"/>
                <w:numId w:val="27"/>
              </w:numPr>
              <w:rPr>
                <w:rFonts w:eastAsiaTheme="minorHAnsi"/>
                <w:iCs/>
                <w:sz w:val="22"/>
                <w:szCs w:val="22"/>
                <w:lang w:val="lv-LV" w:eastAsia="lv-LV"/>
              </w:rPr>
            </w:pPr>
            <w:r w:rsidRPr="00074F53">
              <w:rPr>
                <w:rFonts w:eastAsiaTheme="minorHAnsi"/>
                <w:iCs/>
                <w:sz w:val="22"/>
                <w:szCs w:val="22"/>
                <w:lang w:val="lv-LV" w:eastAsia="lv-LV"/>
              </w:rPr>
              <w:t>Īstenoti 4 pieredzes apmaiņas braucieni – uz Poliju, kur tika apkopotas un izanalizētas šautuvju tehniskās prasības, kā arī uz Īriju, Spāniju un Franciju, izveidojot ilgtspējīgus kontaktus nākotnes sadarbībai, tika iepazīta šautuvju un taktisko treniņu darbības pieredze;</w:t>
            </w:r>
          </w:p>
          <w:p w14:paraId="537655C1" w14:textId="0BB27773" w:rsidR="00807454" w:rsidRPr="00074F53" w:rsidRDefault="00807454" w:rsidP="00EE6CE8">
            <w:pPr>
              <w:pStyle w:val="CommentText"/>
              <w:numPr>
                <w:ilvl w:val="0"/>
                <w:numId w:val="27"/>
              </w:numPr>
              <w:rPr>
                <w:rFonts w:eastAsiaTheme="minorHAnsi"/>
                <w:iCs/>
                <w:sz w:val="22"/>
                <w:szCs w:val="22"/>
                <w:lang w:val="lv-LV" w:eastAsia="lv-LV"/>
              </w:rPr>
            </w:pPr>
            <w:r w:rsidRPr="00074F53">
              <w:rPr>
                <w:rFonts w:eastAsiaTheme="minorHAnsi"/>
                <w:iCs/>
                <w:sz w:val="22"/>
                <w:szCs w:val="22"/>
                <w:lang w:val="lv-LV" w:eastAsia="lv-LV"/>
              </w:rPr>
              <w:t xml:space="preserve">Noorganizēta starptautiska konference iekšējās drošības jomā, kuras tēma bija </w:t>
            </w:r>
            <w:r w:rsidRPr="00074F53">
              <w:rPr>
                <w:iCs/>
                <w:sz w:val="22"/>
                <w:szCs w:val="22"/>
                <w:lang w:val="lv-LV" w:eastAsia="lv-LV"/>
              </w:rPr>
              <w:t>tēma “Terorisma draudu pārvaldība: Policijas un intervences vienību efektivitāte, sadarbība un personāla sagatavotība”;</w:t>
            </w:r>
          </w:p>
          <w:p w14:paraId="589D28AE" w14:textId="602462E1" w:rsidR="00807454" w:rsidRPr="00074F53" w:rsidRDefault="00807454" w:rsidP="00EE6CE8">
            <w:pPr>
              <w:pStyle w:val="CommentText"/>
              <w:numPr>
                <w:ilvl w:val="0"/>
                <w:numId w:val="27"/>
              </w:numPr>
              <w:rPr>
                <w:rFonts w:eastAsiaTheme="minorHAnsi"/>
                <w:iCs/>
                <w:sz w:val="22"/>
                <w:szCs w:val="22"/>
                <w:lang w:val="lv-LV" w:eastAsia="lv-LV"/>
              </w:rPr>
            </w:pPr>
            <w:r w:rsidRPr="00074F53">
              <w:rPr>
                <w:rFonts w:eastAsiaTheme="minorHAnsi"/>
                <w:iCs/>
                <w:sz w:val="22"/>
                <w:szCs w:val="22"/>
                <w:lang w:val="lv-LV" w:eastAsia="lv-LV"/>
              </w:rPr>
              <w:t xml:space="preserve">Īstenota 1 apmācību sesija TAI nodarbinātajiem, mācību cikla </w:t>
            </w:r>
            <w:r w:rsidRPr="00074F53">
              <w:rPr>
                <w:iCs/>
                <w:sz w:val="22"/>
                <w:szCs w:val="22"/>
                <w:lang w:val="lv-LV" w:eastAsia="lv-LV"/>
              </w:rPr>
              <w:t>“Izmeklēšanas darba pilnveides izaicinājumi" ietvaros kā arī 1 apmācību sesija mācību cikla “Virtuālās vides izaicinājumi noziedzīgu nodarījumu atklāšanā” ietvaros;</w:t>
            </w:r>
          </w:p>
          <w:p w14:paraId="6EF23311" w14:textId="146B1416" w:rsidR="00807454" w:rsidRPr="00074F53" w:rsidRDefault="00807454" w:rsidP="00EE6CE8">
            <w:pPr>
              <w:pStyle w:val="CommentText"/>
              <w:numPr>
                <w:ilvl w:val="0"/>
                <w:numId w:val="27"/>
              </w:numPr>
              <w:rPr>
                <w:rFonts w:eastAsiaTheme="minorHAnsi"/>
                <w:iCs/>
                <w:sz w:val="22"/>
                <w:szCs w:val="22"/>
                <w:lang w:val="lv-LV" w:eastAsia="lv-LV"/>
              </w:rPr>
            </w:pPr>
            <w:r w:rsidRPr="00074F53">
              <w:rPr>
                <w:rFonts w:eastAsiaTheme="minorHAnsi"/>
                <w:iCs/>
                <w:sz w:val="22"/>
                <w:szCs w:val="22"/>
                <w:lang w:val="lv-LV" w:eastAsia="lv-LV"/>
              </w:rPr>
              <w:t xml:space="preserve">Norit darbi pie mācību programmas novērtēšanas aprobācijas un popularizēšanas. </w:t>
            </w:r>
          </w:p>
          <w:p w14:paraId="6474ECFA" w14:textId="77777777" w:rsidR="00807454" w:rsidRPr="00074F53" w:rsidRDefault="00807454" w:rsidP="00807454">
            <w:pPr>
              <w:pStyle w:val="CommentText"/>
              <w:rPr>
                <w:iCs/>
                <w:sz w:val="22"/>
                <w:szCs w:val="22"/>
                <w:lang w:val="lv-LV" w:eastAsia="lv-LV"/>
              </w:rPr>
            </w:pPr>
          </w:p>
          <w:p w14:paraId="2E213857" w14:textId="6A06BC31" w:rsidR="000055DE" w:rsidRPr="00074F53" w:rsidRDefault="00A87C9F" w:rsidP="00807454">
            <w:pPr>
              <w:pStyle w:val="CommentText"/>
              <w:ind w:firstLine="743"/>
              <w:rPr>
                <w:iCs/>
                <w:sz w:val="22"/>
                <w:szCs w:val="22"/>
                <w:lang w:val="lv-LV" w:eastAsia="lv-LV"/>
              </w:rPr>
            </w:pPr>
            <w:r w:rsidRPr="00074F53">
              <w:rPr>
                <w:iCs/>
                <w:sz w:val="22"/>
                <w:szCs w:val="22"/>
                <w:lang w:val="lv-LV" w:eastAsia="lv-LV"/>
              </w:rPr>
              <w:t xml:space="preserve">Grāmatvedības periodā uzsākta VP projekta īstenošana </w:t>
            </w:r>
            <w:r w:rsidRPr="00074F53">
              <w:rPr>
                <w:rFonts w:eastAsiaTheme="minorHAnsi"/>
                <w:iCs/>
                <w:sz w:val="22"/>
                <w:szCs w:val="22"/>
                <w:lang w:val="lv-LV" w:eastAsia="lv-LV"/>
              </w:rPr>
              <w:t>par pretterorisma vienības “OMEGA” reaģēšanas kapacitātes un praktisko spēju stiprināšanu.</w:t>
            </w:r>
            <w:r w:rsidR="00565D19" w:rsidRPr="00074F53">
              <w:rPr>
                <w:iCs/>
                <w:sz w:val="22"/>
                <w:szCs w:val="22"/>
                <w:lang w:val="lv-LV" w:eastAsia="lv-LV"/>
              </w:rPr>
              <w:t xml:space="preserve"> Panāktais progress, lai uzlabotu materiāltehnisko bāzi:</w:t>
            </w:r>
          </w:p>
          <w:p w14:paraId="1F6E9A44" w14:textId="3B835384" w:rsidR="00565D19" w:rsidRPr="00074F53" w:rsidRDefault="00565D19" w:rsidP="00EE6CE8">
            <w:pPr>
              <w:pStyle w:val="CommentText"/>
              <w:numPr>
                <w:ilvl w:val="0"/>
                <w:numId w:val="27"/>
              </w:numPr>
              <w:rPr>
                <w:iCs/>
                <w:sz w:val="22"/>
                <w:szCs w:val="22"/>
                <w:lang w:val="lv-LV" w:eastAsia="lv-LV"/>
              </w:rPr>
            </w:pPr>
            <w:r w:rsidRPr="00074F53">
              <w:rPr>
                <w:iCs/>
                <w:sz w:val="22"/>
                <w:szCs w:val="22"/>
                <w:lang w:val="lv-LV" w:eastAsia="lv-LV"/>
              </w:rPr>
              <w:t>Iegādāti improvizēto sprādzienbīstamo priekšmetu neitralizēšanas robotu komplekti;</w:t>
            </w:r>
          </w:p>
          <w:p w14:paraId="6699F281" w14:textId="77777777" w:rsidR="00565D19" w:rsidRPr="00074F53" w:rsidRDefault="00565D19" w:rsidP="00EE6CE8">
            <w:pPr>
              <w:pStyle w:val="CommentText"/>
              <w:numPr>
                <w:ilvl w:val="0"/>
                <w:numId w:val="27"/>
              </w:numPr>
              <w:rPr>
                <w:iCs/>
                <w:sz w:val="22"/>
                <w:szCs w:val="22"/>
                <w:lang w:val="lv-LV" w:eastAsia="lv-LV"/>
              </w:rPr>
            </w:pPr>
            <w:r w:rsidRPr="00074F53">
              <w:rPr>
                <w:iCs/>
                <w:sz w:val="22"/>
                <w:szCs w:val="22"/>
                <w:lang w:val="lv-LV" w:eastAsia="lv-LV"/>
              </w:rPr>
              <w:t xml:space="preserve">Uzsāktas procedūras, lai iegādātos specializētos transportlīdzekļus un sprādzienbīstamu priekšmetu atrašanas un neitralizēšanas aprīkojumu. </w:t>
            </w:r>
          </w:p>
          <w:p w14:paraId="04ADBB1B" w14:textId="77777777" w:rsidR="00565D19" w:rsidRPr="00074F53" w:rsidRDefault="00565D19" w:rsidP="00565D19">
            <w:pPr>
              <w:pStyle w:val="CommentText"/>
              <w:ind w:left="720"/>
              <w:rPr>
                <w:iCs/>
                <w:sz w:val="22"/>
                <w:szCs w:val="22"/>
                <w:lang w:val="lv-LV" w:eastAsia="lv-LV"/>
              </w:rPr>
            </w:pPr>
          </w:p>
          <w:p w14:paraId="04503EC0" w14:textId="77777777" w:rsidR="00EE6CE8" w:rsidRPr="00074F53" w:rsidRDefault="00565D19" w:rsidP="00565D19">
            <w:pPr>
              <w:pStyle w:val="CommentText"/>
              <w:ind w:firstLine="743"/>
              <w:rPr>
                <w:iCs/>
                <w:sz w:val="22"/>
                <w:szCs w:val="22"/>
                <w:lang w:val="lv-LV" w:eastAsia="lv-LV"/>
              </w:rPr>
            </w:pPr>
            <w:r w:rsidRPr="00074F53">
              <w:rPr>
                <w:iCs/>
                <w:sz w:val="22"/>
                <w:szCs w:val="22"/>
                <w:lang w:val="lv-LV" w:eastAsia="lv-LV"/>
              </w:rPr>
              <w:t xml:space="preserve">Grāmatvedības periodā tika pabeigta 1 projekta </w:t>
            </w:r>
            <w:r w:rsidR="00312819" w:rsidRPr="00074F53">
              <w:rPr>
                <w:iCs/>
                <w:sz w:val="22"/>
                <w:szCs w:val="22"/>
                <w:lang w:val="lv-LV" w:eastAsia="lv-LV"/>
              </w:rPr>
              <w:t xml:space="preserve">ar mērķi </w:t>
            </w:r>
            <w:bookmarkStart w:id="11" w:name="_Hlk221197710"/>
            <w:r w:rsidR="00312819" w:rsidRPr="00074F53">
              <w:rPr>
                <w:iCs/>
                <w:sz w:val="22"/>
                <w:szCs w:val="22"/>
                <w:lang w:val="lv-LV" w:eastAsia="lv-LV"/>
              </w:rPr>
              <w:t>stiprināt tiesībaizsardzības spējas noziedzības un terorisma apkarošanas un novēršanas jomā</w:t>
            </w:r>
            <w:bookmarkEnd w:id="11"/>
            <w:r w:rsidR="00312819" w:rsidRPr="00074F53">
              <w:rPr>
                <w:iCs/>
                <w:sz w:val="22"/>
                <w:szCs w:val="22"/>
                <w:lang w:val="lv-LV" w:eastAsia="lv-LV"/>
              </w:rPr>
              <w:t>, īstenošana. Projekta</w:t>
            </w:r>
            <w:r w:rsidRPr="00074F53">
              <w:rPr>
                <w:iCs/>
                <w:sz w:val="22"/>
                <w:szCs w:val="22"/>
                <w:lang w:val="lv-LV" w:eastAsia="lv-LV"/>
              </w:rPr>
              <w:t xml:space="preserve"> finansējuma saņēmējs bija VUGD. </w:t>
            </w:r>
            <w:r w:rsidR="00312819" w:rsidRPr="00074F53">
              <w:rPr>
                <w:iCs/>
                <w:sz w:val="22"/>
                <w:szCs w:val="22"/>
                <w:lang w:val="lv-LV" w:eastAsia="lv-LV"/>
              </w:rPr>
              <w:t>Projekta rezultātā</w:t>
            </w:r>
            <w:r w:rsidR="00EE6CE8" w:rsidRPr="00074F53">
              <w:rPr>
                <w:iCs/>
                <w:sz w:val="22"/>
                <w:szCs w:val="22"/>
                <w:lang w:val="lv-LV" w:eastAsia="lv-LV"/>
              </w:rPr>
              <w:t>:</w:t>
            </w:r>
          </w:p>
          <w:p w14:paraId="25D6DA56" w14:textId="622A50C9" w:rsidR="00565D19" w:rsidRPr="00074F53" w:rsidRDefault="00EE6CE8" w:rsidP="00EE6CE8">
            <w:pPr>
              <w:pStyle w:val="CommentText"/>
              <w:numPr>
                <w:ilvl w:val="0"/>
                <w:numId w:val="27"/>
              </w:numPr>
              <w:rPr>
                <w:iCs/>
                <w:sz w:val="22"/>
                <w:szCs w:val="22"/>
                <w:lang w:val="lv-LV" w:eastAsia="lv-LV"/>
              </w:rPr>
            </w:pPr>
            <w:r w:rsidRPr="00074F53">
              <w:rPr>
                <w:iCs/>
                <w:sz w:val="22"/>
                <w:szCs w:val="22"/>
                <w:lang w:val="lv-LV" w:eastAsia="lv-LV"/>
              </w:rPr>
              <w:t>Pabeigta mācību poligona būvniecība;</w:t>
            </w:r>
          </w:p>
          <w:p w14:paraId="184C06CB" w14:textId="0DC52C4E" w:rsidR="00EE6CE8" w:rsidRPr="00074F53" w:rsidRDefault="00EE6CE8" w:rsidP="00EE6CE8">
            <w:pPr>
              <w:pStyle w:val="CommentText"/>
              <w:numPr>
                <w:ilvl w:val="0"/>
                <w:numId w:val="27"/>
              </w:numPr>
              <w:rPr>
                <w:iCs/>
                <w:sz w:val="22"/>
                <w:szCs w:val="22"/>
                <w:lang w:val="lv-LV" w:eastAsia="lv-LV"/>
              </w:rPr>
            </w:pPr>
            <w:r w:rsidRPr="00074F53">
              <w:rPr>
                <w:iCs/>
                <w:sz w:val="22"/>
                <w:szCs w:val="22"/>
                <w:lang w:val="lv-LV" w:eastAsia="lv-LV"/>
              </w:rPr>
              <w:t>Iegādāts dažāda veida multifunkcionāls aprīkojums un tehnika:</w:t>
            </w:r>
          </w:p>
          <w:p w14:paraId="57A95EAB" w14:textId="77777777" w:rsidR="00EE6CE8" w:rsidRPr="00074F53" w:rsidRDefault="00EE6CE8" w:rsidP="00EE6CE8">
            <w:pPr>
              <w:pStyle w:val="VPBulletTable"/>
              <w:numPr>
                <w:ilvl w:val="1"/>
                <w:numId w:val="27"/>
              </w:numPr>
              <w:contextualSpacing/>
              <w:rPr>
                <w:rFonts w:eastAsia="SimSun"/>
                <w:bCs w:val="0"/>
                <w:iCs/>
                <w:lang w:val="lv-LV" w:eastAsia="lv-LV"/>
              </w:rPr>
            </w:pPr>
            <w:r w:rsidRPr="00074F53">
              <w:rPr>
                <w:rFonts w:eastAsia="SimSun"/>
                <w:bCs w:val="0"/>
                <w:iCs/>
                <w:lang w:val="lv-LV" w:eastAsia="lv-LV"/>
              </w:rPr>
              <w:t>Mācību smagā automašīna, kas aprīkota ar instruktora pedāļiem, drošības dugām, maināmu smaguma centru;</w:t>
            </w:r>
          </w:p>
          <w:p w14:paraId="6F05E268" w14:textId="77777777" w:rsidR="00EE6CE8" w:rsidRPr="00074F53" w:rsidRDefault="00EE6CE8" w:rsidP="00EE6CE8">
            <w:pPr>
              <w:pStyle w:val="VPBulletTable"/>
              <w:numPr>
                <w:ilvl w:val="1"/>
                <w:numId w:val="27"/>
              </w:numPr>
              <w:contextualSpacing/>
              <w:rPr>
                <w:rFonts w:eastAsia="SimSun"/>
                <w:bCs w:val="0"/>
                <w:iCs/>
                <w:lang w:val="lv-LV" w:eastAsia="lv-LV"/>
              </w:rPr>
            </w:pPr>
            <w:r w:rsidRPr="00074F53">
              <w:rPr>
                <w:rFonts w:eastAsia="SimSun"/>
                <w:bCs w:val="0"/>
                <w:iCs/>
                <w:lang w:val="lv-LV" w:eastAsia="lv-LV"/>
              </w:rPr>
              <w:t>Kravas auto ar noslēgtu kravas kasti un lafeti aizmugurē;</w:t>
            </w:r>
          </w:p>
          <w:p w14:paraId="56DA0CB2" w14:textId="77777777" w:rsidR="00EE6CE8" w:rsidRPr="00074F53" w:rsidRDefault="00EE6CE8" w:rsidP="00EE6CE8">
            <w:pPr>
              <w:pStyle w:val="VPBulletTable"/>
              <w:numPr>
                <w:ilvl w:val="1"/>
                <w:numId w:val="27"/>
              </w:numPr>
              <w:contextualSpacing/>
              <w:rPr>
                <w:rFonts w:eastAsia="SimSun"/>
                <w:bCs w:val="0"/>
                <w:iCs/>
                <w:lang w:val="lv-LV" w:eastAsia="lv-LV"/>
              </w:rPr>
            </w:pPr>
            <w:r w:rsidRPr="00074F53">
              <w:rPr>
                <w:rFonts w:eastAsia="SimSun"/>
                <w:bCs w:val="0"/>
                <w:iCs/>
                <w:lang w:val="lv-LV" w:eastAsia="lv-LV"/>
              </w:rPr>
              <w:t>Kvadricikls ar transporta piekabi;</w:t>
            </w:r>
          </w:p>
          <w:p w14:paraId="12CA0370" w14:textId="38272D47" w:rsidR="00EE6CE8" w:rsidRPr="00074F53" w:rsidRDefault="00EE6CE8" w:rsidP="00EE6CE8">
            <w:pPr>
              <w:pStyle w:val="VPBulletTable"/>
              <w:numPr>
                <w:ilvl w:val="1"/>
                <w:numId w:val="27"/>
              </w:numPr>
              <w:contextualSpacing/>
              <w:rPr>
                <w:rFonts w:eastAsia="SimSun"/>
                <w:bCs w:val="0"/>
                <w:iCs/>
                <w:lang w:val="lv-LV" w:eastAsia="lv-LV"/>
              </w:rPr>
            </w:pPr>
            <w:r w:rsidRPr="00074F53">
              <w:rPr>
                <w:rFonts w:eastAsia="SimSun"/>
                <w:bCs w:val="0"/>
                <w:iCs/>
                <w:lang w:val="lv-LV" w:eastAsia="lv-LV"/>
              </w:rPr>
              <w:t>Portatīvais aprīkojums (vibroskops, vibrofons);</w:t>
            </w:r>
          </w:p>
          <w:p w14:paraId="5200DF66" w14:textId="3F5F86B9" w:rsidR="00EE6CE8" w:rsidRPr="00074F53" w:rsidRDefault="00EE6CE8" w:rsidP="00EE6CE8">
            <w:pPr>
              <w:pStyle w:val="VPBulletTable"/>
              <w:numPr>
                <w:ilvl w:val="1"/>
                <w:numId w:val="27"/>
              </w:numPr>
              <w:contextualSpacing/>
              <w:rPr>
                <w:rFonts w:eastAsia="SimSun"/>
                <w:bCs w:val="0"/>
                <w:iCs/>
                <w:lang w:val="lv-LV" w:eastAsia="lv-LV"/>
              </w:rPr>
            </w:pPr>
            <w:r w:rsidRPr="00074F53">
              <w:rPr>
                <w:rFonts w:eastAsia="SimSun"/>
                <w:bCs w:val="0"/>
                <w:iCs/>
                <w:lang w:val="lv-LV" w:eastAsia="lv-LV"/>
              </w:rPr>
              <w:t>Hidrauliskie instrumenti;</w:t>
            </w:r>
          </w:p>
          <w:p w14:paraId="4EC04DA2" w14:textId="1D927027" w:rsidR="00EE6CE8" w:rsidRPr="00074F53" w:rsidRDefault="00EE6CE8" w:rsidP="00EE6CE8">
            <w:pPr>
              <w:pStyle w:val="VPBulletTable"/>
              <w:numPr>
                <w:ilvl w:val="1"/>
                <w:numId w:val="27"/>
              </w:numPr>
              <w:contextualSpacing/>
              <w:rPr>
                <w:rFonts w:eastAsia="SimSun"/>
                <w:bCs w:val="0"/>
                <w:iCs/>
                <w:lang w:val="lv-LV" w:eastAsia="lv-LV"/>
              </w:rPr>
            </w:pPr>
            <w:r w:rsidRPr="00074F53">
              <w:rPr>
                <w:rFonts w:eastAsia="SimSun"/>
                <w:bCs w:val="0"/>
                <w:iCs/>
                <w:lang w:val="lv-LV" w:eastAsia="lv-LV"/>
              </w:rPr>
              <w:t>Saliekams baseins;</w:t>
            </w:r>
          </w:p>
          <w:p w14:paraId="080C74BC" w14:textId="77777777" w:rsidR="00EE6CE8" w:rsidRPr="00074F53" w:rsidRDefault="00EE6CE8" w:rsidP="00EE6CE8">
            <w:pPr>
              <w:pStyle w:val="VPBulletTable"/>
              <w:numPr>
                <w:ilvl w:val="1"/>
                <w:numId w:val="27"/>
              </w:numPr>
              <w:contextualSpacing/>
              <w:rPr>
                <w:rFonts w:eastAsia="SimSun"/>
                <w:bCs w:val="0"/>
                <w:iCs/>
                <w:lang w:val="lv-LV" w:eastAsia="lv-LV"/>
              </w:rPr>
            </w:pPr>
            <w:r w:rsidRPr="00074F53">
              <w:rPr>
                <w:rFonts w:eastAsia="SimSun"/>
                <w:bCs w:val="0"/>
                <w:iCs/>
                <w:lang w:val="lv-LV" w:eastAsia="lv-LV"/>
              </w:rPr>
              <w:t>Industriālā veļas mašīna un veļasmašīna;</w:t>
            </w:r>
          </w:p>
          <w:p w14:paraId="027785FB" w14:textId="33A1D07E" w:rsidR="00EE6CE8" w:rsidRPr="00074F53" w:rsidRDefault="00EE6CE8" w:rsidP="00EE6CE8">
            <w:pPr>
              <w:pStyle w:val="VPBulletTable"/>
              <w:numPr>
                <w:ilvl w:val="1"/>
                <w:numId w:val="27"/>
              </w:numPr>
              <w:contextualSpacing/>
              <w:rPr>
                <w:rFonts w:eastAsia="SimSun"/>
                <w:bCs w:val="0"/>
                <w:iCs/>
                <w:lang w:val="lv-LV" w:eastAsia="lv-LV"/>
              </w:rPr>
            </w:pPr>
            <w:r w:rsidRPr="00074F53">
              <w:rPr>
                <w:rFonts w:eastAsia="SimSun"/>
                <w:bCs w:val="0"/>
                <w:iCs/>
                <w:lang w:val="lv-LV" w:eastAsia="lv-LV"/>
              </w:rPr>
              <w:lastRenderedPageBreak/>
              <w:t>Preces un materiāli poligona darbības uzsākšanai un funkcionēšanai;</w:t>
            </w:r>
          </w:p>
          <w:p w14:paraId="61C83E46" w14:textId="65ECBC01" w:rsidR="00EE6CE8" w:rsidRPr="00074F53" w:rsidRDefault="00EE6CE8" w:rsidP="00EE6CE8">
            <w:pPr>
              <w:pStyle w:val="VPBulletTable"/>
              <w:numPr>
                <w:ilvl w:val="1"/>
                <w:numId w:val="27"/>
              </w:numPr>
              <w:contextualSpacing/>
              <w:rPr>
                <w:rFonts w:eastAsia="SimSun"/>
                <w:bCs w:val="0"/>
                <w:iCs/>
                <w:lang w:val="lv-LV" w:eastAsia="lv-LV"/>
              </w:rPr>
            </w:pPr>
            <w:r w:rsidRPr="00074F53">
              <w:rPr>
                <w:rFonts w:eastAsia="SimSun"/>
                <w:bCs w:val="0"/>
                <w:iCs/>
                <w:lang w:val="lv-LV" w:eastAsia="lv-LV"/>
              </w:rPr>
              <w:t>Video filmēšanas aprīkojuma komplekts;</w:t>
            </w:r>
          </w:p>
          <w:p w14:paraId="45F55F16" w14:textId="66A596E8" w:rsidR="00EE6CE8" w:rsidRPr="00074F53" w:rsidRDefault="00EE6CE8" w:rsidP="00EE6CE8">
            <w:pPr>
              <w:pStyle w:val="VPBulletTable"/>
              <w:numPr>
                <w:ilvl w:val="1"/>
                <w:numId w:val="27"/>
              </w:numPr>
              <w:contextualSpacing/>
              <w:rPr>
                <w:rFonts w:eastAsia="SimSun"/>
                <w:bCs w:val="0"/>
                <w:iCs/>
                <w:lang w:val="lv-LV" w:eastAsia="lv-LV"/>
              </w:rPr>
            </w:pPr>
            <w:r w:rsidRPr="00074F53">
              <w:rPr>
                <w:rFonts w:eastAsia="SimSun"/>
                <w:bCs w:val="0"/>
                <w:iCs/>
                <w:lang w:val="lv-LV" w:eastAsia="lv-LV"/>
              </w:rPr>
              <w:t>Laboratorijas iekārtas;</w:t>
            </w:r>
          </w:p>
          <w:p w14:paraId="799B2808" w14:textId="604160B6" w:rsidR="00EE6CE8" w:rsidRPr="00074F53" w:rsidRDefault="00EE6CE8" w:rsidP="00EE6CE8">
            <w:pPr>
              <w:pStyle w:val="VPBulletTable"/>
              <w:numPr>
                <w:ilvl w:val="1"/>
                <w:numId w:val="27"/>
              </w:numPr>
              <w:contextualSpacing/>
              <w:rPr>
                <w:rFonts w:eastAsia="SimSun"/>
                <w:bCs w:val="0"/>
                <w:iCs/>
                <w:lang w:val="lv-LV" w:eastAsia="lv-LV"/>
              </w:rPr>
            </w:pPr>
            <w:r w:rsidRPr="00074F53">
              <w:rPr>
                <w:rFonts w:eastAsia="SimSun"/>
                <w:bCs w:val="0"/>
                <w:iCs/>
                <w:lang w:val="lv-LV" w:eastAsia="lv-LV"/>
              </w:rPr>
              <w:t xml:space="preserve">Nodrošināta multifunkcionalās taktiskās mājas, dzelzceļa cisternas un citu lielgabarīta konstrukciju pārvietošana uz mācību poligona teritoriju, dzelzceļa cisternas pielāgošanu noplūžu imitācijai un smilšu māla maisījuma iegādes un ieklāšanas pakalpojums. </w:t>
            </w:r>
          </w:p>
          <w:p w14:paraId="6296899F" w14:textId="2A99CBCE" w:rsidR="00EE6CE8" w:rsidRPr="00074F53" w:rsidRDefault="00EE6CE8" w:rsidP="00EE6CE8">
            <w:pPr>
              <w:pStyle w:val="CommentText"/>
              <w:numPr>
                <w:ilvl w:val="0"/>
                <w:numId w:val="27"/>
              </w:numPr>
              <w:rPr>
                <w:iCs/>
                <w:sz w:val="22"/>
                <w:szCs w:val="22"/>
                <w:lang w:val="lv-LV"/>
              </w:rPr>
            </w:pPr>
            <w:r w:rsidRPr="00074F53">
              <w:rPr>
                <w:iCs/>
                <w:sz w:val="22"/>
                <w:szCs w:val="22"/>
                <w:lang w:val="lv-LV" w:eastAsia="lv-LV"/>
              </w:rPr>
              <w:t>Organizētas 3 dienu praktiskās mācības par mācību poligona teritorijā esošo tehniku, aprīkojumu un izmantošanas iespējām (apmācīti 202 nodarbinātie).</w:t>
            </w:r>
          </w:p>
          <w:p w14:paraId="00C65C25" w14:textId="77777777" w:rsidR="00EE6CE8" w:rsidRPr="00074F53" w:rsidRDefault="00EE6CE8" w:rsidP="00EE6CE8">
            <w:pPr>
              <w:pStyle w:val="CommentText"/>
              <w:rPr>
                <w:iCs/>
                <w:sz w:val="22"/>
                <w:szCs w:val="22"/>
                <w:lang w:val="lv-LV"/>
              </w:rPr>
            </w:pPr>
          </w:p>
          <w:p w14:paraId="021CB056" w14:textId="5DB195A2" w:rsidR="00565D19" w:rsidRPr="00074F53" w:rsidRDefault="00565D19" w:rsidP="00EE6CE8">
            <w:pPr>
              <w:pStyle w:val="CommentText"/>
              <w:ind w:firstLine="743"/>
              <w:rPr>
                <w:iCs/>
                <w:sz w:val="22"/>
                <w:szCs w:val="22"/>
                <w:lang w:val="lv-LV"/>
              </w:rPr>
            </w:pPr>
            <w:r w:rsidRPr="00074F53">
              <w:rPr>
                <w:iCs/>
                <w:sz w:val="22"/>
                <w:szCs w:val="22"/>
                <w:lang w:val="lv-LV"/>
              </w:rPr>
              <w:t>Faktisko iznākuma un rezultātu rādītāju apguvi skatīt ziņojuma 1. pielikumā. Finansējuma apguvi skatīt ziņojuma 2. pielikumā.</w:t>
            </w:r>
          </w:p>
          <w:p w14:paraId="2AE24505" w14:textId="77777777" w:rsidR="00565D19" w:rsidRPr="00074F53" w:rsidRDefault="00565D19" w:rsidP="00565D19">
            <w:pPr>
              <w:pStyle w:val="CommentText"/>
              <w:rPr>
                <w:iCs/>
                <w:sz w:val="22"/>
                <w:szCs w:val="22"/>
                <w:lang w:val="lv-LV" w:eastAsia="lv-LV"/>
              </w:rPr>
            </w:pPr>
          </w:p>
          <w:p w14:paraId="457EA51C" w14:textId="08F281B1" w:rsidR="005C2B1E" w:rsidRPr="00074F53" w:rsidRDefault="005C2B1E" w:rsidP="005C2B1E">
            <w:pPr>
              <w:spacing w:line="276" w:lineRule="auto"/>
              <w:ind w:right="39" w:firstLine="743"/>
              <w:rPr>
                <w:rFonts w:eastAsia="Times New Roman"/>
                <w:u w:val="single"/>
                <w:lang w:val="lv-LV" w:eastAsia="lv-LV"/>
              </w:rPr>
            </w:pPr>
            <w:r w:rsidRPr="00074F53">
              <w:rPr>
                <w:rFonts w:eastAsia="Times New Roman"/>
                <w:u w:val="single"/>
                <w:lang w:val="lv-LV" w:eastAsia="lv-LV"/>
              </w:rPr>
              <w:t>Partnerības īstenošana.</w:t>
            </w:r>
          </w:p>
          <w:p w14:paraId="1335F812" w14:textId="006C3F00" w:rsidR="00566425" w:rsidRPr="00074F53" w:rsidRDefault="00B629CC" w:rsidP="0098268A">
            <w:pPr>
              <w:ind w:right="40" w:firstLine="743"/>
              <w:rPr>
                <w:rFonts w:eastAsia="Times New Roman"/>
                <w:u w:val="single"/>
                <w:lang w:val="lv-LV" w:eastAsia="lv-LV"/>
              </w:rPr>
            </w:pPr>
            <w:r w:rsidRPr="00074F53">
              <w:rPr>
                <w:rFonts w:eastAsia="Times New Roman"/>
                <w:lang w:val="lv-LV" w:eastAsia="lv-LV"/>
              </w:rPr>
              <w:t>Regulas Nr.2021/1060 8. panta 2. punktā minētās partnerības īstenošanai fonds ir iekļauts Partnerības līgumā ES investīciju fondu 2021.–2027. gada plānošanas periodam. Nacionālās programmas īstenošanas uzraudzībai 2024. gada 4. maijā ar vadošās iestādes rīkojumu ir izveidota fonda Uzraudzības komiteja (turpmāk – UK), iekļaujot tajā vadības līmeņa pārstāvjus no iestādēm, kuru kompetencē ir fonda jautājumi, kā arī sociālos partnerus un nevalstisko organizāciju pārstāvjus, kas darbojas fonda jomā. UK sastāvs aktualizēts 2025. gada 8. augustā. 2025. gada 19. jūnijā notika  UK klātienes sēdē</w:t>
            </w:r>
            <w:r w:rsidR="00ED58F1" w:rsidRPr="00074F53">
              <w:rPr>
                <w:rFonts w:eastAsia="Times New Roman"/>
                <w:lang w:val="lv-LV" w:eastAsia="lv-LV"/>
              </w:rPr>
              <w:t>, kurā piedalījās arī Eiropas Komisijas pārstāvji. V</w:t>
            </w:r>
            <w:r w:rsidRPr="00074F53">
              <w:rPr>
                <w:rFonts w:eastAsia="Times New Roman"/>
                <w:lang w:val="lv-LV" w:eastAsia="lv-LV"/>
              </w:rPr>
              <w:t xml:space="preserve">adošā iestāde iepazīstināja UK locekļus ar progresu nacionālās programmas mērķu sasniegšanā, </w:t>
            </w:r>
            <w:r w:rsidR="00ED58F1" w:rsidRPr="00074F53">
              <w:rPr>
                <w:rFonts w:eastAsia="Times New Roman"/>
                <w:lang w:val="lv-LV" w:eastAsia="lv-LV"/>
              </w:rPr>
              <w:t xml:space="preserve">par fonda risku izvērtējumu, </w:t>
            </w:r>
            <w:r w:rsidRPr="00074F53">
              <w:rPr>
                <w:rFonts w:eastAsia="Times New Roman"/>
                <w:lang w:val="lv-LV" w:eastAsia="lv-LV"/>
              </w:rPr>
              <w:t xml:space="preserve">kā arī atbildēja uz UK locekļu jautājumiem. </w:t>
            </w:r>
            <w:r w:rsidR="00ED58F1" w:rsidRPr="00074F53">
              <w:rPr>
                <w:rFonts w:eastAsia="Times New Roman"/>
                <w:lang w:val="lv-LV" w:eastAsia="lv-LV"/>
              </w:rPr>
              <w:t xml:space="preserve">Revīzijas iestāde sniedza aktuālo informāciju. </w:t>
            </w:r>
            <w:r w:rsidRPr="00074F53">
              <w:rPr>
                <w:rFonts w:eastAsia="Times New Roman"/>
                <w:lang w:val="lv-LV" w:eastAsia="lv-LV"/>
              </w:rPr>
              <w:t>Labklājības ministrijas pārstāve klātesošajiem sniedza prezentāciju par horizontālo principu "Vienlīdzība, iekļaušana, nediskriminācija un pamattiesību ievērošana" – izskaidroja horizontālos veicinošos nosacījumus, kā arī informēja par horizontālā principa ieviešanas mehānismu fonda projektos.</w:t>
            </w:r>
          </w:p>
          <w:p w14:paraId="2707CD99" w14:textId="50F039B2" w:rsidR="005C2B1E" w:rsidRPr="00074F53" w:rsidRDefault="005C2B1E" w:rsidP="00565D19">
            <w:pPr>
              <w:pStyle w:val="CommentText"/>
              <w:rPr>
                <w:iCs/>
                <w:sz w:val="22"/>
                <w:szCs w:val="22"/>
                <w:lang w:val="lv-LV" w:eastAsia="lv-LV"/>
              </w:rPr>
            </w:pPr>
          </w:p>
        </w:tc>
      </w:tr>
    </w:tbl>
    <w:p w14:paraId="1CFD7080" w14:textId="6575B8BA" w:rsidR="006A41E2" w:rsidRPr="00074F53" w:rsidRDefault="00B32C89" w:rsidP="00B32C89">
      <w:pPr>
        <w:pStyle w:val="ManualHeading2"/>
        <w:rPr>
          <w:noProof/>
          <w:lang w:val="lv-LV"/>
        </w:rPr>
      </w:pPr>
      <w:r w:rsidRPr="00074F53">
        <w:rPr>
          <w:lang w:val="lv-LV"/>
        </w:rPr>
        <w:lastRenderedPageBreak/>
        <w:t>1.2.</w:t>
      </w:r>
      <w:r w:rsidRPr="00074F53">
        <w:rPr>
          <w:lang w:val="lv-LV"/>
        </w:rPr>
        <w:tab/>
      </w:r>
      <w:r w:rsidR="006A41E2" w:rsidRPr="00074F53">
        <w:rPr>
          <w:noProof/>
          <w:lang w:val="lv-LV"/>
        </w:rPr>
        <w:t>Jautājumi, kas ietekmē sniegumu, – Regulas (ES) 2021/1149 30. panta 2. punkta b) apakšpunkts</w:t>
      </w:r>
    </w:p>
    <w:p w14:paraId="41D1A60F" w14:textId="766670D6" w:rsidR="006A41E2" w:rsidRPr="00074F53" w:rsidRDefault="006A41E2" w:rsidP="006A41E2">
      <w:pPr>
        <w:rPr>
          <w:noProof/>
          <w:lang w:val="lv-LV"/>
        </w:rPr>
      </w:pPr>
      <w:r w:rsidRPr="00074F53">
        <w:rPr>
          <w:noProof/>
          <w:lang w:val="lv-LV"/>
        </w:rPr>
        <w:t xml:space="preserve">Attiecībā uz katru konkrēto mērķi aprakstiet visus jautājumus, kas ietekmē programmas sniegumu grāmatvedības </w:t>
      </w:r>
      <w:r w:rsidR="0059347E">
        <w:rPr>
          <w:noProof/>
          <w:lang w:val="lv-LV"/>
        </w:rPr>
        <w:t>perioda</w:t>
      </w:r>
      <w:r w:rsidRPr="00074F53">
        <w:rPr>
          <w:noProof/>
          <w:lang w:val="lv-LV"/>
        </w:rPr>
        <w:t xml:space="preserve"> laikā, un visas darbības, kas veiktas to risināšanai. </w:t>
      </w:r>
    </w:p>
    <w:p w14:paraId="22DC52D6" w14:textId="77777777" w:rsidR="006A41E2" w:rsidRPr="00074F53" w:rsidRDefault="006A41E2" w:rsidP="006A41E2">
      <w:pPr>
        <w:rPr>
          <w:noProof/>
          <w:lang w:val="lv-LV"/>
        </w:rPr>
      </w:pPr>
      <w:r w:rsidRPr="00074F53">
        <w:rPr>
          <w:noProof/>
          <w:lang w:val="lv-LV"/>
        </w:rPr>
        <w:t>Ja vien tas ir iespējams un atbilst jūsu situācijai, būtu jānošķir jautājumi, kas saistīti ar:</w:t>
      </w:r>
    </w:p>
    <w:p w14:paraId="796296DC" w14:textId="77777777" w:rsidR="006A41E2" w:rsidRPr="00074F53" w:rsidRDefault="006A41E2" w:rsidP="007C6174">
      <w:pPr>
        <w:pStyle w:val="Tiret0"/>
        <w:numPr>
          <w:ilvl w:val="0"/>
          <w:numId w:val="10"/>
        </w:numPr>
        <w:rPr>
          <w:noProof/>
          <w:lang w:val="lv-LV"/>
        </w:rPr>
      </w:pPr>
      <w:r w:rsidRPr="00074F53">
        <w:rPr>
          <w:noProof/>
          <w:lang w:val="lv-LV"/>
        </w:rPr>
        <w:t>nepilnībām sasniegumu paziņošanā</w:t>
      </w:r>
      <w:r w:rsidRPr="00074F53">
        <w:rPr>
          <w:rStyle w:val="FootnoteReference"/>
          <w:noProof/>
          <w:lang w:val="lv-LV"/>
        </w:rPr>
        <w:footnoteReference w:id="2"/>
      </w:r>
      <w:r w:rsidRPr="00074F53">
        <w:rPr>
          <w:noProof/>
          <w:lang w:val="lv-LV"/>
        </w:rPr>
        <w:t xml:space="preserve">, </w:t>
      </w:r>
    </w:p>
    <w:p w14:paraId="56425BD3" w14:textId="77777777" w:rsidR="006A41E2" w:rsidRPr="00074F53" w:rsidRDefault="006A41E2" w:rsidP="007C6174">
      <w:pPr>
        <w:pStyle w:val="Tiret0"/>
        <w:numPr>
          <w:ilvl w:val="0"/>
          <w:numId w:val="10"/>
        </w:numPr>
        <w:rPr>
          <w:noProof/>
          <w:lang w:val="lv-LV"/>
        </w:rPr>
      </w:pPr>
      <w:r w:rsidRPr="00074F53">
        <w:rPr>
          <w:noProof/>
          <w:lang w:val="lv-LV"/>
        </w:rPr>
        <w:t>mērķrādītāju noteikšanu</w:t>
      </w:r>
      <w:r w:rsidRPr="00074F53">
        <w:rPr>
          <w:rStyle w:val="FootnoteReference"/>
          <w:noProof/>
          <w:lang w:val="lv-LV"/>
        </w:rPr>
        <w:footnoteReference w:id="3"/>
      </w:r>
      <w:r w:rsidRPr="00074F53">
        <w:rPr>
          <w:noProof/>
          <w:lang w:val="lv-LV"/>
        </w:rPr>
        <w:t xml:space="preserve">, </w:t>
      </w:r>
    </w:p>
    <w:p w14:paraId="4AC988B1" w14:textId="77777777" w:rsidR="006A41E2" w:rsidRPr="00074F53" w:rsidRDefault="006A41E2" w:rsidP="007C6174">
      <w:pPr>
        <w:pStyle w:val="Tiret0"/>
        <w:numPr>
          <w:ilvl w:val="0"/>
          <w:numId w:val="10"/>
        </w:numPr>
        <w:rPr>
          <w:noProof/>
          <w:lang w:val="lv-LV"/>
        </w:rPr>
      </w:pPr>
      <w:r w:rsidRPr="00074F53">
        <w:rPr>
          <w:noProof/>
          <w:lang w:val="lv-LV"/>
        </w:rPr>
        <w:t>procedūras kavējumiem un administratīvajām spējām</w:t>
      </w:r>
      <w:r w:rsidRPr="00074F53">
        <w:rPr>
          <w:rStyle w:val="FootnoteReference"/>
          <w:noProof/>
          <w:lang w:val="lv-LV"/>
        </w:rPr>
        <w:footnoteReference w:id="4"/>
      </w:r>
      <w:r w:rsidRPr="00074F53">
        <w:rPr>
          <w:noProof/>
          <w:lang w:val="lv-LV"/>
        </w:rPr>
        <w:t xml:space="preserve">, </w:t>
      </w:r>
    </w:p>
    <w:p w14:paraId="308DBC61" w14:textId="77777777" w:rsidR="006A41E2" w:rsidRPr="00074F53" w:rsidRDefault="006A41E2" w:rsidP="007C6174">
      <w:pPr>
        <w:pStyle w:val="Tiret0"/>
        <w:numPr>
          <w:ilvl w:val="0"/>
          <w:numId w:val="10"/>
        </w:numPr>
        <w:rPr>
          <w:noProof/>
          <w:lang w:val="lv-LV"/>
        </w:rPr>
      </w:pPr>
      <w:r w:rsidRPr="00074F53">
        <w:rPr>
          <w:noProof/>
          <w:lang w:val="lv-LV"/>
        </w:rPr>
        <w:t>konteksta izmaiņām</w:t>
      </w:r>
      <w:r w:rsidRPr="00074F53">
        <w:rPr>
          <w:rStyle w:val="FootnoteReference"/>
          <w:noProof/>
          <w:lang w:val="lv-LV"/>
        </w:rPr>
        <w:footnoteReference w:id="5"/>
      </w:r>
      <w:r w:rsidRPr="00074F53">
        <w:rPr>
          <w:noProof/>
          <w:lang w:val="lv-LV"/>
        </w:rPr>
        <w:t>,</w:t>
      </w:r>
    </w:p>
    <w:p w14:paraId="4880930E" w14:textId="77777777" w:rsidR="006A41E2" w:rsidRPr="00074F53" w:rsidRDefault="006A41E2" w:rsidP="007C6174">
      <w:pPr>
        <w:pStyle w:val="Tiret0"/>
        <w:numPr>
          <w:ilvl w:val="0"/>
          <w:numId w:val="10"/>
        </w:numPr>
        <w:rPr>
          <w:noProof/>
          <w:lang w:val="lv-LV"/>
        </w:rPr>
      </w:pPr>
      <w:r w:rsidRPr="00074F53">
        <w:rPr>
          <w:noProof/>
          <w:lang w:val="lv-LV"/>
        </w:rPr>
        <w:t>operāciju izstrādi un/vai īstenošanu</w:t>
      </w:r>
      <w:r w:rsidRPr="00074F53">
        <w:rPr>
          <w:rStyle w:val="FootnoteReference"/>
          <w:noProof/>
          <w:lang w:val="lv-LV"/>
        </w:rPr>
        <w:footnoteReference w:id="6"/>
      </w:r>
      <w:r w:rsidRPr="00074F53">
        <w:rPr>
          <w:noProof/>
          <w:lang w:val="lv-LV"/>
        </w:rPr>
        <w:t>, un</w:t>
      </w:r>
    </w:p>
    <w:p w14:paraId="0796544F" w14:textId="77777777" w:rsidR="006A41E2" w:rsidRPr="00074F53" w:rsidRDefault="006A41E2" w:rsidP="007C6174">
      <w:pPr>
        <w:pStyle w:val="Tiret0"/>
        <w:numPr>
          <w:ilvl w:val="0"/>
          <w:numId w:val="10"/>
        </w:numPr>
        <w:rPr>
          <w:noProof/>
          <w:lang w:val="lv-LV"/>
        </w:rPr>
      </w:pPr>
      <w:r w:rsidRPr="00074F53">
        <w:rPr>
          <w:noProof/>
          <w:lang w:val="lv-LV"/>
        </w:rPr>
        <w:t xml:space="preserve">jebkuri citi jautājumi. </w:t>
      </w:r>
    </w:p>
    <w:p w14:paraId="2D2D1478" w14:textId="77777777" w:rsidR="000E45B7" w:rsidRPr="00074F53" w:rsidRDefault="000E45B7" w:rsidP="006D7F5F">
      <w:pPr>
        <w:rPr>
          <w:i/>
          <w:noProof/>
          <w:lang w:val="lv-LV"/>
        </w:rPr>
      </w:pPr>
      <w:r w:rsidRPr="00074F53">
        <w:rPr>
          <w:noProof/>
          <w:lang w:val="lv-LV"/>
        </w:rPr>
        <w:t>Aprakstiet izmaiņas stratēģijā vai valsts mērķos vai faktorus, kas var izraisīt izmaiņas nākotnē, kā arī to, kā minētās izmaiņas ir mainījušas mērķrādītājus, kas aplēsti pēc snieguma satvara izveides metodikas.</w:t>
      </w:r>
    </w:p>
    <w:p w14:paraId="35771B28" w14:textId="77777777" w:rsidR="006A41E2" w:rsidRPr="00074F53" w:rsidRDefault="0060652B" w:rsidP="006A41E2">
      <w:pPr>
        <w:rPr>
          <w:noProof/>
          <w:lang w:val="lv-LV"/>
        </w:rPr>
      </w:pPr>
      <w:r w:rsidRPr="00074F53">
        <w:rPr>
          <w:noProof/>
          <w:lang w:val="lv-LV"/>
        </w:rPr>
        <w:t>Iekļaujiet informāciju par visiem pamatotajiem atzinumiem, ko Komisija sniegusi pārkāpuma procedūrā saskaņā ar Līguma par Eiropas Savienības darbību (LESD) 258. pantu un kas ir saistīti ar fonda līdzekļu apguvi.</w:t>
      </w:r>
    </w:p>
    <w:tbl>
      <w:tblPr>
        <w:tblStyle w:val="TableGrid"/>
        <w:tblW w:w="0" w:type="auto"/>
        <w:tblLook w:val="04A0" w:firstRow="1" w:lastRow="0" w:firstColumn="1" w:lastColumn="0" w:noHBand="0" w:noVBand="1"/>
      </w:tblPr>
      <w:tblGrid>
        <w:gridCol w:w="9063"/>
      </w:tblGrid>
      <w:tr w:rsidR="003A3A17" w:rsidRPr="00074F53" w14:paraId="4B42FB83" w14:textId="77777777" w:rsidTr="00E45665">
        <w:tc>
          <w:tcPr>
            <w:tcW w:w="9289" w:type="dxa"/>
          </w:tcPr>
          <w:p w14:paraId="26A8BB30" w14:textId="77777777" w:rsidR="006A41E2" w:rsidRPr="00074F53" w:rsidRDefault="00EA1A2F" w:rsidP="009E5C5D">
            <w:pPr>
              <w:pStyle w:val="Personnequisigne"/>
              <w:rPr>
                <w:noProof/>
                <w:lang w:val="lv-LV"/>
              </w:rPr>
            </w:pPr>
            <w:r w:rsidRPr="00074F53">
              <w:rPr>
                <w:noProof/>
                <w:lang w:val="lv-LV"/>
              </w:rPr>
              <w:lastRenderedPageBreak/>
              <w:t>Šeit ierakstiet tekstu. Ne vairāk kā 7000 rakstzīmes.</w:t>
            </w:r>
          </w:p>
          <w:p w14:paraId="3221D902" w14:textId="1E46C4D9" w:rsidR="00077A0B" w:rsidRPr="00074F53" w:rsidRDefault="00077A0B" w:rsidP="00DB1D8E">
            <w:pPr>
              <w:keepNext/>
              <w:tabs>
                <w:tab w:val="left" w:pos="4252"/>
              </w:tabs>
              <w:ind w:firstLine="743"/>
              <w:rPr>
                <w:lang w:val="lv-LV"/>
              </w:rPr>
            </w:pPr>
            <w:r w:rsidRPr="00074F53">
              <w:rPr>
                <w:lang w:val="lv-LV"/>
              </w:rPr>
              <w:t xml:space="preserve">Jautājumi, kas ietekmē IDF programmas sniegumu grāmatvedības </w:t>
            </w:r>
            <w:r w:rsidR="00A44041" w:rsidRPr="00074F53">
              <w:rPr>
                <w:lang w:val="lv-LV"/>
              </w:rPr>
              <w:t>periodā:</w:t>
            </w:r>
          </w:p>
          <w:p w14:paraId="1BFA6963" w14:textId="77777777" w:rsidR="00F96B79" w:rsidRPr="00074F53" w:rsidRDefault="00F96B79" w:rsidP="00077A0B">
            <w:pPr>
              <w:keepNext/>
              <w:tabs>
                <w:tab w:val="left" w:pos="4252"/>
              </w:tabs>
              <w:jc w:val="center"/>
              <w:rPr>
                <w:b/>
                <w:lang w:val="lv-LV"/>
              </w:rPr>
            </w:pPr>
          </w:p>
          <w:p w14:paraId="578F00E2" w14:textId="74EA6CF2" w:rsidR="00077A0B" w:rsidRPr="00074F53" w:rsidRDefault="00F06AA3" w:rsidP="00F06AA3">
            <w:pPr>
              <w:keepNext/>
              <w:tabs>
                <w:tab w:val="left" w:pos="4252"/>
              </w:tabs>
              <w:ind w:left="360"/>
              <w:jc w:val="center"/>
              <w:rPr>
                <w:u w:val="single"/>
                <w:lang w:val="lv-LV"/>
              </w:rPr>
            </w:pPr>
            <w:r w:rsidRPr="00074F53">
              <w:rPr>
                <w:u w:val="single"/>
                <w:lang w:val="lv-LV"/>
              </w:rPr>
              <w:t xml:space="preserve">1. </w:t>
            </w:r>
            <w:r w:rsidR="00077A0B" w:rsidRPr="00074F53">
              <w:rPr>
                <w:u w:val="single"/>
                <w:lang w:val="lv-LV"/>
              </w:rPr>
              <w:t>konkrēt</w:t>
            </w:r>
            <w:r w:rsidR="00A44041" w:rsidRPr="00074F53">
              <w:rPr>
                <w:u w:val="single"/>
                <w:lang w:val="lv-LV"/>
              </w:rPr>
              <w:t>ais mērķis</w:t>
            </w:r>
          </w:p>
          <w:p w14:paraId="1FCBE784" w14:textId="77777777" w:rsidR="008A082C" w:rsidRPr="00074F53" w:rsidRDefault="008A082C" w:rsidP="008A082C">
            <w:pPr>
              <w:pStyle w:val="ListParagraph"/>
              <w:keepNext/>
              <w:tabs>
                <w:tab w:val="left" w:pos="4252"/>
              </w:tabs>
              <w:rPr>
                <w:u w:val="single"/>
                <w:lang w:val="lv-LV"/>
              </w:rPr>
            </w:pPr>
          </w:p>
          <w:p w14:paraId="218EAFFB" w14:textId="3AD3FF36" w:rsidR="00692AF9" w:rsidRPr="00074F53" w:rsidRDefault="008A082C" w:rsidP="00074F53">
            <w:pPr>
              <w:pStyle w:val="ListParagraph"/>
              <w:numPr>
                <w:ilvl w:val="0"/>
                <w:numId w:val="43"/>
              </w:numPr>
              <w:tabs>
                <w:tab w:val="left" w:pos="4252"/>
              </w:tabs>
              <w:rPr>
                <w:lang w:val="lv-LV"/>
              </w:rPr>
            </w:pPr>
            <w:r w:rsidRPr="00074F53">
              <w:rPr>
                <w:b/>
                <w:bCs/>
                <w:lang w:val="lv-LV"/>
              </w:rPr>
              <w:t>Nepilnības sasniegumu paziņošanā.</w:t>
            </w:r>
            <w:r w:rsidRPr="00074F53">
              <w:rPr>
                <w:lang w:val="lv-LV"/>
              </w:rPr>
              <w:t xml:space="preserve"> Par iepriekš minētajiem iznākuma un rezultātu rādītājiem ir pieejama informācija un nav novērotu nepilnību to ziņošanā</w:t>
            </w:r>
            <w:r w:rsidR="00FB7FAB" w:rsidRPr="00074F53">
              <w:rPr>
                <w:lang w:val="lv-LV"/>
              </w:rPr>
              <w:t xml:space="preserve">. </w:t>
            </w:r>
            <w:r w:rsidR="00692AF9" w:rsidRPr="00074F53">
              <w:rPr>
                <w:lang w:val="lv-LV"/>
              </w:rPr>
              <w:t>Nepilnības radās arī, ievadot finanšu informāciju datu pārraides 3. tabulā. Respektīvi, sistēma SFC2021 brīdināja, ka 7. ailē “Kopējais finanšu piešķīrums no fondiem un valsts ieguldījums” summa ir mazāka nekā 8. ailē “Atlasīto darbību kopējās attiecināmās izmaksas” ievadītā informācija. Šāda situācija ir radusies</w:t>
            </w:r>
            <w:r w:rsidR="00206FA7">
              <w:rPr>
                <w:lang w:val="lv-LV"/>
              </w:rPr>
              <w:t xml:space="preserve">, </w:t>
            </w:r>
            <w:r w:rsidR="00206FA7" w:rsidRPr="002A2E2F">
              <w:rPr>
                <w:lang w:val="lv-LV"/>
              </w:rPr>
              <w:t xml:space="preserve">jo Latvija ir palielinājusi līdzfinansējuma likmi konkrētajām darbībām, taču ar Nacionālās programmas grozījumiem šī situācija tiks izlabota. </w:t>
            </w:r>
          </w:p>
          <w:p w14:paraId="02171235" w14:textId="77777777" w:rsidR="00074F53" w:rsidRPr="00074F53" w:rsidRDefault="008A082C" w:rsidP="00074F53">
            <w:pPr>
              <w:pStyle w:val="CommentText"/>
              <w:numPr>
                <w:ilvl w:val="0"/>
                <w:numId w:val="43"/>
              </w:numPr>
              <w:rPr>
                <w:sz w:val="22"/>
                <w:szCs w:val="22"/>
                <w:lang w:val="lv-LV"/>
              </w:rPr>
            </w:pPr>
            <w:proofErr w:type="spellStart"/>
            <w:r w:rsidRPr="00074F53">
              <w:rPr>
                <w:b/>
                <w:sz w:val="22"/>
                <w:szCs w:val="22"/>
                <w:lang w:val="lv-LV"/>
              </w:rPr>
              <w:t>Mērķrādītāju</w:t>
            </w:r>
            <w:proofErr w:type="spellEnd"/>
            <w:r w:rsidRPr="00074F53">
              <w:rPr>
                <w:b/>
                <w:sz w:val="22"/>
                <w:szCs w:val="22"/>
                <w:lang w:val="lv-LV"/>
              </w:rPr>
              <w:t xml:space="preserve"> noteikšanā.</w:t>
            </w:r>
            <w:r w:rsidRPr="00074F53">
              <w:rPr>
                <w:sz w:val="22"/>
                <w:szCs w:val="22"/>
                <w:lang w:val="lv-LV"/>
              </w:rPr>
              <w:t xml:space="preserve"> </w:t>
            </w:r>
            <w:bookmarkStart w:id="12" w:name="_Hlk221198010"/>
            <w:r w:rsidRPr="00074F53">
              <w:rPr>
                <w:sz w:val="22"/>
                <w:szCs w:val="22"/>
                <w:lang w:val="lv-LV"/>
              </w:rPr>
              <w:t xml:space="preserve">Izaicinājumu radīja IDF programmas rādītāju metodoloģijas izstrāde, ņemot vērā pieaugošo informācijas detalizāciju, salīdzinot ar iepriekšējo plānošanas periodu, un vadošās iestādes personāla mainību. </w:t>
            </w:r>
            <w:r w:rsidR="00074F53" w:rsidRPr="00074F53">
              <w:rPr>
                <w:sz w:val="22"/>
                <w:szCs w:val="22"/>
                <w:lang w:val="lv-LV"/>
              </w:rPr>
              <w:t>Papildus, Migrācijas un patvēruma pakta konkrētās darbības projekta pieteikuma izstrādes laiks sakrita ar rādītāju metodoloģijas sagatavošanu, tādēļ nācās pārskatīt un aktualizēt sagatavoto metodoloģiju, ņemot vērā arī projektus, kas tiks īstenoti Migrācijas un patvēruma pakta ietvaros.</w:t>
            </w:r>
          </w:p>
          <w:bookmarkEnd w:id="12"/>
          <w:p w14:paraId="1B4DDA49" w14:textId="77777777" w:rsidR="00074F53" w:rsidRPr="00074F53" w:rsidRDefault="00074F53" w:rsidP="00074F53">
            <w:pPr>
              <w:pStyle w:val="CommentText"/>
              <w:ind w:left="720"/>
              <w:rPr>
                <w:b/>
                <w:sz w:val="22"/>
                <w:szCs w:val="22"/>
                <w:lang w:val="lv-LV"/>
              </w:rPr>
            </w:pPr>
          </w:p>
          <w:p w14:paraId="10C25A3D" w14:textId="77777777" w:rsidR="00074F53" w:rsidRPr="00074F53" w:rsidRDefault="008A082C" w:rsidP="00074F53">
            <w:pPr>
              <w:pStyle w:val="CommentText"/>
              <w:ind w:left="720"/>
              <w:rPr>
                <w:sz w:val="22"/>
                <w:szCs w:val="22"/>
                <w:lang w:val="lv-LV"/>
              </w:rPr>
            </w:pPr>
            <w:r w:rsidRPr="00074F53">
              <w:rPr>
                <w:sz w:val="22"/>
                <w:szCs w:val="22"/>
                <w:lang w:val="lv-LV"/>
              </w:rPr>
              <w:t xml:space="preserve">Arī konteksta izmaiņas (skat. tālāk) liek pārdomāt, vai iepriekš noteiktie </w:t>
            </w:r>
            <w:proofErr w:type="spellStart"/>
            <w:r w:rsidRPr="00074F53">
              <w:rPr>
                <w:sz w:val="22"/>
                <w:szCs w:val="22"/>
                <w:lang w:val="lv-LV"/>
              </w:rPr>
              <w:t>mērķrādītāji</w:t>
            </w:r>
            <w:proofErr w:type="spellEnd"/>
            <w:r w:rsidRPr="00074F53">
              <w:rPr>
                <w:sz w:val="22"/>
                <w:szCs w:val="22"/>
                <w:lang w:val="lv-LV"/>
              </w:rPr>
              <w:t xml:space="preserve"> un to </w:t>
            </w:r>
            <w:r w:rsidRPr="00074F53">
              <w:rPr>
                <w:sz w:val="22"/>
                <w:szCs w:val="22"/>
                <w:lang w:val="lv-LV"/>
              </w:rPr>
              <w:t>vērtības ir un turpinās būt aktuālas. Ir novērotas nepilnības rādītāju apguvēs (lūdzu detalizēti skatīt ziņojuma 1. pielikumā):</w:t>
            </w:r>
          </w:p>
          <w:p w14:paraId="7E813BEC" w14:textId="77777777" w:rsidR="00074F53" w:rsidRPr="00074F53" w:rsidRDefault="00074F53" w:rsidP="00074F53">
            <w:pPr>
              <w:pStyle w:val="CommentText"/>
              <w:ind w:left="720"/>
              <w:rPr>
                <w:sz w:val="22"/>
                <w:szCs w:val="22"/>
                <w:lang w:val="lv-LV"/>
              </w:rPr>
            </w:pPr>
          </w:p>
          <w:p w14:paraId="3CB9DC6E" w14:textId="47AC0D30" w:rsidR="00074F53" w:rsidRPr="00074F53" w:rsidRDefault="008A082C" w:rsidP="00074F53">
            <w:pPr>
              <w:pStyle w:val="CommentText"/>
              <w:numPr>
                <w:ilvl w:val="0"/>
                <w:numId w:val="27"/>
              </w:numPr>
              <w:rPr>
                <w:sz w:val="22"/>
                <w:szCs w:val="22"/>
                <w:lang w:val="lv-LV"/>
              </w:rPr>
            </w:pPr>
            <w:r w:rsidRPr="00074F53">
              <w:rPr>
                <w:sz w:val="22"/>
                <w:szCs w:val="22"/>
                <w:lang w:val="lv-LV"/>
              </w:rPr>
              <w:t xml:space="preserve">Iznākuma rādītājs O.1.1. “Dalībnieku skaits </w:t>
            </w:r>
            <w:r w:rsidR="00AA09EA" w:rsidRPr="00074F53">
              <w:rPr>
                <w:sz w:val="22"/>
                <w:szCs w:val="22"/>
                <w:lang w:val="lv-LV"/>
              </w:rPr>
              <w:t>mācību aktivitātēs</w:t>
            </w:r>
            <w:r w:rsidRPr="00074F53">
              <w:rPr>
                <w:sz w:val="22"/>
                <w:szCs w:val="22"/>
                <w:lang w:val="lv-LV"/>
              </w:rPr>
              <w:t xml:space="preserve">” ir izpildīts par </w:t>
            </w:r>
            <w:r w:rsidR="00AA09EA" w:rsidRPr="00074F53">
              <w:rPr>
                <w:sz w:val="22"/>
                <w:szCs w:val="22"/>
                <w:lang w:val="lv-LV"/>
              </w:rPr>
              <w:t xml:space="preserve">865% attiecībā pret 2024. gada plānoto starpposma rādītāju un faktisko izpildi. Šis pārsniegums ir radies </w:t>
            </w:r>
            <w:r w:rsidR="00F06AA3" w:rsidRPr="00074F53">
              <w:rPr>
                <w:sz w:val="22"/>
                <w:szCs w:val="22"/>
                <w:lang w:val="lv-LV"/>
              </w:rPr>
              <w:t>VDD</w:t>
            </w:r>
            <w:r w:rsidR="00AA09EA" w:rsidRPr="00074F53">
              <w:rPr>
                <w:sz w:val="22"/>
                <w:szCs w:val="22"/>
                <w:lang w:val="lv-LV"/>
              </w:rPr>
              <w:t xml:space="preserve"> īstenotā projektā, par kuru sīkāku informāciju </w:t>
            </w:r>
            <w:r w:rsidR="00F34E83" w:rsidRPr="00074F53">
              <w:rPr>
                <w:sz w:val="22"/>
                <w:szCs w:val="22"/>
                <w:lang w:val="lv-LV"/>
              </w:rPr>
              <w:t xml:space="preserve">ziņojumā </w:t>
            </w:r>
            <w:r w:rsidR="00AA09EA" w:rsidRPr="00074F53">
              <w:rPr>
                <w:sz w:val="22"/>
                <w:szCs w:val="22"/>
                <w:lang w:val="lv-LV"/>
              </w:rPr>
              <w:t>atklāt nav iespējams</w:t>
            </w:r>
            <w:r w:rsidR="00F34E83" w:rsidRPr="00074F53">
              <w:rPr>
                <w:sz w:val="22"/>
                <w:szCs w:val="22"/>
                <w:lang w:val="lv-LV"/>
              </w:rPr>
              <w:t>, jo projektam ir piešķirts statuss – slepeni</w:t>
            </w:r>
            <w:r w:rsidR="00AA09EA" w:rsidRPr="00074F53">
              <w:rPr>
                <w:sz w:val="22"/>
                <w:szCs w:val="22"/>
                <w:lang w:val="lv-LV"/>
              </w:rPr>
              <w:t xml:space="preserve">. Tomēr izpilde pret </w:t>
            </w:r>
            <w:proofErr w:type="spellStart"/>
            <w:r w:rsidR="00AA09EA" w:rsidRPr="00074F53">
              <w:rPr>
                <w:sz w:val="22"/>
                <w:szCs w:val="22"/>
                <w:lang w:val="lv-LV"/>
              </w:rPr>
              <w:t>mērķrādītāju</w:t>
            </w:r>
            <w:proofErr w:type="spellEnd"/>
            <w:r w:rsidR="00AA09EA" w:rsidRPr="00074F53">
              <w:rPr>
                <w:sz w:val="22"/>
                <w:szCs w:val="22"/>
                <w:lang w:val="lv-LV"/>
              </w:rPr>
              <w:t xml:space="preserve"> 2029. gadā ir normas robežās un nav pārsniegta</w:t>
            </w:r>
            <w:r w:rsidR="0003467C">
              <w:rPr>
                <w:sz w:val="22"/>
                <w:szCs w:val="22"/>
                <w:lang w:val="lv-LV"/>
              </w:rPr>
              <w:t>;</w:t>
            </w:r>
          </w:p>
          <w:p w14:paraId="1E2C4457" w14:textId="752CB55D" w:rsidR="00657189" w:rsidRDefault="00AA09EA" w:rsidP="0003467C">
            <w:pPr>
              <w:pStyle w:val="CommentText"/>
              <w:numPr>
                <w:ilvl w:val="0"/>
                <w:numId w:val="27"/>
              </w:numPr>
              <w:rPr>
                <w:sz w:val="22"/>
                <w:szCs w:val="22"/>
                <w:lang w:val="lv-LV"/>
              </w:rPr>
            </w:pPr>
            <w:r w:rsidRPr="00074F53">
              <w:rPr>
                <w:sz w:val="22"/>
                <w:szCs w:val="22"/>
                <w:lang w:val="lv-LV"/>
              </w:rPr>
              <w:t xml:space="preserve">Iznākuma rādītājs O.1.4. “Iegādāto aprīkojuma vienību skaits” ir izpildīts par 665% attiecībā pret 2024. gada plānoto starpposma rādītāju un faktisko izpildi. Šis pārsniegums ir radies </w:t>
            </w:r>
            <w:r w:rsidR="00DE4A49" w:rsidRPr="00074F53">
              <w:rPr>
                <w:sz w:val="22"/>
                <w:szCs w:val="22"/>
                <w:lang w:val="lv-LV"/>
              </w:rPr>
              <w:t xml:space="preserve">VP </w:t>
            </w:r>
            <w:r w:rsidRPr="00074F53">
              <w:rPr>
                <w:sz w:val="22"/>
                <w:szCs w:val="22"/>
                <w:lang w:val="lv-LV"/>
              </w:rPr>
              <w:t>īstenotā projektā</w:t>
            </w:r>
            <w:r w:rsidR="00DE4A49" w:rsidRPr="00074F53">
              <w:rPr>
                <w:sz w:val="22"/>
                <w:szCs w:val="22"/>
                <w:lang w:val="lv-LV"/>
              </w:rPr>
              <w:t xml:space="preserve"> par NKIM informācijas sistēmas izveidi</w:t>
            </w:r>
            <w:r w:rsidRPr="00074F53">
              <w:rPr>
                <w:sz w:val="22"/>
                <w:szCs w:val="22"/>
                <w:lang w:val="lv-LV"/>
              </w:rPr>
              <w:t>,</w:t>
            </w:r>
            <w:r w:rsidR="00DE4A49" w:rsidRPr="00074F53">
              <w:rPr>
                <w:sz w:val="22"/>
                <w:szCs w:val="22"/>
                <w:lang w:val="lv-LV"/>
              </w:rPr>
              <w:t xml:space="preserve"> to</w:t>
            </w:r>
            <w:r w:rsidRPr="00074F53">
              <w:rPr>
                <w:sz w:val="22"/>
                <w:szCs w:val="22"/>
                <w:lang w:val="lv-LV"/>
              </w:rPr>
              <w:t xml:space="preserve">mēr izpilde pret </w:t>
            </w:r>
            <w:proofErr w:type="spellStart"/>
            <w:r w:rsidRPr="00074F53">
              <w:rPr>
                <w:sz w:val="22"/>
                <w:szCs w:val="22"/>
                <w:lang w:val="lv-LV"/>
              </w:rPr>
              <w:t>mērķrādītāju</w:t>
            </w:r>
            <w:proofErr w:type="spellEnd"/>
            <w:r w:rsidRPr="00074F53">
              <w:rPr>
                <w:sz w:val="22"/>
                <w:szCs w:val="22"/>
                <w:lang w:val="lv-LV"/>
              </w:rPr>
              <w:t xml:space="preserve"> 2029. gadā ir normas robežās un nav pārsniegta. </w:t>
            </w:r>
          </w:p>
          <w:p w14:paraId="4F36B7E1" w14:textId="77777777" w:rsidR="0003467C" w:rsidRPr="0003467C" w:rsidRDefault="0003467C" w:rsidP="0003467C">
            <w:pPr>
              <w:pStyle w:val="CommentText"/>
              <w:ind w:left="720"/>
              <w:rPr>
                <w:sz w:val="22"/>
                <w:szCs w:val="22"/>
                <w:lang w:val="lv-LV"/>
              </w:rPr>
            </w:pPr>
          </w:p>
          <w:p w14:paraId="5A283326" w14:textId="0054E1A3" w:rsidR="00074F53" w:rsidRPr="00074F53" w:rsidRDefault="00074F53" w:rsidP="00074F53">
            <w:pPr>
              <w:pStyle w:val="CommentText"/>
              <w:ind w:left="447"/>
              <w:rPr>
                <w:sz w:val="22"/>
                <w:szCs w:val="22"/>
                <w:lang w:val="lv-LV"/>
              </w:rPr>
            </w:pPr>
            <w:r w:rsidRPr="00074F53">
              <w:rPr>
                <w:b/>
                <w:sz w:val="22"/>
                <w:szCs w:val="22"/>
                <w:lang w:val="lv-LV"/>
              </w:rPr>
              <w:t xml:space="preserve">3. </w:t>
            </w:r>
            <w:r w:rsidR="008A082C" w:rsidRPr="00074F53">
              <w:rPr>
                <w:b/>
                <w:sz w:val="22"/>
                <w:szCs w:val="22"/>
                <w:lang w:val="lv-LV"/>
              </w:rPr>
              <w:t>P</w:t>
            </w:r>
            <w:r w:rsidR="008A082C" w:rsidRPr="00074F53">
              <w:rPr>
                <w:b/>
                <w:noProof/>
                <w:sz w:val="22"/>
                <w:szCs w:val="22"/>
                <w:lang w:val="lv-LV"/>
              </w:rPr>
              <w:t>rocedūras kavējumi un administratīvās spējas</w:t>
            </w:r>
            <w:r w:rsidR="008A082C" w:rsidRPr="00074F53">
              <w:rPr>
                <w:noProof/>
                <w:sz w:val="22"/>
                <w:szCs w:val="22"/>
                <w:lang w:val="lv-LV"/>
              </w:rPr>
              <w:t>. IDF programmas novēlota pieņemšana kavēja IDF programmas īstenošanu un projektu uzsākšanu. Atsevišķi projekti tika uzsākti pirms projektu līgumu noslēgšanas, attiecinot jau veiktās izmaksas. Iekšējo procedūru izstrādes aizkavēšanās ietekmēja Pārvaldības un kontroles sistēmas apraksta izstrādi un apstiprināšanu.</w:t>
            </w:r>
          </w:p>
          <w:p w14:paraId="58B6321B" w14:textId="4920815A" w:rsidR="0004435A" w:rsidRPr="00074F53" w:rsidRDefault="00074F53" w:rsidP="00074F53">
            <w:pPr>
              <w:tabs>
                <w:tab w:val="left" w:pos="4252"/>
              </w:tabs>
              <w:ind w:left="447"/>
              <w:rPr>
                <w:noProof/>
                <w:lang w:val="lv-LV"/>
              </w:rPr>
            </w:pPr>
            <w:r w:rsidRPr="00074F53">
              <w:rPr>
                <w:b/>
                <w:lang w:val="lv-LV"/>
              </w:rPr>
              <w:t xml:space="preserve">4. </w:t>
            </w:r>
            <w:r w:rsidR="008A082C" w:rsidRPr="00074F53">
              <w:rPr>
                <w:b/>
                <w:lang w:val="lv-LV"/>
              </w:rPr>
              <w:t>Konteksta izmaiņas</w:t>
            </w:r>
            <w:r w:rsidR="008A082C" w:rsidRPr="00074F53">
              <w:rPr>
                <w:lang w:val="lv-LV"/>
              </w:rPr>
              <w:t xml:space="preserve">. Lai gan ir pastiprinājies migrācijas spiediens uz Latvijas-Baltkrievijas robežas, strauji pieaugot ārējās robežas neregulāras šķērsošanas mēģinājumu skaitam no Baltkrievijas, kuru mērķtiecīgi veicina Baltkrievijas varasiestādes kā daļu no </w:t>
            </w:r>
            <w:proofErr w:type="spellStart"/>
            <w:r w:rsidR="008A082C" w:rsidRPr="00074F53">
              <w:rPr>
                <w:lang w:val="lv-LV"/>
              </w:rPr>
              <w:t>hibrīduzbrukuma</w:t>
            </w:r>
            <w:proofErr w:type="spellEnd"/>
            <w:r w:rsidR="008A082C" w:rsidRPr="00074F53">
              <w:rPr>
                <w:lang w:val="lv-LV"/>
              </w:rPr>
              <w:t xml:space="preserve"> pret ES, kā rezultātā TAI strādā pastiprināta darba režīmā un tiek veiktas dažādas izmaiņas nacionālajā tiesiskajā regulējumā, reaģējot uz šo situāciju, tomēr IDF programmu tas nav ietekmējis. </w:t>
            </w:r>
          </w:p>
          <w:p w14:paraId="691EB1E8" w14:textId="6EF4BC2E" w:rsidR="0004435A" w:rsidRPr="00074F53" w:rsidRDefault="00074F53" w:rsidP="00074F53">
            <w:pPr>
              <w:tabs>
                <w:tab w:val="left" w:pos="4252"/>
              </w:tabs>
              <w:ind w:left="447"/>
              <w:rPr>
                <w:noProof/>
                <w:lang w:val="lv-LV"/>
              </w:rPr>
            </w:pPr>
            <w:r w:rsidRPr="00074F53">
              <w:rPr>
                <w:b/>
                <w:lang w:val="lv-LV"/>
              </w:rPr>
              <w:t xml:space="preserve">5. </w:t>
            </w:r>
            <w:r w:rsidR="008A082C" w:rsidRPr="00074F53">
              <w:rPr>
                <w:b/>
                <w:lang w:val="lv-LV"/>
              </w:rPr>
              <w:t>O</w:t>
            </w:r>
            <w:r w:rsidR="008A082C" w:rsidRPr="00074F53">
              <w:rPr>
                <w:b/>
                <w:noProof/>
                <w:lang w:val="lv-LV"/>
              </w:rPr>
              <w:t>perāciju izstrāde un/vai īstenošana</w:t>
            </w:r>
            <w:r w:rsidR="008A082C" w:rsidRPr="00074F53">
              <w:rPr>
                <w:lang w:val="lv-LV"/>
              </w:rPr>
              <w:t>. Nav attiecināms</w:t>
            </w:r>
            <w:r w:rsidR="0004435A" w:rsidRPr="00074F53">
              <w:rPr>
                <w:noProof/>
                <w:lang w:val="lv-LV"/>
              </w:rPr>
              <w:t>.</w:t>
            </w:r>
          </w:p>
          <w:p w14:paraId="1040FFD0" w14:textId="1BB31DEA" w:rsidR="008A082C" w:rsidRPr="00074F53" w:rsidRDefault="00074F53" w:rsidP="00074F53">
            <w:pPr>
              <w:keepNext/>
              <w:tabs>
                <w:tab w:val="left" w:pos="4252"/>
              </w:tabs>
              <w:ind w:left="447"/>
              <w:rPr>
                <w:lang w:val="lv-LV"/>
              </w:rPr>
            </w:pPr>
            <w:r w:rsidRPr="00074F53">
              <w:rPr>
                <w:b/>
                <w:lang w:val="lv-LV"/>
              </w:rPr>
              <w:t xml:space="preserve">6. </w:t>
            </w:r>
            <w:r w:rsidR="008A082C" w:rsidRPr="00074F53">
              <w:rPr>
                <w:b/>
                <w:lang w:val="lv-LV"/>
              </w:rPr>
              <w:t>Citi jautājumi</w:t>
            </w:r>
            <w:r w:rsidR="008A082C" w:rsidRPr="00074F53">
              <w:rPr>
                <w:lang w:val="lv-LV"/>
              </w:rPr>
              <w:t>. Nav attiecināms.</w:t>
            </w:r>
          </w:p>
          <w:p w14:paraId="12A6A64E" w14:textId="77777777" w:rsidR="00F96B79" w:rsidRPr="00074F53" w:rsidRDefault="00F96B79" w:rsidP="00FB6F86">
            <w:pPr>
              <w:keepNext/>
              <w:tabs>
                <w:tab w:val="left" w:pos="4252"/>
              </w:tabs>
              <w:rPr>
                <w:u w:val="single"/>
                <w:lang w:val="lv-LV"/>
              </w:rPr>
            </w:pPr>
          </w:p>
          <w:p w14:paraId="7B2584D6" w14:textId="5961E0D5" w:rsidR="00077A0B" w:rsidRPr="00074F53" w:rsidRDefault="00077A0B" w:rsidP="00077A0B">
            <w:pPr>
              <w:keepNext/>
              <w:tabs>
                <w:tab w:val="left" w:pos="4252"/>
              </w:tabs>
              <w:jc w:val="center"/>
              <w:rPr>
                <w:u w:val="single"/>
                <w:lang w:val="lv-LV"/>
              </w:rPr>
            </w:pPr>
            <w:r w:rsidRPr="00074F53">
              <w:rPr>
                <w:u w:val="single"/>
                <w:lang w:val="lv-LV"/>
              </w:rPr>
              <w:t>2. konkrēt</w:t>
            </w:r>
            <w:r w:rsidR="00A44041" w:rsidRPr="00074F53">
              <w:rPr>
                <w:u w:val="single"/>
                <w:lang w:val="lv-LV"/>
              </w:rPr>
              <w:t>ais mērķis</w:t>
            </w:r>
          </w:p>
          <w:p w14:paraId="1AFB296B" w14:textId="30709FC6" w:rsidR="00DE4A49" w:rsidRPr="00074F53" w:rsidRDefault="00DE4A49" w:rsidP="00077A0B">
            <w:pPr>
              <w:keepNext/>
              <w:tabs>
                <w:tab w:val="left" w:pos="4252"/>
              </w:tabs>
              <w:jc w:val="center"/>
              <w:rPr>
                <w:u w:val="single"/>
                <w:lang w:val="lv-LV"/>
              </w:rPr>
            </w:pPr>
          </w:p>
          <w:p w14:paraId="1802410D" w14:textId="77777777" w:rsidR="00DE4A49" w:rsidRPr="00074F53" w:rsidRDefault="00DE4A49" w:rsidP="0004435A">
            <w:pPr>
              <w:pStyle w:val="ListParagraph"/>
              <w:numPr>
                <w:ilvl w:val="0"/>
                <w:numId w:val="34"/>
              </w:numPr>
              <w:tabs>
                <w:tab w:val="left" w:pos="4252"/>
              </w:tabs>
              <w:rPr>
                <w:b/>
                <w:bCs/>
                <w:lang w:val="lv-LV"/>
              </w:rPr>
            </w:pPr>
            <w:r w:rsidRPr="00074F53">
              <w:rPr>
                <w:b/>
                <w:bCs/>
                <w:lang w:val="lv-LV"/>
              </w:rPr>
              <w:t xml:space="preserve">Nepilnības sasniegumu paziņošanā. </w:t>
            </w:r>
            <w:r w:rsidRPr="00074F53">
              <w:rPr>
                <w:lang w:val="lv-LV"/>
              </w:rPr>
              <w:t>Par iepriekš minētajiem iznākuma un rezultātu rādītājiem ir pieejama informācija un nav novērotu nepilnību to ziņošanā.</w:t>
            </w:r>
          </w:p>
          <w:p w14:paraId="29865615" w14:textId="639DF7D5" w:rsidR="00DE4A49" w:rsidRPr="00074F53" w:rsidRDefault="00DE4A49" w:rsidP="0004435A">
            <w:pPr>
              <w:pStyle w:val="ListParagraph"/>
              <w:numPr>
                <w:ilvl w:val="0"/>
                <w:numId w:val="34"/>
              </w:numPr>
              <w:tabs>
                <w:tab w:val="left" w:pos="4252"/>
              </w:tabs>
              <w:rPr>
                <w:lang w:val="lv-LV"/>
              </w:rPr>
            </w:pPr>
            <w:proofErr w:type="spellStart"/>
            <w:r w:rsidRPr="00074F53">
              <w:rPr>
                <w:b/>
                <w:lang w:val="lv-LV"/>
              </w:rPr>
              <w:t>Mērķrādītāju</w:t>
            </w:r>
            <w:proofErr w:type="spellEnd"/>
            <w:r w:rsidRPr="00074F53">
              <w:rPr>
                <w:b/>
                <w:lang w:val="lv-LV"/>
              </w:rPr>
              <w:t xml:space="preserve"> noteikšanā</w:t>
            </w:r>
            <w:r w:rsidRPr="00074F53">
              <w:rPr>
                <w:lang w:val="lv-LV"/>
              </w:rPr>
              <w:t>. Ir novērotas nepilnības rādītāju apguvēs (lūdzu detalizēti skatīt ziņojuma 1. pielikumā):</w:t>
            </w:r>
          </w:p>
          <w:p w14:paraId="4190E226" w14:textId="6540ED2C" w:rsidR="000918D6" w:rsidRPr="00074F53" w:rsidRDefault="00DE4A49" w:rsidP="00FB6F86">
            <w:pPr>
              <w:pStyle w:val="ListParagraph"/>
              <w:numPr>
                <w:ilvl w:val="0"/>
                <w:numId w:val="27"/>
              </w:numPr>
              <w:tabs>
                <w:tab w:val="left" w:pos="4252"/>
              </w:tabs>
              <w:rPr>
                <w:lang w:val="lv-LV"/>
              </w:rPr>
            </w:pPr>
            <w:r w:rsidRPr="00074F53">
              <w:rPr>
                <w:lang w:val="lv-LV"/>
              </w:rPr>
              <w:t>Iznākuma rādītājs O.2.2. “Ekspertu sanāksmju/semināru/mācību</w:t>
            </w:r>
            <w:r w:rsidR="000918D6" w:rsidRPr="00074F53">
              <w:rPr>
                <w:lang w:val="lv-LV"/>
              </w:rPr>
              <w:t xml:space="preserve"> </w:t>
            </w:r>
            <w:r w:rsidRPr="00074F53">
              <w:rPr>
                <w:lang w:val="lv-LV"/>
              </w:rPr>
              <w:t>apmeklējumu/kopīgu nodarbību skaits”</w:t>
            </w:r>
            <w:r w:rsidR="000918D6" w:rsidRPr="00074F53">
              <w:rPr>
                <w:lang w:val="lv-LV"/>
              </w:rPr>
              <w:t xml:space="preserve"> ir izpildīts par 216,7% attiecībā pret 2024. gada plānoto starpposma rādītāju un faktisko izpildi. Šis pārsniegums ir radies VP īstenotā projektā par s</w:t>
            </w:r>
            <w:r w:rsidR="000918D6" w:rsidRPr="00074F53">
              <w:rPr>
                <w:bCs/>
                <w:lang w:val="lv-LV"/>
              </w:rPr>
              <w:t xml:space="preserve">magās, organizētās un </w:t>
            </w:r>
            <w:r w:rsidR="000918D6" w:rsidRPr="00074F53">
              <w:rPr>
                <w:bCs/>
                <w:lang w:val="lv-LV"/>
              </w:rPr>
              <w:lastRenderedPageBreak/>
              <w:t>pārrobežu noziedzības apkarošanas stiprināšanu un sadarbības veicināšanu ar iesaistītajām valstīm,</w:t>
            </w:r>
            <w:r w:rsidR="000918D6" w:rsidRPr="00074F53">
              <w:rPr>
                <w:lang w:val="lv-LV"/>
              </w:rPr>
              <w:t xml:space="preserve"> tomēr izpilde pret </w:t>
            </w:r>
            <w:proofErr w:type="spellStart"/>
            <w:r w:rsidR="000918D6" w:rsidRPr="00074F53">
              <w:rPr>
                <w:lang w:val="lv-LV"/>
              </w:rPr>
              <w:t>mērķrādītāju</w:t>
            </w:r>
            <w:proofErr w:type="spellEnd"/>
            <w:r w:rsidR="000918D6" w:rsidRPr="00074F53">
              <w:rPr>
                <w:lang w:val="lv-LV"/>
              </w:rPr>
              <w:t xml:space="preserve"> 2029. gadā ir normas robežās un nav pārsniegta. </w:t>
            </w:r>
          </w:p>
          <w:p w14:paraId="595B448D" w14:textId="368AE898" w:rsidR="00DE4A49" w:rsidRPr="00074F53" w:rsidRDefault="000918D6" w:rsidP="00FB6F86">
            <w:pPr>
              <w:pStyle w:val="ListParagraph"/>
              <w:numPr>
                <w:ilvl w:val="0"/>
                <w:numId w:val="27"/>
              </w:numPr>
              <w:rPr>
                <w:rFonts w:eastAsia="Times New Roman"/>
                <w:lang w:val="lv-LV" w:eastAsia="lv-LV"/>
              </w:rPr>
            </w:pPr>
            <w:r w:rsidRPr="00074F53">
              <w:rPr>
                <w:lang w:val="lv-LV"/>
              </w:rPr>
              <w:t xml:space="preserve">Iznākuma rādītājs O.2.3 “Iegādāto aprīkojuma vienību skaits” </w:t>
            </w:r>
            <w:r w:rsidR="005B2F16" w:rsidRPr="00074F53">
              <w:rPr>
                <w:lang w:val="lv-LV"/>
              </w:rPr>
              <w:t xml:space="preserve">ir izpildīts par 336,8% attiecībā pret plānoto starpposma rādītāju 2024. gadā un faktisko izpildi, kā arī </w:t>
            </w:r>
            <w:r w:rsidR="00F06AA3" w:rsidRPr="00074F53">
              <w:rPr>
                <w:lang w:val="lv-LV"/>
              </w:rPr>
              <w:t>par</w:t>
            </w:r>
            <w:r w:rsidR="005B2F16" w:rsidRPr="00074F53">
              <w:rPr>
                <w:lang w:val="lv-LV"/>
              </w:rPr>
              <w:t xml:space="preserve"> 304,8% attiecībā pret plānoto </w:t>
            </w:r>
            <w:proofErr w:type="spellStart"/>
            <w:r w:rsidR="005B2F16" w:rsidRPr="00074F53">
              <w:rPr>
                <w:lang w:val="lv-LV"/>
              </w:rPr>
              <w:t>mērķrādītāju</w:t>
            </w:r>
            <w:proofErr w:type="spellEnd"/>
            <w:r w:rsidR="005B2F16" w:rsidRPr="00074F53">
              <w:rPr>
                <w:lang w:val="lv-LV"/>
              </w:rPr>
              <w:t xml:space="preserve"> 2029. gadā un faktisko izpildi. Šis pārsniegums ir radies VID īstenotā projekta ietvaros, iegādājoties </w:t>
            </w:r>
            <w:r w:rsidR="005B2F16" w:rsidRPr="00074F53">
              <w:rPr>
                <w:rFonts w:eastAsia="Times New Roman"/>
                <w:lang w:val="lv-LV" w:eastAsia="lv-LV"/>
              </w:rPr>
              <w:t>modernu tehnisko aprīkojumu, kas uzlabo pierādījumu vākšanu, analīzi un izmeklēšanas procesu efektivitāti.</w:t>
            </w:r>
          </w:p>
          <w:p w14:paraId="0A09E7A3" w14:textId="303F1A61" w:rsidR="00FB7FAB" w:rsidRPr="00074F53" w:rsidRDefault="00FB7FAB" w:rsidP="00DF66DE">
            <w:pPr>
              <w:ind w:left="731"/>
              <w:rPr>
                <w:rFonts w:eastAsia="Times New Roman"/>
                <w:lang w:val="lv-LV" w:eastAsia="lv-LV"/>
              </w:rPr>
            </w:pPr>
            <w:r w:rsidRPr="00074F53">
              <w:rPr>
                <w:rFonts w:eastAsia="Times New Roman"/>
                <w:lang w:val="lv-LV" w:eastAsia="lv-LV"/>
              </w:rPr>
              <w:t xml:space="preserve">Kopš nacionālās programmas izstrādes laika, kad tika plānoti rādītāji, ir mainījusies situācija, kas vērojama rādītāju izpildē. Dažādi faktori kā Covid-19 pandēmija, Krievijas Federācijas īstenotais karš Ukrainā u.c., ir radījuši prioritāšu maiņu. Rādītāji tiks pārskatīti un nepieciešamības gadījumā tiks sagatavoti nacionālās programmas grozījumi. </w:t>
            </w:r>
          </w:p>
          <w:p w14:paraId="21A12C9C" w14:textId="32058A85" w:rsidR="00DE4A49" w:rsidRPr="00074F53" w:rsidRDefault="00DE4A49" w:rsidP="0004435A">
            <w:pPr>
              <w:pStyle w:val="ListParagraph"/>
              <w:numPr>
                <w:ilvl w:val="0"/>
                <w:numId w:val="34"/>
              </w:numPr>
              <w:tabs>
                <w:tab w:val="left" w:pos="4252"/>
              </w:tabs>
              <w:rPr>
                <w:lang w:val="lv-LV"/>
              </w:rPr>
            </w:pPr>
            <w:r w:rsidRPr="00074F53">
              <w:rPr>
                <w:b/>
                <w:lang w:val="lv-LV"/>
              </w:rPr>
              <w:t>P</w:t>
            </w:r>
            <w:r w:rsidRPr="00074F53">
              <w:rPr>
                <w:b/>
                <w:noProof/>
                <w:lang w:val="lv-LV"/>
              </w:rPr>
              <w:t>rocedūras kavējumi un administratīvās spējas</w:t>
            </w:r>
            <w:r w:rsidRPr="00074F53">
              <w:rPr>
                <w:noProof/>
                <w:lang w:val="lv-LV"/>
              </w:rPr>
              <w:t xml:space="preserve">. </w:t>
            </w:r>
            <w:r w:rsidR="00F06AA3" w:rsidRPr="00074F53">
              <w:rPr>
                <w:noProof/>
                <w:lang w:val="lv-LV"/>
              </w:rPr>
              <w:t>Nav attiecināms.</w:t>
            </w:r>
          </w:p>
          <w:p w14:paraId="3F39335D" w14:textId="73654624" w:rsidR="00DE4A49" w:rsidRPr="00074F53" w:rsidRDefault="00DE4A49" w:rsidP="0004435A">
            <w:pPr>
              <w:pStyle w:val="ListParagraph"/>
              <w:numPr>
                <w:ilvl w:val="0"/>
                <w:numId w:val="34"/>
              </w:numPr>
              <w:tabs>
                <w:tab w:val="left" w:pos="4252"/>
              </w:tabs>
              <w:rPr>
                <w:lang w:val="lv-LV"/>
              </w:rPr>
            </w:pPr>
            <w:r w:rsidRPr="00074F53">
              <w:rPr>
                <w:b/>
                <w:lang w:val="lv-LV"/>
              </w:rPr>
              <w:t>Konteksta izmaiņas</w:t>
            </w:r>
            <w:r w:rsidR="00F06AA3" w:rsidRPr="00074F53">
              <w:rPr>
                <w:b/>
                <w:lang w:val="lv-LV"/>
              </w:rPr>
              <w:t xml:space="preserve">. </w:t>
            </w:r>
            <w:r w:rsidR="00F06AA3" w:rsidRPr="00074F53">
              <w:rPr>
                <w:bCs/>
                <w:lang w:val="lv-LV"/>
              </w:rPr>
              <w:t>Nav attiecināms.</w:t>
            </w:r>
          </w:p>
          <w:p w14:paraId="107456B2" w14:textId="0F40C7AB" w:rsidR="00DE4A49" w:rsidRPr="00074F53" w:rsidRDefault="00DE4A49" w:rsidP="0004435A">
            <w:pPr>
              <w:pStyle w:val="ListParagraph"/>
              <w:numPr>
                <w:ilvl w:val="0"/>
                <w:numId w:val="34"/>
              </w:numPr>
              <w:tabs>
                <w:tab w:val="left" w:pos="4252"/>
              </w:tabs>
              <w:rPr>
                <w:lang w:val="lv-LV"/>
              </w:rPr>
            </w:pPr>
            <w:r w:rsidRPr="00074F53">
              <w:rPr>
                <w:b/>
                <w:lang w:val="lv-LV"/>
              </w:rPr>
              <w:t>O</w:t>
            </w:r>
            <w:r w:rsidRPr="00074F53">
              <w:rPr>
                <w:b/>
                <w:noProof/>
                <w:lang w:val="lv-LV"/>
              </w:rPr>
              <w:t>perāciju izstrāde un/vai īstenošana</w:t>
            </w:r>
            <w:r w:rsidRPr="00074F53">
              <w:rPr>
                <w:lang w:val="lv-LV"/>
              </w:rPr>
              <w:t>. Nav attiecināms</w:t>
            </w:r>
            <w:r w:rsidR="00F06AA3" w:rsidRPr="00074F53">
              <w:rPr>
                <w:lang w:val="lv-LV"/>
              </w:rPr>
              <w:t>.</w:t>
            </w:r>
          </w:p>
          <w:p w14:paraId="5A2EB152" w14:textId="4338B6E0" w:rsidR="00DE4A49" w:rsidRPr="00074F53" w:rsidRDefault="00DE4A49" w:rsidP="0004435A">
            <w:pPr>
              <w:pStyle w:val="ListParagraph"/>
              <w:numPr>
                <w:ilvl w:val="0"/>
                <w:numId w:val="34"/>
              </w:numPr>
              <w:tabs>
                <w:tab w:val="left" w:pos="4252"/>
              </w:tabs>
              <w:rPr>
                <w:lang w:val="lv-LV"/>
              </w:rPr>
            </w:pPr>
            <w:r w:rsidRPr="00074F53">
              <w:rPr>
                <w:b/>
                <w:lang w:val="lv-LV"/>
              </w:rPr>
              <w:t>Citi jautājumi</w:t>
            </w:r>
            <w:r w:rsidRPr="00074F53">
              <w:rPr>
                <w:lang w:val="lv-LV"/>
              </w:rPr>
              <w:t>. Nav attiecināms</w:t>
            </w:r>
            <w:r w:rsidR="00F06AA3" w:rsidRPr="00074F53">
              <w:rPr>
                <w:lang w:val="lv-LV"/>
              </w:rPr>
              <w:t>.</w:t>
            </w:r>
          </w:p>
          <w:p w14:paraId="3CA0C82A" w14:textId="77777777" w:rsidR="00F96B79" w:rsidRPr="00074F53" w:rsidRDefault="00F96B79" w:rsidP="007A1EA7">
            <w:pPr>
              <w:keepNext/>
              <w:tabs>
                <w:tab w:val="left" w:pos="4252"/>
              </w:tabs>
              <w:rPr>
                <w:u w:val="single"/>
                <w:lang w:val="lv-LV"/>
              </w:rPr>
            </w:pPr>
          </w:p>
          <w:p w14:paraId="4E290962" w14:textId="794C8E86" w:rsidR="00077A0B" w:rsidRPr="00074F53" w:rsidRDefault="00077A0B" w:rsidP="00077A0B">
            <w:pPr>
              <w:keepNext/>
              <w:tabs>
                <w:tab w:val="left" w:pos="4252"/>
              </w:tabs>
              <w:jc w:val="center"/>
              <w:rPr>
                <w:u w:val="single"/>
                <w:lang w:val="lv-LV"/>
              </w:rPr>
            </w:pPr>
            <w:r w:rsidRPr="00074F53">
              <w:rPr>
                <w:u w:val="single"/>
                <w:lang w:val="lv-LV"/>
              </w:rPr>
              <w:t>3. konkrēt</w:t>
            </w:r>
            <w:r w:rsidR="00A44041" w:rsidRPr="00074F53">
              <w:rPr>
                <w:u w:val="single"/>
                <w:lang w:val="lv-LV"/>
              </w:rPr>
              <w:t>ais mērķis</w:t>
            </w:r>
          </w:p>
          <w:p w14:paraId="09049D8C" w14:textId="77777777" w:rsidR="00F96B79" w:rsidRPr="00074F53" w:rsidRDefault="00F96B79" w:rsidP="00077A0B">
            <w:pPr>
              <w:keepNext/>
              <w:tabs>
                <w:tab w:val="left" w:pos="4252"/>
              </w:tabs>
              <w:jc w:val="center"/>
              <w:rPr>
                <w:u w:val="single"/>
                <w:lang w:val="lv-LV"/>
              </w:rPr>
            </w:pPr>
          </w:p>
          <w:p w14:paraId="5FE81D74" w14:textId="2D763832" w:rsidR="005B2F16" w:rsidRPr="00074F53" w:rsidRDefault="005B2F16" w:rsidP="0004435A">
            <w:pPr>
              <w:pStyle w:val="ListParagraph"/>
              <w:numPr>
                <w:ilvl w:val="0"/>
                <w:numId w:val="35"/>
              </w:numPr>
              <w:tabs>
                <w:tab w:val="left" w:pos="4252"/>
              </w:tabs>
              <w:rPr>
                <w:b/>
                <w:bCs/>
                <w:lang w:val="lv-LV"/>
              </w:rPr>
            </w:pPr>
            <w:r w:rsidRPr="00074F53">
              <w:rPr>
                <w:b/>
                <w:bCs/>
                <w:lang w:val="lv-LV"/>
              </w:rPr>
              <w:t xml:space="preserve">Nepilnības sasniegumu paziņošanā. </w:t>
            </w:r>
            <w:r w:rsidRPr="00074F53">
              <w:rPr>
                <w:lang w:val="lv-LV"/>
              </w:rPr>
              <w:t>Par iepriekš minētajiem iznākuma un rezultātu rādītājiem ir pieejama informācija un nav novērotu nepilnību to ziņošanā.</w:t>
            </w:r>
          </w:p>
          <w:p w14:paraId="66BED7A2" w14:textId="77777777" w:rsidR="005B2F16" w:rsidRPr="00074F53" w:rsidRDefault="005B2F16" w:rsidP="0004435A">
            <w:pPr>
              <w:pStyle w:val="ListParagraph"/>
              <w:numPr>
                <w:ilvl w:val="0"/>
                <w:numId w:val="35"/>
              </w:numPr>
              <w:tabs>
                <w:tab w:val="left" w:pos="4252"/>
              </w:tabs>
              <w:rPr>
                <w:lang w:val="lv-LV"/>
              </w:rPr>
            </w:pPr>
            <w:proofErr w:type="spellStart"/>
            <w:r w:rsidRPr="00074F53">
              <w:rPr>
                <w:b/>
                <w:lang w:val="lv-LV"/>
              </w:rPr>
              <w:t>Mērķrādītāju</w:t>
            </w:r>
            <w:proofErr w:type="spellEnd"/>
            <w:r w:rsidRPr="00074F53">
              <w:rPr>
                <w:b/>
                <w:lang w:val="lv-LV"/>
              </w:rPr>
              <w:t xml:space="preserve"> noteikšanā</w:t>
            </w:r>
            <w:r w:rsidRPr="00074F53">
              <w:rPr>
                <w:lang w:val="lv-LV"/>
              </w:rPr>
              <w:t>. Ir novērotas nepilnības rādītāju apguvēs (lūdzu detalizēti skatīt ziņojuma 1. pielikumā):</w:t>
            </w:r>
          </w:p>
          <w:p w14:paraId="753994F1" w14:textId="77777777" w:rsidR="00074F53" w:rsidRDefault="005B2F16" w:rsidP="00074F53">
            <w:pPr>
              <w:pStyle w:val="ListParagraph"/>
              <w:numPr>
                <w:ilvl w:val="0"/>
                <w:numId w:val="27"/>
              </w:numPr>
              <w:tabs>
                <w:tab w:val="left" w:pos="4252"/>
              </w:tabs>
              <w:rPr>
                <w:lang w:val="lv-LV"/>
              </w:rPr>
            </w:pPr>
            <w:r w:rsidRPr="00074F53">
              <w:rPr>
                <w:lang w:val="lv-LV"/>
              </w:rPr>
              <w:t>Iznākuma rādītājs O.</w:t>
            </w:r>
            <w:r w:rsidR="00F06AA3" w:rsidRPr="00074F53">
              <w:rPr>
                <w:lang w:val="lv-LV"/>
              </w:rPr>
              <w:t>3.1</w:t>
            </w:r>
            <w:r w:rsidRPr="00074F53">
              <w:rPr>
                <w:lang w:val="lv-LV"/>
              </w:rPr>
              <w:t>. “</w:t>
            </w:r>
            <w:r w:rsidR="00F06AA3" w:rsidRPr="00074F53">
              <w:rPr>
                <w:lang w:val="lv-LV"/>
              </w:rPr>
              <w:t>Dalībnieku skaits mācību aktivitātēs</w:t>
            </w:r>
            <w:r w:rsidRPr="00074F53">
              <w:rPr>
                <w:lang w:val="lv-LV"/>
              </w:rPr>
              <w:t>” ir izpildīts par 2</w:t>
            </w:r>
            <w:r w:rsidR="00F06AA3" w:rsidRPr="00074F53">
              <w:rPr>
                <w:lang w:val="lv-LV"/>
              </w:rPr>
              <w:t>29</w:t>
            </w:r>
            <w:r w:rsidRPr="00074F53">
              <w:rPr>
                <w:lang w:val="lv-LV"/>
              </w:rPr>
              <w:t>,</w:t>
            </w:r>
            <w:r w:rsidR="00F06AA3" w:rsidRPr="00074F53">
              <w:rPr>
                <w:lang w:val="lv-LV"/>
              </w:rPr>
              <w:t>6</w:t>
            </w:r>
            <w:r w:rsidRPr="00074F53">
              <w:rPr>
                <w:lang w:val="lv-LV"/>
              </w:rPr>
              <w:t xml:space="preserve">% attiecībā pret 2024. gada plānoto starpposma rādītāju un faktisko izpildi. Šis pārsniegums ir radies </w:t>
            </w:r>
            <w:r w:rsidR="00F06AA3" w:rsidRPr="00074F53">
              <w:rPr>
                <w:lang w:val="lv-LV"/>
              </w:rPr>
              <w:t>VP īstenotā projektā</w:t>
            </w:r>
            <w:r w:rsidR="00F06AA3" w:rsidRPr="00074F53">
              <w:rPr>
                <w:rFonts w:eastAsiaTheme="minorHAnsi"/>
                <w:iCs/>
                <w:lang w:val="lv-LV" w:eastAsia="lv-LV"/>
              </w:rPr>
              <w:t xml:space="preserve"> ar mērķi radīt mācību vidi, kas nodrošinātu, ka cīņa pret visu veidu noziedzību un terorismu ir kvalitatīva un efektīva</w:t>
            </w:r>
            <w:r w:rsidR="00F06AA3" w:rsidRPr="00074F53">
              <w:rPr>
                <w:lang w:val="lv-LV"/>
              </w:rPr>
              <w:t xml:space="preserve">, </w:t>
            </w:r>
            <w:r w:rsidRPr="00074F53">
              <w:rPr>
                <w:lang w:val="lv-LV"/>
              </w:rPr>
              <w:t xml:space="preserve">tomēr izpilde pret </w:t>
            </w:r>
            <w:proofErr w:type="spellStart"/>
            <w:r w:rsidRPr="00074F53">
              <w:rPr>
                <w:lang w:val="lv-LV"/>
              </w:rPr>
              <w:t>mērķrādītāju</w:t>
            </w:r>
            <w:proofErr w:type="spellEnd"/>
            <w:r w:rsidR="00074F53">
              <w:rPr>
                <w:lang w:val="lv-LV"/>
              </w:rPr>
              <w:t xml:space="preserve"> </w:t>
            </w:r>
            <w:r w:rsidRPr="00074F53">
              <w:rPr>
                <w:lang w:val="lv-LV"/>
              </w:rPr>
              <w:t xml:space="preserve">2029. gadā ir normas robežās un nav pārsniegta. </w:t>
            </w:r>
          </w:p>
          <w:p w14:paraId="79CC83B8" w14:textId="57A522EC" w:rsidR="005B2F16" w:rsidRPr="00074F53" w:rsidRDefault="005B2F16" w:rsidP="00074F53">
            <w:pPr>
              <w:pStyle w:val="ListParagraph"/>
              <w:numPr>
                <w:ilvl w:val="0"/>
                <w:numId w:val="27"/>
              </w:numPr>
              <w:tabs>
                <w:tab w:val="left" w:pos="4252"/>
              </w:tabs>
              <w:rPr>
                <w:lang w:val="lv-LV"/>
              </w:rPr>
            </w:pPr>
            <w:r w:rsidRPr="00074F53">
              <w:rPr>
                <w:lang w:val="lv-LV"/>
              </w:rPr>
              <w:t>Iznākuma rādītājs O.</w:t>
            </w:r>
            <w:r w:rsidR="00F06AA3" w:rsidRPr="00074F53">
              <w:rPr>
                <w:lang w:val="lv-LV"/>
              </w:rPr>
              <w:t>3.2</w:t>
            </w:r>
            <w:r w:rsidRPr="00074F53">
              <w:rPr>
                <w:lang w:val="lv-LV"/>
              </w:rPr>
              <w:t xml:space="preserve"> “</w:t>
            </w:r>
            <w:r w:rsidR="00F06AA3" w:rsidRPr="00074F53">
              <w:rPr>
                <w:lang w:val="lv-LV"/>
              </w:rPr>
              <w:t>Apmaiņas programmu/semināru/mācību apmeklējumu skaits</w:t>
            </w:r>
            <w:r w:rsidRPr="00074F53">
              <w:rPr>
                <w:lang w:val="lv-LV"/>
              </w:rPr>
              <w:t xml:space="preserve">” ir izpildīts par </w:t>
            </w:r>
            <w:r w:rsidR="00F06AA3" w:rsidRPr="00074F53">
              <w:rPr>
                <w:lang w:val="lv-LV"/>
              </w:rPr>
              <w:t>700</w:t>
            </w:r>
            <w:r w:rsidRPr="00074F53">
              <w:rPr>
                <w:lang w:val="lv-LV"/>
              </w:rPr>
              <w:t xml:space="preserve">% attiecībā pret plānoto starpposma rādītāju 2024. gadā un faktisko izpildi, kā arī </w:t>
            </w:r>
            <w:r w:rsidR="00F06AA3" w:rsidRPr="00074F53">
              <w:rPr>
                <w:lang w:val="lv-LV"/>
              </w:rPr>
              <w:t>par</w:t>
            </w:r>
            <w:r w:rsidRPr="00074F53">
              <w:rPr>
                <w:lang w:val="lv-LV"/>
              </w:rPr>
              <w:t xml:space="preserve"> </w:t>
            </w:r>
            <w:r w:rsidR="00F06AA3" w:rsidRPr="00074F53">
              <w:rPr>
                <w:lang w:val="lv-LV"/>
              </w:rPr>
              <w:t>233,3</w:t>
            </w:r>
            <w:r w:rsidRPr="00074F53">
              <w:rPr>
                <w:lang w:val="lv-LV"/>
              </w:rPr>
              <w:t xml:space="preserve">% attiecībā pret plānoto </w:t>
            </w:r>
            <w:proofErr w:type="spellStart"/>
            <w:r w:rsidRPr="00074F53">
              <w:rPr>
                <w:lang w:val="lv-LV"/>
              </w:rPr>
              <w:t>mērķrādītāju</w:t>
            </w:r>
            <w:proofErr w:type="spellEnd"/>
            <w:r w:rsidRPr="00074F53">
              <w:rPr>
                <w:lang w:val="lv-LV"/>
              </w:rPr>
              <w:t xml:space="preserve"> 2029. gadā un faktisko izpildi. </w:t>
            </w:r>
            <w:r w:rsidR="00F06AA3" w:rsidRPr="00074F53">
              <w:rPr>
                <w:lang w:val="lv-LV"/>
              </w:rPr>
              <w:t xml:space="preserve">Šis pārsniegums ir radies VDD īstenotā projektā, par kuru sīkāku informāciju atklāt nav iespējams slepenības režīma nolūkos. </w:t>
            </w:r>
          </w:p>
          <w:p w14:paraId="35E62EFE" w14:textId="66C41091" w:rsidR="005B2F16" w:rsidRPr="00074F53" w:rsidRDefault="005B2F16" w:rsidP="0004435A">
            <w:pPr>
              <w:pStyle w:val="ListParagraph"/>
              <w:numPr>
                <w:ilvl w:val="0"/>
                <w:numId w:val="35"/>
              </w:numPr>
              <w:tabs>
                <w:tab w:val="left" w:pos="4252"/>
              </w:tabs>
              <w:rPr>
                <w:lang w:val="lv-LV"/>
              </w:rPr>
            </w:pPr>
            <w:r w:rsidRPr="00074F53">
              <w:rPr>
                <w:b/>
                <w:lang w:val="lv-LV"/>
              </w:rPr>
              <w:t>P</w:t>
            </w:r>
            <w:r w:rsidRPr="00074F53">
              <w:rPr>
                <w:b/>
                <w:noProof/>
                <w:lang w:val="lv-LV"/>
              </w:rPr>
              <w:t>rocedūras kavējumi un administratīvās spējas</w:t>
            </w:r>
            <w:r w:rsidRPr="00074F53">
              <w:rPr>
                <w:noProof/>
                <w:lang w:val="lv-LV"/>
              </w:rPr>
              <w:t>.</w:t>
            </w:r>
            <w:r w:rsidR="00F06AA3" w:rsidRPr="00074F53">
              <w:rPr>
                <w:noProof/>
                <w:lang w:val="lv-LV"/>
              </w:rPr>
              <w:t xml:space="preserve"> Nav attiecināms.</w:t>
            </w:r>
            <w:r w:rsidRPr="00074F53">
              <w:rPr>
                <w:noProof/>
                <w:lang w:val="lv-LV"/>
              </w:rPr>
              <w:t xml:space="preserve"> </w:t>
            </w:r>
          </w:p>
          <w:p w14:paraId="5AA59792" w14:textId="371E42AF" w:rsidR="005B2F16" w:rsidRPr="00074F53" w:rsidRDefault="005B2F16" w:rsidP="0004435A">
            <w:pPr>
              <w:pStyle w:val="ListParagraph"/>
              <w:numPr>
                <w:ilvl w:val="0"/>
                <w:numId w:val="35"/>
              </w:numPr>
              <w:tabs>
                <w:tab w:val="left" w:pos="4252"/>
              </w:tabs>
              <w:rPr>
                <w:lang w:val="lv-LV"/>
              </w:rPr>
            </w:pPr>
            <w:r w:rsidRPr="00074F53">
              <w:rPr>
                <w:b/>
                <w:lang w:val="lv-LV"/>
              </w:rPr>
              <w:t>Konteksta izmaiņas</w:t>
            </w:r>
            <w:r w:rsidR="00F06AA3" w:rsidRPr="00074F53">
              <w:rPr>
                <w:b/>
                <w:lang w:val="lv-LV"/>
              </w:rPr>
              <w:t xml:space="preserve">. </w:t>
            </w:r>
            <w:r w:rsidR="00F06AA3" w:rsidRPr="00074F53">
              <w:rPr>
                <w:bCs/>
                <w:lang w:val="lv-LV"/>
              </w:rPr>
              <w:t>Nav attiecināms.</w:t>
            </w:r>
          </w:p>
          <w:p w14:paraId="1DB498F4" w14:textId="1EF102C7" w:rsidR="005B2F16" w:rsidRPr="00074F53" w:rsidRDefault="005B2F16" w:rsidP="0004435A">
            <w:pPr>
              <w:pStyle w:val="ListParagraph"/>
              <w:numPr>
                <w:ilvl w:val="0"/>
                <w:numId w:val="35"/>
              </w:numPr>
              <w:tabs>
                <w:tab w:val="left" w:pos="4252"/>
              </w:tabs>
              <w:rPr>
                <w:lang w:val="lv-LV"/>
              </w:rPr>
            </w:pPr>
            <w:r w:rsidRPr="00074F53">
              <w:rPr>
                <w:b/>
                <w:lang w:val="lv-LV"/>
              </w:rPr>
              <w:t>O</w:t>
            </w:r>
            <w:r w:rsidRPr="00074F53">
              <w:rPr>
                <w:b/>
                <w:noProof/>
                <w:lang w:val="lv-LV"/>
              </w:rPr>
              <w:t>perāciju izstrāde un/vai īstenošana</w:t>
            </w:r>
            <w:r w:rsidRPr="00074F53">
              <w:rPr>
                <w:lang w:val="lv-LV"/>
              </w:rPr>
              <w:t>. Nav attiecināms</w:t>
            </w:r>
            <w:r w:rsidR="00F06AA3" w:rsidRPr="00074F53">
              <w:rPr>
                <w:lang w:val="lv-LV"/>
              </w:rPr>
              <w:t>.</w:t>
            </w:r>
          </w:p>
          <w:p w14:paraId="345C851C" w14:textId="1F043F8C" w:rsidR="005B2F16" w:rsidRPr="00074F53" w:rsidRDefault="005B2F16" w:rsidP="0004435A">
            <w:pPr>
              <w:pStyle w:val="ListParagraph"/>
              <w:numPr>
                <w:ilvl w:val="0"/>
                <w:numId w:val="35"/>
              </w:numPr>
              <w:tabs>
                <w:tab w:val="left" w:pos="4252"/>
              </w:tabs>
              <w:rPr>
                <w:lang w:val="lv-LV"/>
              </w:rPr>
            </w:pPr>
            <w:r w:rsidRPr="00074F53">
              <w:rPr>
                <w:b/>
                <w:lang w:val="lv-LV"/>
              </w:rPr>
              <w:t>Citi jautājumi</w:t>
            </w:r>
            <w:r w:rsidRPr="00074F53">
              <w:rPr>
                <w:lang w:val="lv-LV"/>
              </w:rPr>
              <w:t>. Nav attiecināms</w:t>
            </w:r>
            <w:r w:rsidR="00F06AA3" w:rsidRPr="00074F53">
              <w:rPr>
                <w:lang w:val="lv-LV"/>
              </w:rPr>
              <w:t>.</w:t>
            </w:r>
          </w:p>
          <w:p w14:paraId="3559A606" w14:textId="3F15B645" w:rsidR="00077A0B" w:rsidRPr="00074F53" w:rsidRDefault="00077A0B" w:rsidP="00980EBC">
            <w:pPr>
              <w:pStyle w:val="ListParagraph"/>
              <w:tabs>
                <w:tab w:val="left" w:pos="4252"/>
              </w:tabs>
              <w:rPr>
                <w:u w:val="single"/>
                <w:lang w:val="lv-LV"/>
              </w:rPr>
            </w:pPr>
          </w:p>
        </w:tc>
      </w:tr>
    </w:tbl>
    <w:p w14:paraId="63B7A76E" w14:textId="4E0308CE" w:rsidR="006A41E2" w:rsidRPr="00074F53" w:rsidRDefault="00B32C89" w:rsidP="00B32C89">
      <w:pPr>
        <w:pStyle w:val="ManualHeading2"/>
        <w:rPr>
          <w:noProof/>
          <w:lang w:val="lv-LV"/>
        </w:rPr>
      </w:pPr>
      <w:r w:rsidRPr="00074F53">
        <w:rPr>
          <w:lang w:val="lv-LV"/>
        </w:rPr>
        <w:lastRenderedPageBreak/>
        <w:t>1.3.</w:t>
      </w:r>
      <w:r w:rsidRPr="00074F53">
        <w:rPr>
          <w:lang w:val="lv-LV"/>
        </w:rPr>
        <w:tab/>
      </w:r>
      <w:r w:rsidR="006A41E2" w:rsidRPr="00074F53">
        <w:rPr>
          <w:noProof/>
          <w:lang w:val="lv-LV"/>
        </w:rPr>
        <w:t>Īpaši ietekmes mazināšanas pasākumi</w:t>
      </w:r>
    </w:p>
    <w:p w14:paraId="179F14CF" w14:textId="38FF5A59" w:rsidR="006A41E2" w:rsidRPr="00074F53" w:rsidRDefault="006A41E2" w:rsidP="006A41E2">
      <w:pPr>
        <w:rPr>
          <w:noProof/>
          <w:lang w:val="lv-LV"/>
        </w:rPr>
      </w:pPr>
      <w:r w:rsidRPr="00074F53">
        <w:rPr>
          <w:b/>
          <w:noProof/>
          <w:lang w:val="lv-LV"/>
        </w:rPr>
        <w:t>Attiecīgā gadījumā</w:t>
      </w:r>
      <w:r w:rsidRPr="00074F53">
        <w:rPr>
          <w:noProof/>
          <w:lang w:val="lv-LV"/>
        </w:rPr>
        <w:t xml:space="preserve"> īsi aprakstiet, kā programmas aktivitātes palīdzējušas mazināt jebkādu būtisku un pēkšņu konteksta izmaiņu ietekmi, kas radīja neparedzētus drošības apdraudējumus. Ja iespējams, norādiet šim nolūkam pārdalīto resursu apjomu un saistītos iznākumus un rezultātus. </w:t>
      </w:r>
    </w:p>
    <w:p w14:paraId="4CEE079D" w14:textId="42839433" w:rsidR="006A41E2" w:rsidRPr="00074F53" w:rsidRDefault="000E45B7" w:rsidP="006A41E2">
      <w:pPr>
        <w:rPr>
          <w:noProof/>
          <w:lang w:val="lv-LV"/>
        </w:rPr>
      </w:pPr>
      <w:r w:rsidRPr="00074F53">
        <w:rPr>
          <w:noProof/>
          <w:lang w:val="lv-LV"/>
        </w:rPr>
        <w:t>Īpašu uzmanību pievērsiet aktivitātēm, kuras tiek veiktas neparedzētu drošības apdraudējumu mazināšanai un kurās gūtie sasniegumi var pilnībā neatspoguļoties kopējos iznākuma un rezultātu rādītājos.</w:t>
      </w:r>
    </w:p>
    <w:tbl>
      <w:tblPr>
        <w:tblStyle w:val="TableGrid"/>
        <w:tblW w:w="0" w:type="auto"/>
        <w:tblLook w:val="04A0" w:firstRow="1" w:lastRow="0" w:firstColumn="1" w:lastColumn="0" w:noHBand="0" w:noVBand="1"/>
      </w:tblPr>
      <w:tblGrid>
        <w:gridCol w:w="9063"/>
      </w:tblGrid>
      <w:tr w:rsidR="003A3A17" w:rsidRPr="00074F53" w14:paraId="3A770DBE" w14:textId="77777777" w:rsidTr="00E45665">
        <w:tc>
          <w:tcPr>
            <w:tcW w:w="9289" w:type="dxa"/>
          </w:tcPr>
          <w:p w14:paraId="3BB0E605" w14:textId="7A949DB3" w:rsidR="006A41E2" w:rsidRPr="00074F53" w:rsidRDefault="00EA1A2F" w:rsidP="007738C1">
            <w:pPr>
              <w:pStyle w:val="Personnequisigne"/>
              <w:rPr>
                <w:noProof/>
                <w:lang w:val="lv-LV"/>
              </w:rPr>
            </w:pPr>
            <w:r w:rsidRPr="00074F53">
              <w:rPr>
                <w:noProof/>
                <w:lang w:val="lv-LV"/>
              </w:rPr>
              <w:t>Šeit ierakstiet tekstu. Ne vairāk kā 4000 rakstzīmes.</w:t>
            </w:r>
          </w:p>
          <w:p w14:paraId="3272D4B3" w14:textId="73EC0BB8" w:rsidR="00FB7FAB" w:rsidRPr="00074F53" w:rsidRDefault="00FB7FAB" w:rsidP="007738C1">
            <w:pPr>
              <w:pStyle w:val="Institutionquisigne"/>
              <w:spacing w:before="0"/>
              <w:rPr>
                <w:i w:val="0"/>
                <w:iCs/>
                <w:lang w:val="lv-LV"/>
              </w:rPr>
            </w:pPr>
            <w:r w:rsidRPr="00074F53">
              <w:rPr>
                <w:i w:val="0"/>
                <w:iCs/>
                <w:lang w:val="lv-LV"/>
              </w:rPr>
              <w:t>Nav attiecināms</w:t>
            </w:r>
            <w:r w:rsidR="007738C1" w:rsidRPr="00074F53">
              <w:rPr>
                <w:i w:val="0"/>
                <w:iCs/>
                <w:lang w:val="lv-LV"/>
              </w:rPr>
              <w:t>.</w:t>
            </w:r>
          </w:p>
          <w:p w14:paraId="62A6F7A3" w14:textId="025EEDE1" w:rsidR="00A44041" w:rsidRPr="00074F53" w:rsidRDefault="00A44041" w:rsidP="00A44041">
            <w:pPr>
              <w:pStyle w:val="Personnequisigne"/>
              <w:rPr>
                <w:lang w:val="lv-LV"/>
              </w:rPr>
            </w:pPr>
          </w:p>
        </w:tc>
      </w:tr>
    </w:tbl>
    <w:p w14:paraId="04571096" w14:textId="38AFDECC" w:rsidR="006A41E2" w:rsidRPr="00074F53" w:rsidRDefault="00B32C89" w:rsidP="00B32C89">
      <w:pPr>
        <w:pStyle w:val="ManualHeading2"/>
        <w:rPr>
          <w:noProof/>
          <w:lang w:val="lv-LV"/>
        </w:rPr>
      </w:pPr>
      <w:r w:rsidRPr="00074F53">
        <w:rPr>
          <w:lang w:val="lv-LV"/>
        </w:rPr>
        <w:t>1.4.</w:t>
      </w:r>
      <w:r w:rsidRPr="00074F53">
        <w:rPr>
          <w:lang w:val="lv-LV"/>
        </w:rPr>
        <w:tab/>
      </w:r>
      <w:r w:rsidR="006A41E2" w:rsidRPr="00074F53">
        <w:rPr>
          <w:noProof/>
          <w:lang w:val="lv-LV"/>
        </w:rPr>
        <w:t>Darbības atbalsts – Regulas (ES) 2021/1149 16. panta 3. punkts</w:t>
      </w:r>
    </w:p>
    <w:p w14:paraId="1B2406D0" w14:textId="383297A5" w:rsidR="006A41E2" w:rsidRPr="00074F53" w:rsidRDefault="00C62604" w:rsidP="006A41E2">
      <w:pPr>
        <w:rPr>
          <w:noProof/>
          <w:lang w:val="lv-LV"/>
        </w:rPr>
      </w:pPr>
      <w:r w:rsidRPr="00074F53">
        <w:rPr>
          <w:noProof/>
          <w:lang w:val="lv-LV"/>
        </w:rPr>
        <w:t xml:space="preserve">Ja grāmatvedības </w:t>
      </w:r>
      <w:r w:rsidR="0059347E">
        <w:rPr>
          <w:noProof/>
          <w:lang w:val="lv-LV"/>
        </w:rPr>
        <w:t>periodā</w:t>
      </w:r>
      <w:r w:rsidRPr="00074F53">
        <w:rPr>
          <w:noProof/>
          <w:lang w:val="lv-LV"/>
        </w:rPr>
        <w:t xml:space="preserve"> tika izmantots darbības atbalsts, aprakstiet, kā tas veicināja fonda mērķu sasniegšanu</w:t>
      </w:r>
      <w:r w:rsidRPr="00074F53">
        <w:rPr>
          <w:rStyle w:val="FootnoteReference"/>
          <w:noProof/>
          <w:lang w:val="lv-LV"/>
        </w:rPr>
        <w:footnoteReference w:id="7"/>
      </w:r>
      <w:r w:rsidRPr="00074F53">
        <w:rPr>
          <w:noProof/>
          <w:lang w:val="lv-LV"/>
        </w:rPr>
        <w:t xml:space="preserve">. </w:t>
      </w:r>
    </w:p>
    <w:p w14:paraId="50261581" w14:textId="4F21C645" w:rsidR="006A41E2" w:rsidRPr="00074F53" w:rsidRDefault="003A30A1" w:rsidP="006A41E2">
      <w:pPr>
        <w:rPr>
          <w:noProof/>
          <w:lang w:val="lv-LV"/>
        </w:rPr>
      </w:pPr>
      <w:r w:rsidRPr="00074F53">
        <w:rPr>
          <w:noProof/>
          <w:lang w:val="lv-LV"/>
        </w:rPr>
        <w:lastRenderedPageBreak/>
        <w:t xml:space="preserve">Ja darbības atbalsta kopējās kumulatīvās attiecināmās izmaksas par operācijām, kas atlasītas atbalstam, grāmatvedības </w:t>
      </w:r>
      <w:r w:rsidR="0059347E">
        <w:rPr>
          <w:noProof/>
          <w:lang w:val="lv-LV"/>
        </w:rPr>
        <w:t>perioda</w:t>
      </w:r>
      <w:r w:rsidRPr="00074F53">
        <w:rPr>
          <w:noProof/>
          <w:lang w:val="lv-LV"/>
        </w:rPr>
        <w:t xml:space="preserve"> beigās pārsniedz 20 % no kopējā programmas piešķīruma, paskaidrojiet iemeslus. Turklāt, ja pastāv risks, ka līdz plānošanas perioda beigām robežvērtība tiks pārsniegta, aprakstiet pasākumus, kas paredzēti tā mazināšanai.</w:t>
      </w:r>
    </w:p>
    <w:tbl>
      <w:tblPr>
        <w:tblStyle w:val="TableGrid"/>
        <w:tblW w:w="0" w:type="auto"/>
        <w:tblLook w:val="04A0" w:firstRow="1" w:lastRow="0" w:firstColumn="1" w:lastColumn="0" w:noHBand="0" w:noVBand="1"/>
      </w:tblPr>
      <w:tblGrid>
        <w:gridCol w:w="9063"/>
      </w:tblGrid>
      <w:tr w:rsidR="003A3A17" w:rsidRPr="00074F53" w14:paraId="74DFE95E" w14:textId="77777777" w:rsidTr="00E45665">
        <w:tc>
          <w:tcPr>
            <w:tcW w:w="9289" w:type="dxa"/>
          </w:tcPr>
          <w:p w14:paraId="77C0D379" w14:textId="77777777" w:rsidR="00EC3F69" w:rsidRPr="00074F53" w:rsidRDefault="00EA1A2F" w:rsidP="007738C1">
            <w:pPr>
              <w:pStyle w:val="Personnequisigne"/>
              <w:rPr>
                <w:noProof/>
                <w:lang w:val="lv-LV"/>
              </w:rPr>
            </w:pPr>
            <w:r w:rsidRPr="00074F53">
              <w:rPr>
                <w:noProof/>
                <w:lang w:val="lv-LV"/>
              </w:rPr>
              <w:t>Šeit ierakstiet tekstu. Ne vairāk kā 4000 rakstzīmes.</w:t>
            </w:r>
          </w:p>
          <w:p w14:paraId="6013DBB0" w14:textId="20A63192" w:rsidR="007738C1" w:rsidRPr="00074F53" w:rsidRDefault="007738C1" w:rsidP="007738C1">
            <w:pPr>
              <w:pStyle w:val="Institutionquisigne"/>
              <w:spacing w:before="0"/>
              <w:rPr>
                <w:i w:val="0"/>
                <w:iCs/>
                <w:lang w:val="lv-LV"/>
              </w:rPr>
            </w:pPr>
            <w:r w:rsidRPr="00074F53">
              <w:rPr>
                <w:i w:val="0"/>
                <w:iCs/>
                <w:lang w:val="lv-LV"/>
              </w:rPr>
              <w:t>Nav attiecināms.</w:t>
            </w:r>
          </w:p>
        </w:tc>
      </w:tr>
    </w:tbl>
    <w:p w14:paraId="4D08B3B5" w14:textId="76551267" w:rsidR="006A41E2" w:rsidRPr="00074F53" w:rsidRDefault="00B32C89" w:rsidP="00B32C89">
      <w:pPr>
        <w:pStyle w:val="ManualHeading2"/>
        <w:rPr>
          <w:noProof/>
          <w:lang w:val="lv-LV"/>
        </w:rPr>
      </w:pPr>
      <w:r w:rsidRPr="00074F53">
        <w:rPr>
          <w:lang w:val="lv-LV"/>
        </w:rPr>
        <w:t>1.5.</w:t>
      </w:r>
      <w:r w:rsidRPr="00074F53">
        <w:rPr>
          <w:lang w:val="lv-LV"/>
        </w:rPr>
        <w:tab/>
      </w:r>
      <w:r w:rsidR="006A41E2" w:rsidRPr="00074F53">
        <w:rPr>
          <w:noProof/>
          <w:lang w:val="lv-LV"/>
        </w:rPr>
        <w:t>Konkrētas darbības</w:t>
      </w:r>
      <w:r w:rsidR="006A41E2" w:rsidRPr="00074F53">
        <w:rPr>
          <w:rStyle w:val="FootnoteReference"/>
          <w:noProof/>
          <w:lang w:val="lv-LV"/>
        </w:rPr>
        <w:footnoteReference w:id="8"/>
      </w:r>
      <w:r w:rsidR="006A41E2" w:rsidRPr="00074F53">
        <w:rPr>
          <w:noProof/>
          <w:lang w:val="lv-LV"/>
        </w:rPr>
        <w:t xml:space="preserve"> </w:t>
      </w:r>
    </w:p>
    <w:p w14:paraId="61E30AA2" w14:textId="1EE358E6" w:rsidR="00EA1A2F" w:rsidRPr="00074F53" w:rsidRDefault="00EA1A2F" w:rsidP="00EA1A2F">
      <w:pPr>
        <w:rPr>
          <w:noProof/>
          <w:lang w:val="lv-LV"/>
        </w:rPr>
      </w:pPr>
      <w:r w:rsidRPr="00074F53">
        <w:rPr>
          <w:noProof/>
          <w:lang w:val="lv-LV"/>
        </w:rPr>
        <w:t xml:space="preserve">Aprakstiet galvenos sasniegumus, kas gūti grāmatvedības </w:t>
      </w:r>
      <w:r w:rsidR="0059347E">
        <w:rPr>
          <w:noProof/>
          <w:lang w:val="lv-LV"/>
        </w:rPr>
        <w:t>periodā</w:t>
      </w:r>
      <w:r w:rsidRPr="00074F53">
        <w:rPr>
          <w:noProof/>
          <w:lang w:val="lv-LV"/>
        </w:rPr>
        <w:t xml:space="preserve"> veiktajās konkrētajās darbībās, un to, kā tās ir veicinājušas programmas mērķu sasniegšanu un radījušas Savienības pievienoto vērtību</w:t>
      </w:r>
      <w:r w:rsidRPr="00074F53">
        <w:rPr>
          <w:rStyle w:val="FootnoteReference"/>
          <w:noProof/>
          <w:lang w:val="lv-LV"/>
        </w:rPr>
        <w:footnoteReference w:id="9"/>
      </w:r>
      <w:r w:rsidRPr="00074F53">
        <w:rPr>
          <w:noProof/>
          <w:lang w:val="lv-LV"/>
        </w:rPr>
        <w:t xml:space="preserve">. </w:t>
      </w:r>
    </w:p>
    <w:p w14:paraId="5E1BC78F" w14:textId="38698C31" w:rsidR="006A41E2" w:rsidRPr="00074F53" w:rsidRDefault="00EA1A2F" w:rsidP="00EA1A2F">
      <w:pPr>
        <w:rPr>
          <w:noProof/>
          <w:lang w:val="lv-LV"/>
        </w:rPr>
      </w:pPr>
      <w:r w:rsidRPr="00074F53">
        <w:rPr>
          <w:noProof/>
          <w:lang w:val="lv-LV"/>
        </w:rPr>
        <w:t>Aprakstiet, kā atsevišķās darbības ir pavirzījušās uz priekšu gan no procedūras</w:t>
      </w:r>
      <w:r w:rsidRPr="00074F53">
        <w:rPr>
          <w:rStyle w:val="FootnoteReference"/>
          <w:noProof/>
          <w:lang w:val="lv-LV"/>
        </w:rPr>
        <w:footnoteReference w:id="10"/>
      </w:r>
      <w:r w:rsidRPr="00074F53">
        <w:rPr>
          <w:noProof/>
          <w:lang w:val="lv-LV"/>
        </w:rPr>
        <w:t>, gan no operacionālā</w:t>
      </w:r>
      <w:r w:rsidRPr="00074F53">
        <w:rPr>
          <w:rStyle w:val="FootnoteReference"/>
          <w:noProof/>
          <w:lang w:val="lv-LV"/>
        </w:rPr>
        <w:footnoteReference w:id="11"/>
      </w:r>
      <w:r w:rsidRPr="00074F53">
        <w:rPr>
          <w:noProof/>
          <w:lang w:val="lv-LV"/>
        </w:rPr>
        <w:t xml:space="preserve"> viedokļa, un raksturojiet visas problēmas, kas ietekmē to sniegumu, jo īpaši līdzekļu nepietiekamas izmantošanas risku.</w:t>
      </w:r>
      <w:r w:rsidR="003A3A17" w:rsidRPr="00074F53">
        <w:rPr>
          <w:noProof/>
          <w:lang w:val="lv-LV"/>
        </w:rPr>
        <w:t xml:space="preserve"> </w:t>
      </w:r>
    </w:p>
    <w:p w14:paraId="6AC3A990" w14:textId="77777777" w:rsidR="006A41E2" w:rsidRPr="00074F53" w:rsidRDefault="006A41E2" w:rsidP="006A41E2">
      <w:pPr>
        <w:rPr>
          <w:noProof/>
          <w:lang w:val="lv-LV"/>
        </w:rPr>
      </w:pPr>
      <w:r w:rsidRPr="00074F53">
        <w:rPr>
          <w:noProof/>
          <w:lang w:val="lv-LV"/>
        </w:rPr>
        <w:t>Attiecīgā gadījumā sadaliet šo informāciju līdz projekta līmenim. Ja ir sagaidāma novirze no sākotnējā plāna, paskaidrojiet iemeslus, aprakstiet veiktos riska mazināšanas pasākumus un iesniedziet pārskatīto grafiku.</w:t>
      </w:r>
    </w:p>
    <w:tbl>
      <w:tblPr>
        <w:tblStyle w:val="TableGrid"/>
        <w:tblW w:w="0" w:type="auto"/>
        <w:tblLook w:val="04A0" w:firstRow="1" w:lastRow="0" w:firstColumn="1" w:lastColumn="0" w:noHBand="0" w:noVBand="1"/>
      </w:tblPr>
      <w:tblGrid>
        <w:gridCol w:w="9063"/>
      </w:tblGrid>
      <w:tr w:rsidR="003A3A17" w:rsidRPr="00074F53" w14:paraId="7715AE3C" w14:textId="77777777" w:rsidTr="00E45665">
        <w:tc>
          <w:tcPr>
            <w:tcW w:w="9289" w:type="dxa"/>
          </w:tcPr>
          <w:p w14:paraId="4ADD1B20" w14:textId="77777777" w:rsidR="006A41E2" w:rsidRPr="00074F53" w:rsidRDefault="00EA1A2F" w:rsidP="009E5C5D">
            <w:pPr>
              <w:pStyle w:val="Personnequisigne"/>
              <w:rPr>
                <w:noProof/>
                <w:lang w:val="lv-LV"/>
              </w:rPr>
            </w:pPr>
            <w:r w:rsidRPr="00074F53">
              <w:rPr>
                <w:noProof/>
                <w:lang w:val="lv-LV"/>
              </w:rPr>
              <w:t>Šeit ierakstiet tekstu. Ne vairāk kā 5000 rakstzīmes.</w:t>
            </w:r>
          </w:p>
          <w:p w14:paraId="0CEF1B11" w14:textId="5F8C89A5" w:rsidR="0092600C" w:rsidRPr="00074F53" w:rsidRDefault="0092600C" w:rsidP="000055DE">
            <w:pPr>
              <w:ind w:firstLine="744"/>
              <w:rPr>
                <w:iCs/>
                <w:lang w:val="lv-LV"/>
              </w:rPr>
            </w:pPr>
            <w:r w:rsidRPr="00074F53">
              <w:rPr>
                <w:iCs/>
                <w:lang w:val="lv-LV"/>
              </w:rPr>
              <w:t>Grāmatvedības periodā</w:t>
            </w:r>
            <w:r w:rsidR="00042E85" w:rsidRPr="00074F53">
              <w:rPr>
                <w:iCs/>
                <w:lang w:val="lv-LV"/>
              </w:rPr>
              <w:t xml:space="preserve"> 2. konkrētā mērķa ietvaros</w:t>
            </w:r>
            <w:r w:rsidR="00D12B9E" w:rsidRPr="00074F53">
              <w:rPr>
                <w:iCs/>
                <w:lang w:val="lv-LV"/>
              </w:rPr>
              <w:t xml:space="preserve"> ir pabeigt</w:t>
            </w:r>
            <w:r w:rsidR="00DD30F8" w:rsidRPr="00074F53">
              <w:rPr>
                <w:iCs/>
                <w:lang w:val="lv-LV"/>
              </w:rPr>
              <w:t>s 1</w:t>
            </w:r>
            <w:r w:rsidR="00D12B9E" w:rsidRPr="00074F53">
              <w:rPr>
                <w:iCs/>
                <w:lang w:val="lv-LV"/>
              </w:rPr>
              <w:t xml:space="preserve"> projekt</w:t>
            </w:r>
            <w:r w:rsidR="00DD30F8" w:rsidRPr="00074F53">
              <w:rPr>
                <w:iCs/>
                <w:lang w:val="lv-LV"/>
              </w:rPr>
              <w:t>s</w:t>
            </w:r>
            <w:r w:rsidR="00042E85" w:rsidRPr="00074F53">
              <w:rPr>
                <w:iCs/>
                <w:lang w:val="lv-LV"/>
              </w:rPr>
              <w:t xml:space="preserve"> </w:t>
            </w:r>
            <w:r w:rsidR="00D12B9E" w:rsidRPr="00074F53">
              <w:rPr>
                <w:iCs/>
                <w:lang w:val="lv-LV"/>
              </w:rPr>
              <w:t xml:space="preserve">- “Eiropas Operatīvā Komanda”, ko īstenoja VP ar mērķi </w:t>
            </w:r>
            <w:bookmarkStart w:id="13" w:name="_Hlk221197855"/>
            <w:r w:rsidR="00D12B9E" w:rsidRPr="00074F53">
              <w:rPr>
                <w:iCs/>
                <w:lang w:val="lv-LV"/>
              </w:rPr>
              <w:t xml:space="preserve">stiprināt starptautisko sadarbību starp ES dalībvalstīm un trešajām pusēm, kuru mērķis ir augsta riska noziedznieku tīklu atklāšana, kas uzturas Kosta </w:t>
            </w:r>
            <w:proofErr w:type="spellStart"/>
            <w:r w:rsidR="00D12B9E" w:rsidRPr="00074F53">
              <w:rPr>
                <w:iCs/>
                <w:lang w:val="lv-LV"/>
              </w:rPr>
              <w:t>del</w:t>
            </w:r>
            <w:proofErr w:type="spellEnd"/>
            <w:r w:rsidR="00D12B9E" w:rsidRPr="00074F53">
              <w:rPr>
                <w:iCs/>
                <w:lang w:val="lv-LV"/>
              </w:rPr>
              <w:t xml:space="preserve"> Solā, Spānijā un/vai to noziedznieku tīklu atklāšanu, kuri darbojas no šīs vietas un ietekmē ES un pārrobežu narkotiku tirgu </w:t>
            </w:r>
            <w:bookmarkEnd w:id="13"/>
            <w:r w:rsidR="00D12B9E" w:rsidRPr="00074F53">
              <w:rPr>
                <w:iCs/>
                <w:lang w:val="lv-LV"/>
              </w:rPr>
              <w:t>(noslēgts jau 31.12.2023</w:t>
            </w:r>
            <w:r w:rsidR="00DD30F8" w:rsidRPr="00074F53">
              <w:rPr>
                <w:iCs/>
                <w:lang w:val="lv-LV"/>
              </w:rPr>
              <w:t xml:space="preserve">), savukārt turpinās 1 projekta īstenošana un uzsākta 1 jauna projekta īstenošana. </w:t>
            </w:r>
          </w:p>
          <w:p w14:paraId="474EB7D3" w14:textId="5D27F949" w:rsidR="00DD30F8" w:rsidRPr="00074F53" w:rsidRDefault="00DD30F8" w:rsidP="000055DE">
            <w:pPr>
              <w:ind w:firstLine="744"/>
              <w:rPr>
                <w:iCs/>
                <w:lang w:val="lv-LV"/>
              </w:rPr>
            </w:pPr>
            <w:r w:rsidRPr="00074F53">
              <w:rPr>
                <w:iCs/>
                <w:lang w:val="lv-LV"/>
              </w:rPr>
              <w:t>Grāmatvedības periodā</w:t>
            </w:r>
            <w:r w:rsidR="00042E85" w:rsidRPr="00074F53">
              <w:rPr>
                <w:iCs/>
                <w:lang w:val="lv-LV"/>
              </w:rPr>
              <w:t xml:space="preserve"> turpinājās projekts “Akcīzes noziegumu apkarošana Baltijas reģionā”, kuru īsteno VID ar mērķi </w:t>
            </w:r>
            <w:bookmarkStart w:id="14" w:name="_Hlk221197866"/>
            <w:r w:rsidR="00042E85" w:rsidRPr="00074F53">
              <w:rPr>
                <w:iCs/>
                <w:lang w:val="lv-LV"/>
              </w:rPr>
              <w:t xml:space="preserve">mazināt nelegālo akcīzes preču apriti un akcīzes nodokļa plaisu Baltijas reģionā, paaugstinot TAI darbības efektivitāti un tehniskās spējas cīņā pret ēnu ekonomiku, apkarojot nelegālo tabakas </w:t>
            </w:r>
            <w:r w:rsidR="00042E85" w:rsidRPr="00074F53">
              <w:rPr>
                <w:iCs/>
                <w:lang w:val="lv-LV"/>
              </w:rPr>
              <w:t>izstrādājumu, degvielas un alkohola kontrabandu Baltijas reģionā un ES</w:t>
            </w:r>
            <w:bookmarkEnd w:id="14"/>
            <w:r w:rsidR="00042E85" w:rsidRPr="00074F53">
              <w:rPr>
                <w:iCs/>
                <w:lang w:val="lv-LV"/>
              </w:rPr>
              <w:t>. Kopš iepriekšējā grāmatvedības perioda panākts progress:</w:t>
            </w:r>
          </w:p>
          <w:p w14:paraId="61934CB2" w14:textId="54A3C390" w:rsidR="00042E85" w:rsidRPr="00074F53" w:rsidRDefault="00042E85" w:rsidP="00042E85">
            <w:pPr>
              <w:pStyle w:val="ListParagraph"/>
              <w:numPr>
                <w:ilvl w:val="0"/>
                <w:numId w:val="27"/>
              </w:numPr>
              <w:rPr>
                <w:iCs/>
                <w:lang w:val="lv-LV"/>
              </w:rPr>
            </w:pPr>
            <w:r w:rsidRPr="00074F53">
              <w:rPr>
                <w:iCs/>
                <w:lang w:val="lv-LV"/>
              </w:rPr>
              <w:t xml:space="preserve">Iegādāta TEMPEST </w:t>
            </w:r>
            <w:proofErr w:type="spellStart"/>
            <w:r w:rsidRPr="00074F53">
              <w:rPr>
                <w:iCs/>
                <w:lang w:val="lv-LV"/>
              </w:rPr>
              <w:t>datorthenika</w:t>
            </w:r>
            <w:proofErr w:type="spellEnd"/>
            <w:r w:rsidRPr="00074F53">
              <w:rPr>
                <w:iCs/>
                <w:lang w:val="lv-LV"/>
              </w:rPr>
              <w:t xml:space="preserve"> (18 vienības);</w:t>
            </w:r>
          </w:p>
          <w:p w14:paraId="29923D23" w14:textId="7F567BC9" w:rsidR="00042E85" w:rsidRPr="00074F53" w:rsidRDefault="00042E85" w:rsidP="00042E85">
            <w:pPr>
              <w:pStyle w:val="ListParagraph"/>
              <w:numPr>
                <w:ilvl w:val="0"/>
                <w:numId w:val="27"/>
              </w:numPr>
              <w:rPr>
                <w:iCs/>
                <w:lang w:val="lv-LV"/>
              </w:rPr>
            </w:pPr>
            <w:r w:rsidRPr="00074F53">
              <w:rPr>
                <w:iCs/>
                <w:lang w:val="lv-LV"/>
              </w:rPr>
              <w:t>Organizēti 2 komandējumi Latvijā – apmeklētas starpinstitūciju sanāksmes “Izaicinājumi sadarbībā akcīzes noziegumu apkarošanā un labākas prakses veidošana” Liepājā un Daugavpilī.</w:t>
            </w:r>
          </w:p>
          <w:p w14:paraId="31B5A27E" w14:textId="77777777" w:rsidR="00DD30F8" w:rsidRPr="00074F53" w:rsidRDefault="00DD30F8" w:rsidP="000055DE">
            <w:pPr>
              <w:ind w:firstLine="744"/>
              <w:rPr>
                <w:iCs/>
                <w:lang w:val="lv-LV"/>
              </w:rPr>
            </w:pPr>
          </w:p>
          <w:p w14:paraId="137E4D04" w14:textId="139508A4" w:rsidR="000055DE" w:rsidRPr="00074F53" w:rsidRDefault="00042E85" w:rsidP="000055DE">
            <w:pPr>
              <w:ind w:firstLine="744"/>
              <w:rPr>
                <w:iCs/>
                <w:lang w:val="lv-LV"/>
              </w:rPr>
            </w:pPr>
            <w:r w:rsidRPr="00074F53">
              <w:rPr>
                <w:iCs/>
                <w:lang w:val="lv-LV"/>
              </w:rPr>
              <w:t xml:space="preserve">Grāmatvedības periodā </w:t>
            </w:r>
            <w:r w:rsidR="000055DE" w:rsidRPr="00074F53">
              <w:rPr>
                <w:iCs/>
                <w:lang w:val="lv-LV"/>
              </w:rPr>
              <w:t xml:space="preserve">VP uzsāka projekta </w:t>
            </w:r>
            <w:r w:rsidR="00DB557B" w:rsidRPr="006165DE">
              <w:t>“</w:t>
            </w:r>
            <w:proofErr w:type="spellStart"/>
            <w:r w:rsidR="00DB557B" w:rsidRPr="006165DE">
              <w:t>Baltijas</w:t>
            </w:r>
            <w:proofErr w:type="spellEnd"/>
            <w:r w:rsidR="00DB557B" w:rsidRPr="006165DE">
              <w:t xml:space="preserve"> </w:t>
            </w:r>
            <w:proofErr w:type="spellStart"/>
            <w:r w:rsidR="00DB557B" w:rsidRPr="006165DE">
              <w:t>jūras</w:t>
            </w:r>
            <w:proofErr w:type="spellEnd"/>
            <w:r w:rsidR="00DB557B" w:rsidRPr="006165DE">
              <w:t xml:space="preserve"> </w:t>
            </w:r>
            <w:proofErr w:type="spellStart"/>
            <w:r w:rsidR="00DB557B" w:rsidRPr="006165DE">
              <w:t>reģiona</w:t>
            </w:r>
            <w:proofErr w:type="spellEnd"/>
            <w:r w:rsidR="00DB557B" w:rsidRPr="006165DE">
              <w:t xml:space="preserve"> </w:t>
            </w:r>
            <w:proofErr w:type="spellStart"/>
            <w:r w:rsidR="00DB557B" w:rsidRPr="006165DE">
              <w:t>tiesībaizsardzības</w:t>
            </w:r>
            <w:proofErr w:type="spellEnd"/>
            <w:r w:rsidR="00DB557B" w:rsidRPr="006165DE">
              <w:t xml:space="preserve"> </w:t>
            </w:r>
            <w:proofErr w:type="spellStart"/>
            <w:r w:rsidR="00DB557B" w:rsidRPr="006165DE">
              <w:t>iestāžu</w:t>
            </w:r>
            <w:proofErr w:type="spellEnd"/>
            <w:r w:rsidR="00DB557B" w:rsidRPr="006165DE">
              <w:t xml:space="preserve"> </w:t>
            </w:r>
            <w:proofErr w:type="spellStart"/>
            <w:r w:rsidR="00DB557B" w:rsidRPr="006165DE">
              <w:t>stiprināšana</w:t>
            </w:r>
            <w:proofErr w:type="spellEnd"/>
            <w:r w:rsidR="00DB557B" w:rsidRPr="006165DE">
              <w:t xml:space="preserve"> </w:t>
            </w:r>
            <w:proofErr w:type="spellStart"/>
            <w:r w:rsidR="00DB557B" w:rsidRPr="006165DE">
              <w:t>cīņai</w:t>
            </w:r>
            <w:proofErr w:type="spellEnd"/>
            <w:r w:rsidR="00DB557B" w:rsidRPr="006165DE">
              <w:t xml:space="preserve"> </w:t>
            </w:r>
            <w:proofErr w:type="spellStart"/>
            <w:r w:rsidR="00DB557B" w:rsidRPr="006165DE">
              <w:t>ar</w:t>
            </w:r>
            <w:proofErr w:type="spellEnd"/>
            <w:r w:rsidR="00DB557B" w:rsidRPr="006165DE">
              <w:t xml:space="preserve"> </w:t>
            </w:r>
            <w:proofErr w:type="spellStart"/>
            <w:r w:rsidR="00DB557B" w:rsidRPr="006165DE">
              <w:t>jaunajiem</w:t>
            </w:r>
            <w:proofErr w:type="spellEnd"/>
            <w:r w:rsidR="00DB557B" w:rsidRPr="006165DE">
              <w:t xml:space="preserve"> </w:t>
            </w:r>
            <w:proofErr w:type="spellStart"/>
            <w:r w:rsidR="00DB557B" w:rsidRPr="006165DE">
              <w:t>pārrobežu</w:t>
            </w:r>
            <w:proofErr w:type="spellEnd"/>
            <w:r w:rsidR="00DB557B" w:rsidRPr="006165DE">
              <w:t xml:space="preserve"> </w:t>
            </w:r>
            <w:proofErr w:type="spellStart"/>
            <w:r w:rsidR="00DB557B" w:rsidRPr="006165DE">
              <w:t>draudiem</w:t>
            </w:r>
            <w:proofErr w:type="spellEnd"/>
            <w:r w:rsidR="00DB557B" w:rsidRPr="006165DE">
              <w:t>”</w:t>
            </w:r>
            <w:r w:rsidR="00DB557B" w:rsidRPr="0053445E">
              <w:rPr>
                <w:iCs/>
                <w:lang w:val="lv-LV"/>
              </w:rPr>
              <w:t xml:space="preserve"> </w:t>
            </w:r>
            <w:r w:rsidR="000055DE" w:rsidRPr="00074F53">
              <w:rPr>
                <w:iCs/>
                <w:lang w:val="lv-LV"/>
              </w:rPr>
              <w:t xml:space="preserve">ar </w:t>
            </w:r>
            <w:bookmarkStart w:id="15" w:name="_Hlk221197891"/>
            <w:r w:rsidR="000055DE" w:rsidRPr="00074F53">
              <w:rPr>
                <w:iCs/>
                <w:lang w:val="lv-LV"/>
              </w:rPr>
              <w:t>mērķi ievērojami uzlabot pārrobežu sadarbību starp tiesībaizsardzības iestādēm Baltijas jūras reģionā</w:t>
            </w:r>
            <w:r w:rsidR="000055DE" w:rsidRPr="00074F53">
              <w:rPr>
                <w:iCs/>
                <w:lang w:val="lv-LV"/>
              </w:rPr>
              <w:t>, lai varētu efektīvi risināt jaunus apdraudējumus, kas rodas reģionā</w:t>
            </w:r>
            <w:bookmarkEnd w:id="15"/>
            <w:r w:rsidR="000055DE" w:rsidRPr="00074F53">
              <w:rPr>
                <w:iCs/>
                <w:lang w:val="lv-LV"/>
              </w:rPr>
              <w:t xml:space="preserve">, īstenošanu. Projekta vadošais partneris ir Lietuvas policijas departaments, kas nodrošina projekta vispārējo saturisko un  organizatorisko koordināciju, savukārt, Latvijas VP, Polijas policijas ģenerālštābs, Polijas robežsardzes ģenerālštābs, kā arī Lietuvas Valsts robežsardzes dienests nodrošinās katrs savu kā partneru pienākumu izpildi. </w:t>
            </w:r>
          </w:p>
          <w:p w14:paraId="26B2D451" w14:textId="77777777" w:rsidR="00042E85" w:rsidRPr="00074F53" w:rsidRDefault="00042E85" w:rsidP="000055DE">
            <w:pPr>
              <w:ind w:firstLine="744"/>
              <w:rPr>
                <w:iCs/>
                <w:lang w:val="lv-LV"/>
              </w:rPr>
            </w:pPr>
          </w:p>
          <w:p w14:paraId="6F5D4939" w14:textId="3587F3B4" w:rsidR="000055DE" w:rsidRPr="00074F53" w:rsidRDefault="000055DE" w:rsidP="000055DE">
            <w:pPr>
              <w:ind w:firstLine="744"/>
              <w:rPr>
                <w:rFonts w:eastAsia="Times New Roman"/>
                <w:lang w:val="lv-LV" w:eastAsia="lv-LV"/>
              </w:rPr>
            </w:pPr>
            <w:r w:rsidRPr="00074F53">
              <w:rPr>
                <w:rFonts w:eastAsia="Times New Roman"/>
                <w:lang w:val="lv-LV" w:eastAsia="lv-LV"/>
              </w:rPr>
              <w:t>Grāmatvedības periodā notika Baltijas jūras reģiona valstu tiesībaizsardzības amatpersonu regulāra daudzpusēju sanāksmju organizēšana.</w:t>
            </w:r>
          </w:p>
          <w:p w14:paraId="3B9D16C9" w14:textId="147FE10F" w:rsidR="00042E85" w:rsidRPr="00074F53" w:rsidRDefault="00042E85" w:rsidP="000055DE">
            <w:pPr>
              <w:ind w:firstLine="744"/>
              <w:rPr>
                <w:rFonts w:eastAsia="Times New Roman"/>
                <w:lang w:val="lv-LV" w:eastAsia="lv-LV"/>
              </w:rPr>
            </w:pPr>
          </w:p>
          <w:p w14:paraId="016A63A5" w14:textId="77777777" w:rsidR="00004773" w:rsidRPr="00074F53" w:rsidRDefault="00004773" w:rsidP="00004773">
            <w:pPr>
              <w:pStyle w:val="CommentText"/>
              <w:ind w:firstLine="743"/>
              <w:rPr>
                <w:iCs/>
                <w:sz w:val="22"/>
                <w:szCs w:val="22"/>
                <w:lang w:val="lv-LV"/>
              </w:rPr>
            </w:pPr>
            <w:r w:rsidRPr="00074F53">
              <w:rPr>
                <w:iCs/>
                <w:sz w:val="22"/>
                <w:szCs w:val="22"/>
                <w:lang w:val="lv-LV"/>
              </w:rPr>
              <w:lastRenderedPageBreak/>
              <w:t>Faktisko iznākuma un rezultātu rādītāju apguvi konkrēto darbību projektiem skatīt ziņojuma 1. pielikumā. Finansējuma apguvi skatīt ziņojuma 2. pielikumā.</w:t>
            </w:r>
          </w:p>
          <w:p w14:paraId="6F4CF9BD" w14:textId="12D26476" w:rsidR="00371AD5" w:rsidRPr="00074F53" w:rsidRDefault="00371AD5" w:rsidP="00980EBC">
            <w:pPr>
              <w:pStyle w:val="Personnequisigne"/>
              <w:ind w:firstLine="743"/>
              <w:jc w:val="both"/>
              <w:rPr>
                <w:lang w:val="lv-LV"/>
              </w:rPr>
            </w:pPr>
          </w:p>
        </w:tc>
      </w:tr>
    </w:tbl>
    <w:p w14:paraId="15CA2744" w14:textId="77777777" w:rsidR="006A41E2" w:rsidRPr="00074F53" w:rsidRDefault="00544E72" w:rsidP="00930AD9">
      <w:pPr>
        <w:rPr>
          <w:noProof/>
          <w:lang w:val="lv-LV"/>
        </w:rPr>
      </w:pPr>
      <w:r w:rsidRPr="00074F53">
        <w:rPr>
          <w:noProof/>
          <w:lang w:val="lv-LV"/>
        </w:rPr>
        <w:lastRenderedPageBreak/>
        <w:t>Tālāk sniegtajā tabulā ievadiet sīkākas ziņas par visām konkrētajām valsts darbībām, kas īstenotas programmā. Ziņošanai par konkrētām transnacionālām darbībām būtu jāatbilst izvēlētajam ziņošanas risinājumam</w:t>
      </w:r>
      <w:r w:rsidRPr="00074F53">
        <w:rPr>
          <w:rStyle w:val="FootnoteReference"/>
          <w:noProof/>
          <w:lang w:val="lv-LV"/>
        </w:rPr>
        <w:footnoteReference w:id="12"/>
      </w:r>
      <w:r w:rsidRPr="00074F53">
        <w:rPr>
          <w:noProof/>
          <w:lang w:val="lv-LV"/>
        </w:rPr>
        <w:t xml:space="preserve">. </w:t>
      </w:r>
    </w:p>
    <w:tbl>
      <w:tblPr>
        <w:tblStyle w:val="TableGrid"/>
        <w:tblW w:w="9242" w:type="dxa"/>
        <w:tblLayout w:type="fixed"/>
        <w:tblCellMar>
          <w:left w:w="28" w:type="dxa"/>
          <w:right w:w="28" w:type="dxa"/>
        </w:tblCellMar>
        <w:tblLook w:val="04A0" w:firstRow="1" w:lastRow="0" w:firstColumn="1" w:lastColumn="0" w:noHBand="0" w:noVBand="1"/>
      </w:tblPr>
      <w:tblGrid>
        <w:gridCol w:w="879"/>
        <w:gridCol w:w="1243"/>
        <w:gridCol w:w="992"/>
        <w:gridCol w:w="1276"/>
        <w:gridCol w:w="1417"/>
        <w:gridCol w:w="1276"/>
        <w:gridCol w:w="992"/>
        <w:gridCol w:w="1167"/>
      </w:tblGrid>
      <w:tr w:rsidR="003A3A17" w:rsidRPr="00074F53" w14:paraId="6F748BB7" w14:textId="77777777" w:rsidTr="008459BB">
        <w:trPr>
          <w:trHeight w:val="431"/>
        </w:trPr>
        <w:tc>
          <w:tcPr>
            <w:tcW w:w="879" w:type="dxa"/>
            <w:vMerge w:val="restart"/>
            <w:vAlign w:val="center"/>
          </w:tcPr>
          <w:p w14:paraId="07510BBC" w14:textId="77777777" w:rsidR="006A41E2" w:rsidRPr="00074F53" w:rsidRDefault="006A41E2" w:rsidP="00E45665">
            <w:pPr>
              <w:pStyle w:val="Institutionquisigne"/>
              <w:spacing w:before="0"/>
              <w:jc w:val="center"/>
              <w:rPr>
                <w:b/>
                <w:i w:val="0"/>
                <w:noProof/>
                <w:lang w:val="lv-LV"/>
              </w:rPr>
            </w:pPr>
            <w:r w:rsidRPr="00074F53">
              <w:rPr>
                <w:b/>
                <w:i w:val="0"/>
                <w:noProof/>
                <w:lang w:val="lv-LV"/>
              </w:rPr>
              <w:t>Konkrētais mērķis</w:t>
            </w:r>
          </w:p>
        </w:tc>
        <w:tc>
          <w:tcPr>
            <w:tcW w:w="1243" w:type="dxa"/>
            <w:vMerge w:val="restart"/>
            <w:vAlign w:val="center"/>
          </w:tcPr>
          <w:p w14:paraId="4B3BEF55" w14:textId="77777777" w:rsidR="006A41E2" w:rsidRPr="00074F53" w:rsidRDefault="006A41E2" w:rsidP="00E45665">
            <w:pPr>
              <w:pStyle w:val="Institutionquisigne"/>
              <w:spacing w:before="0"/>
              <w:jc w:val="center"/>
              <w:rPr>
                <w:b/>
                <w:i w:val="0"/>
                <w:noProof/>
                <w:lang w:val="lv-LV"/>
              </w:rPr>
            </w:pPr>
            <w:r w:rsidRPr="00074F53">
              <w:rPr>
                <w:b/>
                <w:i w:val="0"/>
                <w:noProof/>
                <w:lang w:val="lv-LV"/>
              </w:rPr>
              <w:t>Darbības nosaukums/ atsauces numurs</w:t>
            </w:r>
          </w:p>
        </w:tc>
        <w:tc>
          <w:tcPr>
            <w:tcW w:w="992" w:type="dxa"/>
            <w:vMerge w:val="restart"/>
            <w:vAlign w:val="center"/>
          </w:tcPr>
          <w:p w14:paraId="55596705" w14:textId="77777777" w:rsidR="006A41E2" w:rsidRPr="00074F53" w:rsidRDefault="006A41E2" w:rsidP="00E45665">
            <w:pPr>
              <w:pStyle w:val="Institutionquisigne"/>
              <w:spacing w:before="0"/>
              <w:jc w:val="center"/>
              <w:rPr>
                <w:b/>
                <w:i w:val="0"/>
                <w:noProof/>
                <w:lang w:val="lv-LV"/>
              </w:rPr>
            </w:pPr>
            <w:r w:rsidRPr="00074F53">
              <w:rPr>
                <w:b/>
                <w:i w:val="0"/>
                <w:noProof/>
                <w:lang w:val="lv-LV"/>
              </w:rPr>
              <w:t>Saņēmējs</w:t>
            </w:r>
          </w:p>
        </w:tc>
        <w:tc>
          <w:tcPr>
            <w:tcW w:w="1276" w:type="dxa"/>
            <w:vMerge w:val="restart"/>
            <w:vAlign w:val="center"/>
          </w:tcPr>
          <w:p w14:paraId="61D20E2B" w14:textId="77777777" w:rsidR="006A41E2" w:rsidRPr="00074F53" w:rsidRDefault="006A41E2" w:rsidP="00E45665">
            <w:pPr>
              <w:pStyle w:val="Institutionquisigne"/>
              <w:spacing w:before="0"/>
              <w:jc w:val="center"/>
              <w:rPr>
                <w:b/>
                <w:i w:val="0"/>
                <w:noProof/>
                <w:lang w:val="lv-LV"/>
              </w:rPr>
            </w:pPr>
            <w:r w:rsidRPr="00074F53">
              <w:rPr>
                <w:b/>
                <w:i w:val="0"/>
                <w:noProof/>
                <w:lang w:val="lv-LV"/>
              </w:rPr>
              <w:t>Īstenošanas periods</w:t>
            </w:r>
          </w:p>
        </w:tc>
        <w:tc>
          <w:tcPr>
            <w:tcW w:w="1417" w:type="dxa"/>
            <w:vMerge w:val="restart"/>
            <w:vAlign w:val="center"/>
          </w:tcPr>
          <w:p w14:paraId="52768247" w14:textId="59834A23" w:rsidR="006A41E2" w:rsidRPr="00074F53" w:rsidRDefault="006A41E2" w:rsidP="006A41E2">
            <w:pPr>
              <w:pStyle w:val="Institutionquisigne"/>
              <w:spacing w:before="0"/>
              <w:jc w:val="center"/>
              <w:rPr>
                <w:b/>
                <w:i w:val="0"/>
                <w:noProof/>
                <w:lang w:val="lv-LV"/>
              </w:rPr>
            </w:pPr>
            <w:r w:rsidRPr="00074F53">
              <w:rPr>
                <w:b/>
                <w:i w:val="0"/>
                <w:noProof/>
                <w:lang w:val="lv-LV"/>
              </w:rPr>
              <w:t>Attiecināmās izmaksas</w:t>
            </w:r>
            <w:r w:rsidR="006F1BF7" w:rsidRPr="00074F53">
              <w:rPr>
                <w:b/>
                <w:i w:val="0"/>
                <w:noProof/>
                <w:lang w:val="lv-LV"/>
              </w:rPr>
              <w:t xml:space="preserve"> uz 30.06.202</w:t>
            </w:r>
            <w:r w:rsidR="00980EBC" w:rsidRPr="00074F53">
              <w:rPr>
                <w:b/>
                <w:i w:val="0"/>
                <w:noProof/>
                <w:lang w:val="lv-LV"/>
              </w:rPr>
              <w:t>5.</w:t>
            </w:r>
            <w:r w:rsidR="001E7E11" w:rsidRPr="00074F53">
              <w:rPr>
                <w:b/>
                <w:i w:val="0"/>
                <w:noProof/>
                <w:lang w:val="lv-LV"/>
              </w:rPr>
              <w:t xml:space="preserve">, </w:t>
            </w:r>
            <w:r w:rsidR="001E7E11" w:rsidRPr="00074F53">
              <w:rPr>
                <w:b/>
                <w:iCs/>
                <w:noProof/>
                <w:lang w:val="lv-LV"/>
              </w:rPr>
              <w:t>euro</w:t>
            </w:r>
            <w:r w:rsidRPr="00074F53">
              <w:rPr>
                <w:rStyle w:val="FootnoteReference"/>
                <w:b/>
                <w:i w:val="0"/>
                <w:noProof/>
                <w:lang w:val="lv-LV"/>
              </w:rPr>
              <w:footnoteReference w:id="13"/>
            </w:r>
          </w:p>
        </w:tc>
        <w:tc>
          <w:tcPr>
            <w:tcW w:w="1276" w:type="dxa"/>
            <w:vMerge w:val="restart"/>
            <w:vAlign w:val="center"/>
          </w:tcPr>
          <w:p w14:paraId="2770C4E5" w14:textId="32E0149B" w:rsidR="006A41E2" w:rsidRPr="00074F53" w:rsidRDefault="006A41E2" w:rsidP="006A41E2">
            <w:pPr>
              <w:pStyle w:val="Institutionquisigne"/>
              <w:spacing w:before="0"/>
              <w:jc w:val="center"/>
              <w:rPr>
                <w:b/>
                <w:i w:val="0"/>
                <w:noProof/>
                <w:lang w:val="lv-LV"/>
              </w:rPr>
            </w:pPr>
            <w:r w:rsidRPr="00074F53">
              <w:rPr>
                <w:b/>
                <w:i w:val="0"/>
                <w:noProof/>
                <w:lang w:val="lv-LV"/>
              </w:rPr>
              <w:t>Attiecināmie izdevumi</w:t>
            </w:r>
            <w:r w:rsidR="006F1BF7" w:rsidRPr="00074F53">
              <w:rPr>
                <w:b/>
                <w:i w:val="0"/>
                <w:noProof/>
                <w:lang w:val="lv-LV"/>
              </w:rPr>
              <w:t xml:space="preserve"> uz 30.06.202</w:t>
            </w:r>
            <w:r w:rsidR="00980EBC" w:rsidRPr="00074F53">
              <w:rPr>
                <w:b/>
                <w:i w:val="0"/>
                <w:noProof/>
                <w:lang w:val="lv-LV"/>
              </w:rPr>
              <w:t>5.</w:t>
            </w:r>
            <w:r w:rsidR="001E7E11" w:rsidRPr="00074F53">
              <w:rPr>
                <w:b/>
                <w:i w:val="0"/>
                <w:noProof/>
                <w:lang w:val="lv-LV"/>
              </w:rPr>
              <w:t xml:space="preserve"> </w:t>
            </w:r>
            <w:r w:rsidR="001E7E11" w:rsidRPr="00074F53">
              <w:rPr>
                <w:b/>
                <w:iCs/>
                <w:noProof/>
                <w:lang w:val="lv-LV"/>
              </w:rPr>
              <w:t>euro</w:t>
            </w:r>
            <w:r w:rsidRPr="00074F53">
              <w:rPr>
                <w:rStyle w:val="FootnoteReference"/>
                <w:b/>
                <w:i w:val="0"/>
                <w:noProof/>
                <w:lang w:val="lv-LV"/>
              </w:rPr>
              <w:footnoteReference w:id="14"/>
            </w:r>
          </w:p>
        </w:tc>
        <w:tc>
          <w:tcPr>
            <w:tcW w:w="2159" w:type="dxa"/>
            <w:gridSpan w:val="2"/>
            <w:vAlign w:val="center"/>
          </w:tcPr>
          <w:p w14:paraId="2C3E5CA2" w14:textId="77777777" w:rsidR="006A41E2" w:rsidRPr="00074F53" w:rsidRDefault="006A41E2" w:rsidP="006A41E2">
            <w:pPr>
              <w:pStyle w:val="Institutionquisigne"/>
              <w:spacing w:before="0"/>
              <w:jc w:val="center"/>
              <w:rPr>
                <w:b/>
                <w:i w:val="0"/>
                <w:noProof/>
                <w:lang w:val="lv-LV"/>
              </w:rPr>
            </w:pPr>
            <w:r w:rsidRPr="00074F53">
              <w:rPr>
                <w:b/>
                <w:i w:val="0"/>
                <w:noProof/>
                <w:lang w:val="lv-LV"/>
              </w:rPr>
              <w:t>Progress attiecīgo kopīgo un/vai konkrēto programmas rādītāju sasniegšanā</w:t>
            </w:r>
            <w:r w:rsidRPr="00074F53">
              <w:rPr>
                <w:rStyle w:val="FootnoteReference"/>
                <w:b/>
                <w:i w:val="0"/>
                <w:noProof/>
                <w:lang w:val="lv-LV"/>
              </w:rPr>
              <w:footnoteReference w:id="15"/>
            </w:r>
          </w:p>
        </w:tc>
      </w:tr>
      <w:tr w:rsidR="003A3A17" w:rsidRPr="00074F53" w14:paraId="3FD169D8" w14:textId="77777777" w:rsidTr="008459BB">
        <w:tc>
          <w:tcPr>
            <w:tcW w:w="879" w:type="dxa"/>
            <w:vMerge/>
            <w:vAlign w:val="center"/>
          </w:tcPr>
          <w:p w14:paraId="6520D5A7" w14:textId="77777777" w:rsidR="006A41E2" w:rsidRPr="00074F53" w:rsidRDefault="006A41E2" w:rsidP="00E45665">
            <w:pPr>
              <w:pStyle w:val="Institutionquisigne"/>
              <w:spacing w:before="0"/>
              <w:jc w:val="center"/>
              <w:rPr>
                <w:b/>
                <w:i w:val="0"/>
                <w:noProof/>
                <w:lang w:val="lv-LV"/>
              </w:rPr>
            </w:pPr>
          </w:p>
        </w:tc>
        <w:tc>
          <w:tcPr>
            <w:tcW w:w="1243" w:type="dxa"/>
            <w:vMerge/>
            <w:vAlign w:val="center"/>
          </w:tcPr>
          <w:p w14:paraId="37B15058" w14:textId="77777777" w:rsidR="006A41E2" w:rsidRPr="00074F53" w:rsidRDefault="006A41E2" w:rsidP="00E45665">
            <w:pPr>
              <w:pStyle w:val="Institutionquisigne"/>
              <w:spacing w:before="0"/>
              <w:jc w:val="center"/>
              <w:rPr>
                <w:b/>
                <w:noProof/>
                <w:lang w:val="lv-LV"/>
              </w:rPr>
            </w:pPr>
          </w:p>
        </w:tc>
        <w:tc>
          <w:tcPr>
            <w:tcW w:w="992" w:type="dxa"/>
            <w:vMerge/>
            <w:vAlign w:val="center"/>
          </w:tcPr>
          <w:p w14:paraId="2864104B" w14:textId="77777777" w:rsidR="006A41E2" w:rsidRPr="00074F53" w:rsidRDefault="006A41E2" w:rsidP="00E45665">
            <w:pPr>
              <w:pStyle w:val="Institutionquisigne"/>
              <w:spacing w:before="0"/>
              <w:jc w:val="center"/>
              <w:rPr>
                <w:b/>
                <w:noProof/>
                <w:lang w:val="lv-LV"/>
              </w:rPr>
            </w:pPr>
          </w:p>
        </w:tc>
        <w:tc>
          <w:tcPr>
            <w:tcW w:w="1276" w:type="dxa"/>
            <w:vMerge/>
            <w:vAlign w:val="center"/>
          </w:tcPr>
          <w:p w14:paraId="21D1DC4C" w14:textId="77777777" w:rsidR="006A41E2" w:rsidRPr="00074F53" w:rsidRDefault="006A41E2" w:rsidP="00E45665">
            <w:pPr>
              <w:pStyle w:val="Institutionquisigne"/>
              <w:spacing w:before="0"/>
              <w:jc w:val="center"/>
              <w:rPr>
                <w:b/>
                <w:noProof/>
                <w:lang w:val="lv-LV"/>
              </w:rPr>
            </w:pPr>
          </w:p>
        </w:tc>
        <w:tc>
          <w:tcPr>
            <w:tcW w:w="1417" w:type="dxa"/>
            <w:vMerge/>
            <w:vAlign w:val="center"/>
          </w:tcPr>
          <w:p w14:paraId="0AFD1B4A" w14:textId="77777777" w:rsidR="006A41E2" w:rsidRPr="00074F53" w:rsidRDefault="006A41E2" w:rsidP="00E45665">
            <w:pPr>
              <w:pStyle w:val="Institutionquisigne"/>
              <w:spacing w:before="0"/>
              <w:jc w:val="center"/>
              <w:rPr>
                <w:b/>
                <w:noProof/>
                <w:lang w:val="lv-LV"/>
              </w:rPr>
            </w:pPr>
          </w:p>
        </w:tc>
        <w:tc>
          <w:tcPr>
            <w:tcW w:w="1276" w:type="dxa"/>
            <w:vMerge/>
            <w:vAlign w:val="center"/>
          </w:tcPr>
          <w:p w14:paraId="2B0CAAE5" w14:textId="77777777" w:rsidR="006A41E2" w:rsidRPr="00074F53" w:rsidRDefault="006A41E2" w:rsidP="00E45665">
            <w:pPr>
              <w:pStyle w:val="Institutionquisigne"/>
              <w:spacing w:before="0"/>
              <w:jc w:val="center"/>
              <w:rPr>
                <w:b/>
                <w:noProof/>
                <w:lang w:val="lv-LV"/>
              </w:rPr>
            </w:pPr>
          </w:p>
        </w:tc>
        <w:tc>
          <w:tcPr>
            <w:tcW w:w="992" w:type="dxa"/>
            <w:vAlign w:val="center"/>
          </w:tcPr>
          <w:p w14:paraId="2004D1D5" w14:textId="77777777" w:rsidR="006A41E2" w:rsidRPr="00074F53" w:rsidRDefault="006A41E2" w:rsidP="00E45665">
            <w:pPr>
              <w:pStyle w:val="Institutionquisigne"/>
              <w:spacing w:before="0"/>
              <w:jc w:val="center"/>
              <w:rPr>
                <w:b/>
                <w:i w:val="0"/>
                <w:noProof/>
                <w:lang w:val="lv-LV"/>
              </w:rPr>
            </w:pPr>
            <w:r w:rsidRPr="00074F53">
              <w:rPr>
                <w:b/>
                <w:i w:val="0"/>
                <w:noProof/>
                <w:lang w:val="lv-LV"/>
              </w:rPr>
              <w:t>Iznākums</w:t>
            </w:r>
          </w:p>
        </w:tc>
        <w:tc>
          <w:tcPr>
            <w:tcW w:w="1167" w:type="dxa"/>
            <w:vAlign w:val="center"/>
          </w:tcPr>
          <w:p w14:paraId="73F2AC85" w14:textId="77777777" w:rsidR="006A41E2" w:rsidRPr="00074F53" w:rsidRDefault="006A41E2" w:rsidP="00E45665">
            <w:pPr>
              <w:pStyle w:val="Institutionquisigne"/>
              <w:spacing w:before="0"/>
              <w:jc w:val="center"/>
              <w:rPr>
                <w:b/>
                <w:i w:val="0"/>
                <w:noProof/>
                <w:lang w:val="lv-LV"/>
              </w:rPr>
            </w:pPr>
            <w:r w:rsidRPr="00074F53">
              <w:rPr>
                <w:b/>
                <w:i w:val="0"/>
                <w:noProof/>
                <w:lang w:val="lv-LV"/>
              </w:rPr>
              <w:t>Rezultāts</w:t>
            </w:r>
          </w:p>
        </w:tc>
      </w:tr>
      <w:tr w:rsidR="009261FE" w:rsidRPr="00074F53" w14:paraId="3114EAEF" w14:textId="77777777" w:rsidTr="008459BB">
        <w:tc>
          <w:tcPr>
            <w:tcW w:w="879" w:type="dxa"/>
            <w:vAlign w:val="center"/>
          </w:tcPr>
          <w:p w14:paraId="5FD6634D" w14:textId="0AD1BC5F" w:rsidR="009261FE" w:rsidRPr="00074F53" w:rsidRDefault="009261FE" w:rsidP="009261FE">
            <w:pPr>
              <w:pStyle w:val="Institutionquisigne"/>
              <w:spacing w:before="0"/>
              <w:jc w:val="center"/>
              <w:rPr>
                <w:i w:val="0"/>
                <w:noProof/>
                <w:lang w:val="lv-LV"/>
              </w:rPr>
            </w:pPr>
            <w:r w:rsidRPr="003A3A17">
              <w:rPr>
                <w:rFonts w:eastAsia="Times New Roman"/>
                <w:i w:val="0"/>
                <w:sz w:val="20"/>
                <w:szCs w:val="20"/>
                <w:lang w:val="lv-LV" w:eastAsia="lv-LV"/>
              </w:rPr>
              <w:t>Pārrobežu sadarbība</w:t>
            </w:r>
          </w:p>
        </w:tc>
        <w:tc>
          <w:tcPr>
            <w:tcW w:w="1243" w:type="dxa"/>
            <w:vAlign w:val="center"/>
          </w:tcPr>
          <w:p w14:paraId="3EAC6707" w14:textId="2B344F78" w:rsidR="009261FE" w:rsidRPr="00074F53" w:rsidRDefault="009261FE" w:rsidP="009261FE">
            <w:pPr>
              <w:pStyle w:val="Institutionquisigne"/>
              <w:spacing w:before="0"/>
              <w:jc w:val="center"/>
              <w:rPr>
                <w:i w:val="0"/>
                <w:noProof/>
                <w:lang w:val="lv-LV"/>
              </w:rPr>
            </w:pPr>
            <w:r w:rsidRPr="003A3A17">
              <w:rPr>
                <w:rFonts w:eastAsia="Times New Roman"/>
                <w:i w:val="0"/>
                <w:sz w:val="20"/>
                <w:szCs w:val="20"/>
                <w:lang w:val="lv-LV" w:eastAsia="lv-LV"/>
              </w:rPr>
              <w:t>ISF/2022/SA/2.2.1/012</w:t>
            </w:r>
          </w:p>
        </w:tc>
        <w:tc>
          <w:tcPr>
            <w:tcW w:w="992" w:type="dxa"/>
            <w:vAlign w:val="center"/>
          </w:tcPr>
          <w:p w14:paraId="76F93A27" w14:textId="10D988F6" w:rsidR="009261FE" w:rsidRPr="00074F53" w:rsidRDefault="009261FE" w:rsidP="009261FE">
            <w:pPr>
              <w:pStyle w:val="Institutionquisigne"/>
              <w:spacing w:before="0"/>
              <w:jc w:val="center"/>
              <w:rPr>
                <w:i w:val="0"/>
                <w:noProof/>
                <w:lang w:val="lv-LV"/>
              </w:rPr>
            </w:pPr>
            <w:r>
              <w:rPr>
                <w:i w:val="0"/>
                <w:noProof/>
                <w:sz w:val="20"/>
                <w:szCs w:val="20"/>
                <w:lang w:val="lv-LV"/>
              </w:rPr>
              <w:t>VP</w:t>
            </w:r>
          </w:p>
        </w:tc>
        <w:tc>
          <w:tcPr>
            <w:tcW w:w="1276" w:type="dxa"/>
            <w:vAlign w:val="center"/>
          </w:tcPr>
          <w:p w14:paraId="15047366" w14:textId="0467FB18" w:rsidR="009261FE" w:rsidRPr="00074F53" w:rsidRDefault="009261FE" w:rsidP="009261FE">
            <w:pPr>
              <w:pStyle w:val="Institutionquisigne"/>
              <w:spacing w:before="0"/>
              <w:jc w:val="center"/>
              <w:rPr>
                <w:i w:val="0"/>
                <w:noProof/>
                <w:lang w:val="lv-LV"/>
              </w:rPr>
            </w:pPr>
            <w:r w:rsidRPr="003A3A17">
              <w:rPr>
                <w:i w:val="0"/>
                <w:sz w:val="20"/>
                <w:szCs w:val="20"/>
                <w:lang w:val="lv-LV"/>
              </w:rPr>
              <w:t>01.01.2023 – 31.12.2023</w:t>
            </w:r>
          </w:p>
        </w:tc>
        <w:tc>
          <w:tcPr>
            <w:tcW w:w="1417" w:type="dxa"/>
            <w:vAlign w:val="center"/>
          </w:tcPr>
          <w:p w14:paraId="698492B6" w14:textId="24188443" w:rsidR="009261FE" w:rsidRPr="00074F53" w:rsidRDefault="009261FE" w:rsidP="009261FE">
            <w:pPr>
              <w:pStyle w:val="Institutionquisigne"/>
              <w:spacing w:before="0"/>
              <w:jc w:val="center"/>
              <w:rPr>
                <w:i w:val="0"/>
                <w:noProof/>
                <w:lang w:val="lv-LV"/>
              </w:rPr>
            </w:pPr>
            <w:r>
              <w:rPr>
                <w:i w:val="0"/>
                <w:noProof/>
                <w:sz w:val="20"/>
                <w:szCs w:val="20"/>
                <w:lang w:val="lv-LV"/>
              </w:rPr>
              <w:t>60 000</w:t>
            </w:r>
          </w:p>
        </w:tc>
        <w:tc>
          <w:tcPr>
            <w:tcW w:w="1276" w:type="dxa"/>
            <w:vAlign w:val="center"/>
          </w:tcPr>
          <w:p w14:paraId="1DFD43A9" w14:textId="5B96CF30" w:rsidR="009261FE" w:rsidRPr="00074F53" w:rsidRDefault="009261FE" w:rsidP="009261FE">
            <w:pPr>
              <w:pStyle w:val="Institutionquisigne"/>
              <w:spacing w:before="0"/>
              <w:jc w:val="center"/>
              <w:rPr>
                <w:i w:val="0"/>
                <w:noProof/>
                <w:lang w:val="lv-LV"/>
              </w:rPr>
            </w:pPr>
            <w:r w:rsidRPr="00A95791">
              <w:rPr>
                <w:i w:val="0"/>
                <w:noProof/>
                <w:sz w:val="20"/>
                <w:szCs w:val="20"/>
                <w:lang w:val="lv-LV"/>
              </w:rPr>
              <w:t>54</w:t>
            </w:r>
            <w:r>
              <w:rPr>
                <w:i w:val="0"/>
                <w:noProof/>
                <w:sz w:val="20"/>
                <w:szCs w:val="20"/>
                <w:lang w:val="lv-LV"/>
              </w:rPr>
              <w:t xml:space="preserve"> </w:t>
            </w:r>
            <w:r w:rsidRPr="00A95791">
              <w:rPr>
                <w:i w:val="0"/>
                <w:noProof/>
                <w:sz w:val="20"/>
                <w:szCs w:val="20"/>
                <w:lang w:val="lv-LV"/>
              </w:rPr>
              <w:t>662,17</w:t>
            </w:r>
          </w:p>
        </w:tc>
        <w:tc>
          <w:tcPr>
            <w:tcW w:w="992" w:type="dxa"/>
            <w:vAlign w:val="center"/>
          </w:tcPr>
          <w:p w14:paraId="18196152" w14:textId="43973DE7" w:rsidR="009261FE" w:rsidRPr="00074F53" w:rsidRDefault="009261FE" w:rsidP="009261FE">
            <w:pPr>
              <w:pStyle w:val="Institutionquisigne"/>
              <w:spacing w:before="0"/>
              <w:jc w:val="center"/>
              <w:rPr>
                <w:i w:val="0"/>
                <w:noProof/>
                <w:lang w:val="lv-LV"/>
              </w:rPr>
            </w:pPr>
            <w:r>
              <w:rPr>
                <w:i w:val="0"/>
                <w:sz w:val="20"/>
                <w:szCs w:val="20"/>
                <w:lang w:val="lv-LV" w:eastAsia="lv-LV"/>
              </w:rPr>
              <w:t>1</w:t>
            </w:r>
          </w:p>
        </w:tc>
        <w:tc>
          <w:tcPr>
            <w:tcW w:w="1167" w:type="dxa"/>
            <w:vAlign w:val="center"/>
          </w:tcPr>
          <w:p w14:paraId="20B73FBD" w14:textId="1C2E9C1D" w:rsidR="009261FE" w:rsidRPr="00074F53" w:rsidRDefault="009261FE" w:rsidP="009261FE">
            <w:pPr>
              <w:pStyle w:val="Institutionquisigne"/>
              <w:spacing w:before="0"/>
              <w:jc w:val="center"/>
              <w:rPr>
                <w:i w:val="0"/>
                <w:noProof/>
                <w:lang w:val="lv-LV"/>
              </w:rPr>
            </w:pPr>
            <w:r>
              <w:rPr>
                <w:i w:val="0"/>
                <w:noProof/>
                <w:sz w:val="20"/>
                <w:szCs w:val="20"/>
                <w:lang w:val="lv-LV"/>
              </w:rPr>
              <w:t>1</w:t>
            </w:r>
          </w:p>
        </w:tc>
      </w:tr>
      <w:tr w:rsidR="009261FE" w:rsidRPr="00074F53" w14:paraId="1CEE8C09" w14:textId="77777777" w:rsidTr="008459BB">
        <w:tc>
          <w:tcPr>
            <w:tcW w:w="879" w:type="dxa"/>
            <w:vAlign w:val="center"/>
          </w:tcPr>
          <w:p w14:paraId="34599DCD" w14:textId="4327CC2B" w:rsidR="009261FE" w:rsidRPr="00074F53" w:rsidRDefault="009261FE" w:rsidP="009261FE">
            <w:pPr>
              <w:pStyle w:val="Institutionquisigne"/>
              <w:spacing w:before="0"/>
              <w:jc w:val="center"/>
              <w:rPr>
                <w:rFonts w:eastAsia="Times New Roman"/>
                <w:i w:val="0"/>
                <w:lang w:val="lv-LV" w:eastAsia="lv-LV"/>
              </w:rPr>
            </w:pPr>
            <w:r w:rsidRPr="003A3A17">
              <w:rPr>
                <w:rFonts w:eastAsia="Times New Roman"/>
                <w:i w:val="0"/>
                <w:sz w:val="20"/>
                <w:szCs w:val="20"/>
                <w:lang w:val="lv-LV" w:eastAsia="lv-LV"/>
              </w:rPr>
              <w:t>Pārrobežu sadarbība</w:t>
            </w:r>
          </w:p>
        </w:tc>
        <w:tc>
          <w:tcPr>
            <w:tcW w:w="1243" w:type="dxa"/>
            <w:vAlign w:val="center"/>
          </w:tcPr>
          <w:p w14:paraId="6D07A3ED" w14:textId="68D059F9" w:rsidR="009261FE" w:rsidRPr="00074F53" w:rsidRDefault="009261FE" w:rsidP="009261FE">
            <w:pPr>
              <w:pStyle w:val="Institutionquisigne"/>
              <w:spacing w:before="0"/>
              <w:jc w:val="center"/>
              <w:rPr>
                <w:rFonts w:eastAsia="Times New Roman"/>
                <w:i w:val="0"/>
                <w:lang w:val="lv-LV" w:eastAsia="lv-LV"/>
              </w:rPr>
            </w:pPr>
            <w:r w:rsidRPr="003A3A17">
              <w:rPr>
                <w:rFonts w:eastAsia="Times New Roman"/>
                <w:i w:val="0"/>
                <w:sz w:val="20"/>
                <w:szCs w:val="20"/>
                <w:lang w:val="lv-LV" w:eastAsia="lv-LV"/>
              </w:rPr>
              <w:t>ISF/2022/SA/2.2.1/001</w:t>
            </w:r>
          </w:p>
        </w:tc>
        <w:tc>
          <w:tcPr>
            <w:tcW w:w="992" w:type="dxa"/>
            <w:vAlign w:val="center"/>
          </w:tcPr>
          <w:p w14:paraId="5928AEDC" w14:textId="1C1882D2" w:rsidR="009261FE" w:rsidRPr="00074F53" w:rsidRDefault="009261FE" w:rsidP="009261FE">
            <w:pPr>
              <w:pStyle w:val="Institutionquisigne"/>
              <w:spacing w:before="0"/>
              <w:jc w:val="center"/>
              <w:rPr>
                <w:i w:val="0"/>
                <w:noProof/>
                <w:lang w:val="lv-LV"/>
              </w:rPr>
            </w:pPr>
            <w:r>
              <w:rPr>
                <w:rFonts w:eastAsia="Times New Roman"/>
                <w:i w:val="0"/>
                <w:sz w:val="20"/>
                <w:szCs w:val="20"/>
                <w:lang w:val="lv-LV" w:eastAsia="lv-LV"/>
              </w:rPr>
              <w:t>VID</w:t>
            </w:r>
          </w:p>
        </w:tc>
        <w:tc>
          <w:tcPr>
            <w:tcW w:w="1276" w:type="dxa"/>
            <w:vAlign w:val="center"/>
          </w:tcPr>
          <w:p w14:paraId="08C92031" w14:textId="735F7233" w:rsidR="009261FE" w:rsidRPr="00074F53" w:rsidRDefault="009261FE" w:rsidP="009261FE">
            <w:pPr>
              <w:pStyle w:val="Institutionquisigne"/>
              <w:spacing w:before="0"/>
              <w:jc w:val="center"/>
              <w:rPr>
                <w:i w:val="0"/>
                <w:lang w:val="lv-LV"/>
              </w:rPr>
            </w:pPr>
            <w:r w:rsidRPr="003A3A17">
              <w:rPr>
                <w:rFonts w:eastAsia="Times New Roman"/>
                <w:i w:val="0"/>
                <w:sz w:val="20"/>
                <w:szCs w:val="20"/>
                <w:lang w:val="lv-LV" w:eastAsia="lv-LV"/>
              </w:rPr>
              <w:t>01.01.2023 - 31.12.2025</w:t>
            </w:r>
          </w:p>
        </w:tc>
        <w:tc>
          <w:tcPr>
            <w:tcW w:w="1417" w:type="dxa"/>
            <w:vAlign w:val="center"/>
          </w:tcPr>
          <w:p w14:paraId="26E4AB5A" w14:textId="2FAD0C68" w:rsidR="009261FE" w:rsidRPr="00074F53" w:rsidRDefault="009261FE" w:rsidP="009261FE">
            <w:pPr>
              <w:pStyle w:val="Institutionquisigne"/>
              <w:spacing w:before="0"/>
              <w:jc w:val="center"/>
              <w:rPr>
                <w:rFonts w:eastAsia="Times New Roman"/>
                <w:i w:val="0"/>
                <w:lang w:val="lv-LV" w:eastAsia="lv-LV"/>
              </w:rPr>
            </w:pPr>
            <w:r>
              <w:rPr>
                <w:rFonts w:eastAsia="Times New Roman"/>
                <w:i w:val="0"/>
                <w:sz w:val="20"/>
                <w:szCs w:val="20"/>
                <w:lang w:val="lv-LV" w:eastAsia="lv-LV"/>
              </w:rPr>
              <w:t>267 666</w:t>
            </w:r>
          </w:p>
        </w:tc>
        <w:tc>
          <w:tcPr>
            <w:tcW w:w="1276" w:type="dxa"/>
            <w:vAlign w:val="center"/>
          </w:tcPr>
          <w:p w14:paraId="2D8E7456" w14:textId="558272A1" w:rsidR="009261FE" w:rsidRPr="009261FE" w:rsidRDefault="009261FE" w:rsidP="009261FE">
            <w:pPr>
              <w:pStyle w:val="Institutionquisigne"/>
              <w:spacing w:before="0"/>
              <w:jc w:val="center"/>
              <w:rPr>
                <w:i w:val="0"/>
                <w:noProof/>
                <w:sz w:val="20"/>
                <w:szCs w:val="20"/>
                <w:lang w:val="lv-LV"/>
              </w:rPr>
            </w:pPr>
            <w:r w:rsidRPr="009261FE">
              <w:rPr>
                <w:i w:val="0"/>
                <w:noProof/>
                <w:sz w:val="20"/>
                <w:szCs w:val="20"/>
                <w:lang w:val="lv-LV"/>
              </w:rPr>
              <w:t>121 861,95</w:t>
            </w:r>
          </w:p>
        </w:tc>
        <w:tc>
          <w:tcPr>
            <w:tcW w:w="992" w:type="dxa"/>
            <w:vAlign w:val="center"/>
          </w:tcPr>
          <w:p w14:paraId="4D11DC83" w14:textId="0D2117FA" w:rsidR="009261FE" w:rsidRPr="00074F53" w:rsidRDefault="009261FE" w:rsidP="009261FE">
            <w:pPr>
              <w:pStyle w:val="Institutionquisigne"/>
              <w:spacing w:before="0"/>
              <w:jc w:val="center"/>
              <w:rPr>
                <w:i w:val="0"/>
                <w:lang w:val="lv-LV" w:eastAsia="lv-LV"/>
              </w:rPr>
            </w:pPr>
            <w:r>
              <w:rPr>
                <w:i w:val="0"/>
                <w:sz w:val="20"/>
                <w:szCs w:val="20"/>
                <w:lang w:val="lv-LV" w:eastAsia="lv-LV"/>
              </w:rPr>
              <w:t>59</w:t>
            </w:r>
          </w:p>
        </w:tc>
        <w:tc>
          <w:tcPr>
            <w:tcW w:w="1167" w:type="dxa"/>
            <w:vAlign w:val="center"/>
          </w:tcPr>
          <w:p w14:paraId="41455C31" w14:textId="088EE0FB" w:rsidR="009261FE" w:rsidRPr="00074F53" w:rsidRDefault="009261FE" w:rsidP="009261FE">
            <w:pPr>
              <w:pStyle w:val="Institutionquisigne"/>
              <w:spacing w:before="0"/>
              <w:jc w:val="center"/>
              <w:rPr>
                <w:i w:val="0"/>
                <w:lang w:val="lv-LV" w:eastAsia="lv-LV"/>
              </w:rPr>
            </w:pPr>
            <w:r>
              <w:rPr>
                <w:i w:val="0"/>
                <w:lang w:val="lv-LV" w:eastAsia="lv-LV"/>
              </w:rPr>
              <w:t>14</w:t>
            </w:r>
          </w:p>
        </w:tc>
      </w:tr>
      <w:tr w:rsidR="009261FE" w:rsidRPr="00074F53" w14:paraId="1597925D" w14:textId="77777777" w:rsidTr="008459BB">
        <w:tc>
          <w:tcPr>
            <w:tcW w:w="879" w:type="dxa"/>
            <w:vAlign w:val="center"/>
          </w:tcPr>
          <w:p w14:paraId="1684D9E8" w14:textId="56B44DC8" w:rsidR="009261FE" w:rsidRPr="00074F53" w:rsidRDefault="009261FE" w:rsidP="009261FE">
            <w:pPr>
              <w:pStyle w:val="Institutionquisigne"/>
              <w:spacing w:before="0"/>
              <w:jc w:val="center"/>
              <w:rPr>
                <w:rFonts w:eastAsia="Times New Roman"/>
                <w:b/>
                <w:bCs/>
                <w:i w:val="0"/>
                <w:lang w:val="lv-LV" w:eastAsia="lv-LV"/>
              </w:rPr>
            </w:pPr>
            <w:r w:rsidRPr="00A95791">
              <w:rPr>
                <w:rFonts w:eastAsia="Times New Roman"/>
                <w:b/>
                <w:bCs/>
                <w:i w:val="0"/>
                <w:sz w:val="20"/>
                <w:szCs w:val="20"/>
                <w:lang w:val="lv-LV" w:eastAsia="lv-LV"/>
              </w:rPr>
              <w:t>Kopā</w:t>
            </w:r>
          </w:p>
        </w:tc>
        <w:tc>
          <w:tcPr>
            <w:tcW w:w="1243" w:type="dxa"/>
            <w:vAlign w:val="center"/>
          </w:tcPr>
          <w:p w14:paraId="01A8548E" w14:textId="5E18CEDE" w:rsidR="009261FE" w:rsidRPr="00074F53" w:rsidRDefault="009261FE" w:rsidP="009261FE">
            <w:pPr>
              <w:pStyle w:val="Institutionquisigne"/>
              <w:spacing w:before="0"/>
              <w:jc w:val="center"/>
              <w:rPr>
                <w:rFonts w:eastAsia="Times New Roman"/>
                <w:b/>
                <w:bCs/>
                <w:i w:val="0"/>
                <w:lang w:val="lv-LV" w:eastAsia="lv-LV"/>
              </w:rPr>
            </w:pPr>
            <w:r w:rsidRPr="00A95791">
              <w:rPr>
                <w:rFonts w:eastAsia="Times New Roman"/>
                <w:b/>
                <w:bCs/>
                <w:i w:val="0"/>
                <w:sz w:val="20"/>
                <w:szCs w:val="20"/>
                <w:lang w:val="lv-LV" w:eastAsia="lv-LV"/>
              </w:rPr>
              <w:t>ISF/2022/SA/2.2.1</w:t>
            </w:r>
          </w:p>
        </w:tc>
        <w:tc>
          <w:tcPr>
            <w:tcW w:w="992" w:type="dxa"/>
            <w:vAlign w:val="center"/>
          </w:tcPr>
          <w:p w14:paraId="31C072B3" w14:textId="78C4F2FC" w:rsidR="009261FE" w:rsidRPr="00074F53" w:rsidRDefault="009261FE" w:rsidP="009261FE">
            <w:pPr>
              <w:pStyle w:val="Institutionquisigne"/>
              <w:spacing w:before="0"/>
              <w:jc w:val="center"/>
              <w:rPr>
                <w:b/>
                <w:bCs/>
                <w:i w:val="0"/>
                <w:noProof/>
                <w:lang w:val="lv-LV"/>
              </w:rPr>
            </w:pPr>
            <w:r w:rsidRPr="00A95791">
              <w:rPr>
                <w:b/>
                <w:bCs/>
                <w:i w:val="0"/>
                <w:noProof/>
                <w:sz w:val="20"/>
                <w:szCs w:val="20"/>
                <w:lang w:val="lv-LV"/>
              </w:rPr>
              <w:t>-</w:t>
            </w:r>
          </w:p>
        </w:tc>
        <w:tc>
          <w:tcPr>
            <w:tcW w:w="1276" w:type="dxa"/>
            <w:vAlign w:val="center"/>
          </w:tcPr>
          <w:p w14:paraId="3EFD0FD3" w14:textId="36AAB3AB" w:rsidR="009261FE" w:rsidRPr="00074F53" w:rsidRDefault="009261FE" w:rsidP="009261FE">
            <w:pPr>
              <w:pStyle w:val="Institutionquisigne"/>
              <w:spacing w:before="0"/>
              <w:jc w:val="center"/>
              <w:rPr>
                <w:b/>
                <w:bCs/>
                <w:i w:val="0"/>
                <w:lang w:val="lv-LV"/>
              </w:rPr>
            </w:pPr>
            <w:r w:rsidRPr="00A95791">
              <w:rPr>
                <w:b/>
                <w:bCs/>
                <w:i w:val="0"/>
                <w:sz w:val="20"/>
                <w:szCs w:val="20"/>
                <w:lang w:val="lv-LV"/>
              </w:rPr>
              <w:t>-</w:t>
            </w:r>
          </w:p>
        </w:tc>
        <w:tc>
          <w:tcPr>
            <w:tcW w:w="1417" w:type="dxa"/>
            <w:vAlign w:val="center"/>
          </w:tcPr>
          <w:p w14:paraId="0D54EBFB" w14:textId="4DBB865B" w:rsidR="009261FE" w:rsidRPr="00074F53" w:rsidRDefault="009261FE" w:rsidP="009261FE">
            <w:pPr>
              <w:pStyle w:val="Institutionquisigne"/>
              <w:spacing w:before="0"/>
              <w:jc w:val="center"/>
              <w:rPr>
                <w:rFonts w:eastAsia="Times New Roman"/>
                <w:b/>
                <w:bCs/>
                <w:i w:val="0"/>
                <w:lang w:val="lv-LV" w:eastAsia="lv-LV"/>
              </w:rPr>
            </w:pPr>
            <w:r w:rsidRPr="00A95791">
              <w:rPr>
                <w:rFonts w:eastAsia="Times New Roman"/>
                <w:b/>
                <w:bCs/>
                <w:i w:val="0"/>
                <w:sz w:val="20"/>
                <w:szCs w:val="20"/>
                <w:lang w:val="lv-LV" w:eastAsia="lv-LV"/>
              </w:rPr>
              <w:t>327 666</w:t>
            </w:r>
          </w:p>
        </w:tc>
        <w:tc>
          <w:tcPr>
            <w:tcW w:w="1276" w:type="dxa"/>
            <w:vAlign w:val="center"/>
          </w:tcPr>
          <w:p w14:paraId="0DEDC192" w14:textId="4E6C889A" w:rsidR="009261FE" w:rsidRPr="00074F53" w:rsidRDefault="009261FE" w:rsidP="009261FE">
            <w:pPr>
              <w:pStyle w:val="Institutionquisigne"/>
              <w:spacing w:before="0"/>
              <w:jc w:val="center"/>
              <w:rPr>
                <w:b/>
                <w:bCs/>
                <w:i w:val="0"/>
                <w:noProof/>
                <w:lang w:val="lv-LV"/>
              </w:rPr>
            </w:pPr>
            <w:r>
              <w:rPr>
                <w:b/>
                <w:bCs/>
                <w:i w:val="0"/>
                <w:noProof/>
                <w:sz w:val="20"/>
                <w:szCs w:val="20"/>
                <w:lang w:val="lv-LV"/>
              </w:rPr>
              <w:t>176 524,12</w:t>
            </w:r>
          </w:p>
        </w:tc>
        <w:tc>
          <w:tcPr>
            <w:tcW w:w="992" w:type="dxa"/>
            <w:vAlign w:val="center"/>
          </w:tcPr>
          <w:p w14:paraId="7527B928" w14:textId="34F8C368" w:rsidR="009261FE" w:rsidRPr="00074F53" w:rsidRDefault="009261FE" w:rsidP="009261FE">
            <w:pPr>
              <w:pStyle w:val="Institutionquisigne"/>
              <w:spacing w:before="0"/>
              <w:jc w:val="center"/>
              <w:rPr>
                <w:b/>
                <w:bCs/>
                <w:i w:val="0"/>
                <w:lang w:val="lv-LV" w:eastAsia="lv-LV"/>
              </w:rPr>
            </w:pPr>
            <w:r>
              <w:rPr>
                <w:b/>
                <w:bCs/>
                <w:i w:val="0"/>
                <w:lang w:val="lv-LV" w:eastAsia="lv-LV"/>
              </w:rPr>
              <w:t>60</w:t>
            </w:r>
          </w:p>
        </w:tc>
        <w:tc>
          <w:tcPr>
            <w:tcW w:w="1167" w:type="dxa"/>
            <w:vAlign w:val="center"/>
          </w:tcPr>
          <w:p w14:paraId="0FF71970" w14:textId="3765E2CD" w:rsidR="009261FE" w:rsidRPr="00074F53" w:rsidRDefault="009261FE" w:rsidP="009261FE">
            <w:pPr>
              <w:pStyle w:val="Institutionquisigne"/>
              <w:spacing w:before="0"/>
              <w:jc w:val="center"/>
              <w:rPr>
                <w:b/>
                <w:bCs/>
                <w:i w:val="0"/>
                <w:lang w:val="lv-LV" w:eastAsia="lv-LV"/>
              </w:rPr>
            </w:pPr>
            <w:r>
              <w:rPr>
                <w:b/>
                <w:bCs/>
                <w:i w:val="0"/>
                <w:lang w:val="lv-LV" w:eastAsia="lv-LV"/>
              </w:rPr>
              <w:t>15</w:t>
            </w:r>
          </w:p>
        </w:tc>
      </w:tr>
    </w:tbl>
    <w:p w14:paraId="6A30B136" w14:textId="77777777" w:rsidR="001501F7" w:rsidRDefault="001501F7" w:rsidP="00B32C89">
      <w:pPr>
        <w:pStyle w:val="ManualHeading2"/>
        <w:rPr>
          <w:lang w:val="lv-LV"/>
        </w:rPr>
      </w:pPr>
    </w:p>
    <w:p w14:paraId="0A85B249" w14:textId="05E62BF3" w:rsidR="006A41E2" w:rsidRPr="00074F53" w:rsidRDefault="00B32C89" w:rsidP="00B32C89">
      <w:pPr>
        <w:pStyle w:val="ManualHeading2"/>
        <w:rPr>
          <w:noProof/>
          <w:lang w:val="lv-LV"/>
        </w:rPr>
      </w:pPr>
      <w:r w:rsidRPr="00074F53">
        <w:rPr>
          <w:lang w:val="lv-LV"/>
        </w:rPr>
        <w:t>1.6.</w:t>
      </w:r>
      <w:r w:rsidRPr="00074F53">
        <w:rPr>
          <w:lang w:val="lv-LV"/>
        </w:rPr>
        <w:tab/>
      </w:r>
      <w:r w:rsidR="0001528B" w:rsidRPr="00074F53">
        <w:rPr>
          <w:noProof/>
          <w:lang w:val="lv-LV"/>
        </w:rPr>
        <w:t>Atbilstība Regulas (ES) 2021/1149 13. panta 7. punktam</w:t>
      </w:r>
    </w:p>
    <w:p w14:paraId="5B17165D" w14:textId="118EDCF2" w:rsidR="00E76930" w:rsidRPr="00074F53" w:rsidRDefault="00352119" w:rsidP="006A41E2">
      <w:pPr>
        <w:rPr>
          <w:noProof/>
          <w:lang w:val="lv-LV"/>
        </w:rPr>
      </w:pPr>
      <w:r w:rsidRPr="00074F53">
        <w:rPr>
          <w:noProof/>
          <w:lang w:val="lv-LV"/>
        </w:rPr>
        <w:t xml:space="preserve">Norādiet to izdevumu kumulatīvo kopsummu, kas radušies un samaksāti par Regulas (ES) 2021/1149 13. panta 7. punktā minēto aprīkojuma un transportlīdzekļu iegādi vai ar drošību saistīto iekārtu būvniecību, atbilstoši elektroniski uzglabājamajiem datiem Regulas (ES) 2021/1060 XVII pielikuma 142. laukā. </w:t>
      </w:r>
    </w:p>
    <w:tbl>
      <w:tblPr>
        <w:tblStyle w:val="TableGrid"/>
        <w:tblW w:w="0" w:type="auto"/>
        <w:tblLook w:val="04A0" w:firstRow="1" w:lastRow="0" w:firstColumn="1" w:lastColumn="0" w:noHBand="0" w:noVBand="1"/>
      </w:tblPr>
      <w:tblGrid>
        <w:gridCol w:w="9063"/>
      </w:tblGrid>
      <w:tr w:rsidR="003A3A17" w:rsidRPr="00074F53" w14:paraId="17D1C819" w14:textId="77777777" w:rsidTr="00586750">
        <w:tc>
          <w:tcPr>
            <w:tcW w:w="9289" w:type="dxa"/>
          </w:tcPr>
          <w:p w14:paraId="578A93A6" w14:textId="77777777" w:rsidR="00352119" w:rsidRPr="00074F53" w:rsidRDefault="00352119" w:rsidP="00352119">
            <w:pPr>
              <w:pStyle w:val="Personnequisigne"/>
              <w:rPr>
                <w:noProof/>
                <w:lang w:val="lv-LV"/>
              </w:rPr>
            </w:pPr>
            <w:r w:rsidRPr="00074F53">
              <w:rPr>
                <w:noProof/>
                <w:lang w:val="lv-LV"/>
              </w:rPr>
              <w:t>Ierakstiet summu.</w:t>
            </w:r>
          </w:p>
          <w:p w14:paraId="74FFE3C4" w14:textId="6B2F24EF" w:rsidR="009E7D43" w:rsidRPr="009E7D43" w:rsidRDefault="009E7D43" w:rsidP="009E7D43">
            <w:pPr>
              <w:pStyle w:val="Personnequisigne"/>
              <w:rPr>
                <w:lang w:val="lv-LV"/>
              </w:rPr>
            </w:pPr>
            <w:r w:rsidRPr="009E7D43">
              <w:rPr>
                <w:i w:val="0"/>
                <w:iCs/>
                <w:lang w:val="lv-LV"/>
              </w:rPr>
              <w:t>4 848 882,03</w:t>
            </w:r>
            <w:r>
              <w:rPr>
                <w:lang w:val="lv-LV"/>
              </w:rPr>
              <w:t xml:space="preserve"> </w:t>
            </w:r>
            <w:proofErr w:type="spellStart"/>
            <w:r>
              <w:rPr>
                <w:lang w:val="lv-LV"/>
              </w:rPr>
              <w:t>euro</w:t>
            </w:r>
            <w:proofErr w:type="spellEnd"/>
            <w:r>
              <w:rPr>
                <w:lang w:val="lv-LV"/>
              </w:rPr>
              <w:t>.</w:t>
            </w:r>
          </w:p>
        </w:tc>
      </w:tr>
    </w:tbl>
    <w:p w14:paraId="349685F0" w14:textId="77777777" w:rsidR="00D61B85" w:rsidRDefault="00D61B85" w:rsidP="009E5C5D">
      <w:pPr>
        <w:rPr>
          <w:noProof/>
          <w:lang w:val="lv-LV"/>
        </w:rPr>
      </w:pPr>
    </w:p>
    <w:p w14:paraId="46155DBB" w14:textId="650965E2" w:rsidR="006A41E2" w:rsidRPr="00074F53" w:rsidRDefault="00BB3C0E" w:rsidP="009E5C5D">
      <w:pPr>
        <w:rPr>
          <w:noProof/>
          <w:lang w:val="lv-LV"/>
        </w:rPr>
      </w:pPr>
      <w:r w:rsidRPr="00074F53">
        <w:rPr>
          <w:noProof/>
          <w:lang w:val="lv-LV"/>
        </w:rPr>
        <w:t xml:space="preserve">Apstipriniet, ka to darbību kumulatīvo attiecināmo izmaksu kopsumma, kas atlasītas atbalstam par aprīkojumu, transportlīdzekļiem vai ar drošību saistītu iekārtu būvniecību, kā minēts Regulas (ES) 2021/1149 13. panta 7. punktā, līdz grāmatvedības </w:t>
      </w:r>
      <w:r w:rsidR="0059347E">
        <w:rPr>
          <w:noProof/>
          <w:lang w:val="lv-LV"/>
        </w:rPr>
        <w:t>perioda</w:t>
      </w:r>
      <w:r w:rsidRPr="00074F53">
        <w:rPr>
          <w:noProof/>
          <w:lang w:val="lv-LV"/>
        </w:rPr>
        <w:t xml:space="preserve"> beigām nepārsniedz 35 % no kopējā programmas piešķīruma, vai paskaidrojiet iemeslus, kāpēc pārsniedz. Turklāt, ja pastāv risks, ka līdz plānošanas perioda beigām robežvērtība tiks pārsniegta, aprakstiet pasākumus, kas paredzēti tā mazināšanai, vai norādiet pamatotus iemeslus, kāpēc robežvērtība tiks pārsniegta. </w:t>
      </w:r>
    </w:p>
    <w:tbl>
      <w:tblPr>
        <w:tblStyle w:val="TableGrid"/>
        <w:tblW w:w="0" w:type="auto"/>
        <w:tblLook w:val="04A0" w:firstRow="1" w:lastRow="0" w:firstColumn="1" w:lastColumn="0" w:noHBand="0" w:noVBand="1"/>
      </w:tblPr>
      <w:tblGrid>
        <w:gridCol w:w="9063"/>
      </w:tblGrid>
      <w:tr w:rsidR="003A3A17" w:rsidRPr="001501F7" w14:paraId="3927EA21" w14:textId="77777777" w:rsidTr="00E45665">
        <w:tc>
          <w:tcPr>
            <w:tcW w:w="9289" w:type="dxa"/>
          </w:tcPr>
          <w:p w14:paraId="31A8BC28" w14:textId="77777777" w:rsidR="003E3261" w:rsidRDefault="00544E72" w:rsidP="003E3261">
            <w:pPr>
              <w:pStyle w:val="Personnequisigne"/>
              <w:rPr>
                <w:noProof/>
                <w:lang w:val="lv-LV"/>
              </w:rPr>
            </w:pPr>
            <w:r w:rsidRPr="00074F53">
              <w:rPr>
                <w:noProof/>
                <w:lang w:val="lv-LV"/>
              </w:rPr>
              <w:t>Šeit ierakstiet tekstu. Ne vairāk kā 3000 rakstzīmes.</w:t>
            </w:r>
          </w:p>
          <w:p w14:paraId="458E7183" w14:textId="77777777" w:rsidR="003E3261" w:rsidRDefault="003E3261" w:rsidP="003E3261">
            <w:pPr>
              <w:pStyle w:val="Personnequisigne"/>
              <w:rPr>
                <w:lang w:val="lv-LV"/>
              </w:rPr>
            </w:pPr>
          </w:p>
          <w:p w14:paraId="387C9012" w14:textId="73E34E8B" w:rsidR="003E3261" w:rsidRDefault="003E3261" w:rsidP="003E3261">
            <w:pPr>
              <w:pStyle w:val="Personnequisigne"/>
              <w:ind w:firstLine="459"/>
              <w:jc w:val="both"/>
              <w:rPr>
                <w:i w:val="0"/>
                <w:lang w:val="lv-LV"/>
              </w:rPr>
            </w:pPr>
            <w:r w:rsidRPr="003A3A17">
              <w:rPr>
                <w:i w:val="0"/>
                <w:lang w:val="lv-LV"/>
              </w:rPr>
              <w:t xml:space="preserve">Darbību, kas atlasītas atbalstam par aprīkojumu, transportlīdzekļiem vai ar drošību saistītu iekārtu būvniecību, kā minēts Regulas (ES) 2021/1149 13. panta 7. punktā, summārā attiecināmo izmaksu kopsumma līdz grāmatvedības gada beigām </w:t>
            </w:r>
            <w:r>
              <w:rPr>
                <w:i w:val="0"/>
                <w:lang w:val="lv-LV"/>
              </w:rPr>
              <w:t>pārsniedz</w:t>
            </w:r>
            <w:r w:rsidRPr="003A3A17">
              <w:rPr>
                <w:i w:val="0"/>
                <w:lang w:val="lv-LV"/>
              </w:rPr>
              <w:t xml:space="preserve"> 35% no kopējā IDF programmas finansējama piešķīruma.</w:t>
            </w:r>
          </w:p>
          <w:p w14:paraId="688F8CCE" w14:textId="77777777" w:rsidR="003E3261" w:rsidRDefault="003E3261" w:rsidP="003E3261">
            <w:pPr>
              <w:pStyle w:val="Personnequisigne"/>
              <w:ind w:firstLine="459"/>
              <w:jc w:val="both"/>
              <w:rPr>
                <w:i w:val="0"/>
                <w:iCs/>
                <w:lang w:val="lv-LV"/>
              </w:rPr>
            </w:pPr>
            <w:r>
              <w:rPr>
                <w:i w:val="0"/>
                <w:iCs/>
                <w:lang w:val="lv-LV"/>
              </w:rPr>
              <w:t>Vadošā iestāde nosūtīja Eiropas Komisijai oficiālu pieprasījuma vēstuli</w:t>
            </w:r>
            <w:r>
              <w:rPr>
                <w:rStyle w:val="FootnoteReference"/>
                <w:i w:val="0"/>
                <w:iCs/>
                <w:lang w:val="lv-LV"/>
              </w:rPr>
              <w:footnoteReference w:id="16"/>
            </w:r>
            <w:r>
              <w:rPr>
                <w:i w:val="0"/>
                <w:iCs/>
                <w:lang w:val="lv-LV"/>
              </w:rPr>
              <w:t xml:space="preserve"> ar lūgumu palielināt 35% slieksni izdevumiem aprīkojumam, transportlīdzekļiem un ar drošību saistītu objektu būvniecībai, kā noteikts Eiropas Parlamenta un Padomes 2021. gada 7. jūlija Regulas (ES) Nr. 2021/1149, ar kuru izveido Iekšējās drošības fondu, 13. panta 7. punktā. Pieprasījums izrietēja no steidzamas nepieciešamības uzlabot operatīvās spējas un efektīvāk virzīt Latvijas IDF Nacionālās programmas stratēģisko mērķu sasniegšanu. </w:t>
            </w:r>
          </w:p>
          <w:p w14:paraId="17D007FC" w14:textId="73532BB0" w:rsidR="003E3261" w:rsidRPr="00237C3B" w:rsidRDefault="003E3261" w:rsidP="00237C3B">
            <w:pPr>
              <w:pStyle w:val="Personnequisigne"/>
              <w:ind w:firstLine="459"/>
              <w:jc w:val="both"/>
              <w:rPr>
                <w:i w:val="0"/>
                <w:iCs/>
                <w:lang w:val="lv-LV"/>
              </w:rPr>
            </w:pPr>
            <w:r>
              <w:rPr>
                <w:i w:val="0"/>
                <w:iCs/>
                <w:lang w:val="lv-LV"/>
              </w:rPr>
              <w:lastRenderedPageBreak/>
              <w:t xml:space="preserve">Eiropas Komisija izvērtēja </w:t>
            </w:r>
            <w:r w:rsidR="008A60B2">
              <w:rPr>
                <w:i w:val="0"/>
                <w:iCs/>
                <w:lang w:val="lv-LV"/>
              </w:rPr>
              <w:t xml:space="preserve">vadošās iestādes iesniegtos </w:t>
            </w:r>
            <w:r>
              <w:rPr>
                <w:i w:val="0"/>
                <w:iCs/>
                <w:lang w:val="lv-LV"/>
              </w:rPr>
              <w:t>skaidrojumus</w:t>
            </w:r>
            <w:r w:rsidR="008A60B2">
              <w:rPr>
                <w:i w:val="0"/>
                <w:iCs/>
                <w:lang w:val="lv-LV"/>
              </w:rPr>
              <w:t xml:space="preserve"> un pamatojumu</w:t>
            </w:r>
            <w:r>
              <w:rPr>
                <w:i w:val="0"/>
                <w:iCs/>
                <w:lang w:val="lv-LV"/>
              </w:rPr>
              <w:t xml:space="preserve"> 35% sliekšņa </w:t>
            </w:r>
            <w:r w:rsidR="001501F7">
              <w:rPr>
                <w:i w:val="0"/>
                <w:iCs/>
                <w:lang w:val="lv-LV"/>
              </w:rPr>
              <w:t>pārsniegšanai</w:t>
            </w:r>
            <w:r w:rsidR="008A60B2">
              <w:rPr>
                <w:i w:val="0"/>
                <w:iCs/>
                <w:lang w:val="lv-LV"/>
              </w:rPr>
              <w:t xml:space="preserve"> un atzina nepieciešamību vairāk ieguldīt minētajās jomās, attiecīgi </w:t>
            </w:r>
            <w:r w:rsidR="001501F7">
              <w:rPr>
                <w:i w:val="0"/>
                <w:iCs/>
                <w:lang w:val="lv-LV"/>
              </w:rPr>
              <w:t>atbalstot</w:t>
            </w:r>
            <w:r w:rsidR="008A60B2">
              <w:rPr>
                <w:i w:val="0"/>
                <w:iCs/>
                <w:lang w:val="lv-LV"/>
              </w:rPr>
              <w:t xml:space="preserve"> vadošās iestādes pieprasījumu</w:t>
            </w:r>
            <w:r w:rsidR="008A60B2">
              <w:rPr>
                <w:rStyle w:val="FootnoteReference"/>
                <w:i w:val="0"/>
                <w:iCs/>
                <w:lang w:val="lv-LV"/>
              </w:rPr>
              <w:footnoteReference w:id="17"/>
            </w:r>
            <w:r w:rsidR="008A60B2">
              <w:rPr>
                <w:i w:val="0"/>
                <w:iCs/>
                <w:lang w:val="lv-LV"/>
              </w:rPr>
              <w:t xml:space="preserve">. </w:t>
            </w:r>
          </w:p>
          <w:p w14:paraId="3CB9A627" w14:textId="25652A57" w:rsidR="00C85B28" w:rsidRPr="00074F53" w:rsidRDefault="00C85B28" w:rsidP="00C85B28">
            <w:pPr>
              <w:pStyle w:val="Institutionquisigne"/>
              <w:spacing w:before="0"/>
              <w:ind w:firstLine="851"/>
              <w:rPr>
                <w:i w:val="0"/>
                <w:lang w:val="lv-LV"/>
              </w:rPr>
            </w:pPr>
          </w:p>
        </w:tc>
      </w:tr>
    </w:tbl>
    <w:p w14:paraId="4B4DC429" w14:textId="48B75086" w:rsidR="006A41E2" w:rsidRPr="00074F53" w:rsidRDefault="00B32C89" w:rsidP="00B32C89">
      <w:pPr>
        <w:pStyle w:val="ManualHeading2"/>
        <w:rPr>
          <w:noProof/>
          <w:lang w:val="lv-LV"/>
        </w:rPr>
      </w:pPr>
      <w:r w:rsidRPr="00074F53">
        <w:rPr>
          <w:lang w:val="lv-LV"/>
        </w:rPr>
        <w:lastRenderedPageBreak/>
        <w:t>1.7.</w:t>
      </w:r>
      <w:r w:rsidRPr="00074F53">
        <w:rPr>
          <w:lang w:val="lv-LV"/>
        </w:rPr>
        <w:tab/>
      </w:r>
      <w:r w:rsidR="006A41E2" w:rsidRPr="00074F53">
        <w:rPr>
          <w:noProof/>
          <w:lang w:val="lv-LV"/>
        </w:rPr>
        <w:t>Tikai 2024. gadā: projektu turpināšana – Regulas (ES) 2021/1149 34. panta 4. punkta e) apakšpunkts</w:t>
      </w:r>
    </w:p>
    <w:p w14:paraId="016B4060" w14:textId="77777777" w:rsidR="006A41E2" w:rsidRPr="00074F53" w:rsidRDefault="0060652B" w:rsidP="006A41E2">
      <w:pPr>
        <w:rPr>
          <w:noProof/>
          <w:lang w:val="lv-LV"/>
        </w:rPr>
      </w:pPr>
      <w:r w:rsidRPr="00074F53">
        <w:rPr>
          <w:noProof/>
          <w:lang w:val="lv-LV"/>
        </w:rPr>
        <w:t>Paziņojiet par visiem projektiem, kas turpināti pēc 2021. gada 1. janvāra un kas atlasīti un sākti saskaņā ar Eiropas Parlamenta un Padomes Regulu (ES) Nr. 513/2014</w:t>
      </w:r>
      <w:r w:rsidRPr="00074F53">
        <w:rPr>
          <w:rStyle w:val="FootnoteReference"/>
          <w:noProof/>
          <w:lang w:val="lv-LV"/>
        </w:rPr>
        <w:footnoteReference w:id="18"/>
      </w:r>
      <w:r w:rsidRPr="00074F53">
        <w:rPr>
          <w:noProof/>
          <w:lang w:val="lv-LV"/>
        </w:rPr>
        <w:t>, ievērojot Eiropas Parlamenta un Padomes Regulu (ES) Nr. 514/2014</w:t>
      </w:r>
      <w:r w:rsidRPr="00074F53">
        <w:rPr>
          <w:rStyle w:val="FootnoteReference"/>
          <w:noProof/>
          <w:lang w:val="lv-LV"/>
        </w:rPr>
        <w:footnoteReference w:id="19"/>
      </w:r>
      <w:r w:rsidRPr="00074F53">
        <w:rPr>
          <w:noProof/>
          <w:lang w:val="lv-LV"/>
        </w:rPr>
        <w:t>.</w:t>
      </w:r>
    </w:p>
    <w:tbl>
      <w:tblPr>
        <w:tblStyle w:val="TableGrid"/>
        <w:tblW w:w="0" w:type="auto"/>
        <w:tblLook w:val="04A0" w:firstRow="1" w:lastRow="0" w:firstColumn="1" w:lastColumn="0" w:noHBand="0" w:noVBand="1"/>
      </w:tblPr>
      <w:tblGrid>
        <w:gridCol w:w="9063"/>
      </w:tblGrid>
      <w:tr w:rsidR="003A3A17" w:rsidRPr="002A2E2F" w14:paraId="03C77697" w14:textId="77777777" w:rsidTr="00E45665">
        <w:tc>
          <w:tcPr>
            <w:tcW w:w="9289" w:type="dxa"/>
          </w:tcPr>
          <w:p w14:paraId="221EAB91" w14:textId="77777777" w:rsidR="002C0831" w:rsidRDefault="00544E72" w:rsidP="007A1EA7">
            <w:pPr>
              <w:pStyle w:val="Personnequisigne"/>
              <w:rPr>
                <w:noProof/>
                <w:lang w:val="lv-LV"/>
              </w:rPr>
            </w:pPr>
            <w:r w:rsidRPr="00074F53">
              <w:rPr>
                <w:noProof/>
                <w:lang w:val="lv-LV"/>
              </w:rPr>
              <w:t>Šeit ierakstiet tekstu. Ne vairāk kā 4000 rakstzīmes.</w:t>
            </w:r>
          </w:p>
          <w:p w14:paraId="0A91506F" w14:textId="1157ACFC" w:rsidR="00691C5C" w:rsidRPr="00691C5C" w:rsidRDefault="00691C5C" w:rsidP="00691C5C">
            <w:pPr>
              <w:pStyle w:val="Institutionquisigne"/>
              <w:spacing w:before="0"/>
              <w:rPr>
                <w:i w:val="0"/>
                <w:lang w:val="lv-LV"/>
              </w:rPr>
            </w:pPr>
            <w:r w:rsidRPr="00691C5C">
              <w:rPr>
                <w:i w:val="0"/>
                <w:lang w:val="lv-LV"/>
              </w:rPr>
              <w:t>Nav attiecināms.</w:t>
            </w:r>
          </w:p>
        </w:tc>
      </w:tr>
    </w:tbl>
    <w:p w14:paraId="161D29AE" w14:textId="3288E49E" w:rsidR="006A41E2" w:rsidRPr="00074F53" w:rsidRDefault="00B32C89" w:rsidP="00B32C89">
      <w:pPr>
        <w:pStyle w:val="ManualHeading1"/>
        <w:rPr>
          <w:noProof/>
          <w:lang w:val="lv-LV"/>
        </w:rPr>
      </w:pPr>
      <w:r w:rsidRPr="00074F53">
        <w:rPr>
          <w:lang w:val="lv-LV"/>
        </w:rPr>
        <w:t>2.</w:t>
      </w:r>
      <w:r w:rsidRPr="00074F53">
        <w:rPr>
          <w:lang w:val="lv-LV"/>
        </w:rPr>
        <w:tab/>
      </w:r>
      <w:r w:rsidR="006A41E2" w:rsidRPr="00074F53">
        <w:rPr>
          <w:noProof/>
          <w:lang w:val="lv-LV"/>
        </w:rPr>
        <w:t xml:space="preserve">Papildināmība </w:t>
      </w:r>
    </w:p>
    <w:p w14:paraId="77D4B77C" w14:textId="61591BB5" w:rsidR="006A41E2" w:rsidRPr="00074F53" w:rsidRDefault="00B32C89" w:rsidP="00B32C89">
      <w:pPr>
        <w:pStyle w:val="ManualHeading2"/>
        <w:rPr>
          <w:noProof/>
          <w:lang w:val="lv-LV"/>
        </w:rPr>
      </w:pPr>
      <w:r w:rsidRPr="00074F53">
        <w:rPr>
          <w:lang w:val="lv-LV"/>
        </w:rPr>
        <w:t>2.1.</w:t>
      </w:r>
      <w:r w:rsidRPr="00074F53">
        <w:rPr>
          <w:lang w:val="lv-LV"/>
        </w:rPr>
        <w:tab/>
      </w:r>
      <w:r w:rsidR="006A41E2" w:rsidRPr="00074F53">
        <w:rPr>
          <w:noProof/>
          <w:lang w:val="lv-LV"/>
        </w:rPr>
        <w:t>Papildināmība ar citiem Savienības fondiem – Regulas (ES) 2021/1149 30. panta 2. punkta c) apakšpunkts</w:t>
      </w:r>
    </w:p>
    <w:p w14:paraId="36900C3E" w14:textId="615E1980" w:rsidR="004630E2" w:rsidRPr="00074F53" w:rsidRDefault="0060652B" w:rsidP="006A41E2">
      <w:pPr>
        <w:rPr>
          <w:noProof/>
          <w:lang w:val="lv-LV"/>
        </w:rPr>
      </w:pPr>
      <w:r w:rsidRPr="00074F53">
        <w:rPr>
          <w:noProof/>
          <w:lang w:val="lv-LV"/>
        </w:rPr>
        <w:t>Aprakstiet papildināmību un attiecīgā gadījumā sinerģiju starp darbībām, kas atbalstītas no fonda, un atbalstu, ko sniedz no citiem Savienības fondiem drošības jomā, piemēram, no:</w:t>
      </w:r>
    </w:p>
    <w:p w14:paraId="4F326FE1" w14:textId="77777777" w:rsidR="004630E2" w:rsidRPr="00074F53" w:rsidRDefault="006A41E2" w:rsidP="00912E10">
      <w:pPr>
        <w:pStyle w:val="Tiret0"/>
        <w:numPr>
          <w:ilvl w:val="0"/>
          <w:numId w:val="9"/>
        </w:numPr>
        <w:rPr>
          <w:noProof/>
          <w:lang w:val="lv-LV"/>
        </w:rPr>
      </w:pPr>
      <w:r w:rsidRPr="00074F53">
        <w:rPr>
          <w:noProof/>
          <w:lang w:val="lv-LV"/>
        </w:rPr>
        <w:t>Patvēruma, migrācijas un integrācijas fonda (</w:t>
      </w:r>
      <w:r w:rsidRPr="00074F53">
        <w:rPr>
          <w:i/>
          <w:noProof/>
          <w:lang w:val="lv-LV"/>
        </w:rPr>
        <w:t>AMIF</w:t>
      </w:r>
      <w:r w:rsidRPr="00074F53">
        <w:rPr>
          <w:noProof/>
          <w:lang w:val="lv-LV"/>
        </w:rPr>
        <w:t>) un Integrētās robežu pārvaldības fonda (</w:t>
      </w:r>
      <w:r w:rsidRPr="00074F53">
        <w:rPr>
          <w:i/>
          <w:noProof/>
          <w:lang w:val="lv-LV"/>
        </w:rPr>
        <w:t>IBMF</w:t>
      </w:r>
      <w:r w:rsidRPr="00074F53">
        <w:rPr>
          <w:noProof/>
          <w:lang w:val="lv-LV"/>
        </w:rPr>
        <w:t>), tai skaitā Robežu pārvaldības un vīzu instrumenta (</w:t>
      </w:r>
      <w:r w:rsidRPr="00074F53">
        <w:rPr>
          <w:i/>
          <w:noProof/>
          <w:lang w:val="lv-LV"/>
        </w:rPr>
        <w:t>BMVI</w:t>
      </w:r>
      <w:r w:rsidRPr="00074F53">
        <w:rPr>
          <w:noProof/>
          <w:lang w:val="lv-LV"/>
        </w:rPr>
        <w:t>) un finansiālā atbalsta instrumenta muitas kontroles iekārtām,</w:t>
      </w:r>
    </w:p>
    <w:p w14:paraId="5CFADDE8" w14:textId="77777777" w:rsidR="004630E2" w:rsidRPr="00074F53" w:rsidRDefault="006A41E2" w:rsidP="00912E10">
      <w:pPr>
        <w:pStyle w:val="Tiret0"/>
        <w:numPr>
          <w:ilvl w:val="0"/>
          <w:numId w:val="9"/>
        </w:numPr>
        <w:rPr>
          <w:noProof/>
          <w:lang w:val="lv-LV"/>
        </w:rPr>
      </w:pPr>
      <w:r w:rsidRPr="00074F53">
        <w:rPr>
          <w:noProof/>
          <w:lang w:val="lv-LV"/>
        </w:rPr>
        <w:t>kohēzijas fondiem, jo īpaši Eiropas Reģionālās attīstības fonda (ERAF),</w:t>
      </w:r>
    </w:p>
    <w:p w14:paraId="1F1FFEF3" w14:textId="77777777" w:rsidR="004630E2" w:rsidRPr="00074F53" w:rsidRDefault="006A41E2" w:rsidP="00912E10">
      <w:pPr>
        <w:pStyle w:val="Tiret0"/>
        <w:numPr>
          <w:ilvl w:val="0"/>
          <w:numId w:val="9"/>
        </w:numPr>
        <w:rPr>
          <w:noProof/>
          <w:lang w:val="lv-LV"/>
        </w:rPr>
      </w:pPr>
      <w:r w:rsidRPr="00074F53">
        <w:rPr>
          <w:noProof/>
          <w:lang w:val="lv-LV"/>
        </w:rPr>
        <w:t>pamatprogrammas “Apvārsnis Eiropa” drošības pētniecības daļas,</w:t>
      </w:r>
    </w:p>
    <w:p w14:paraId="298478CF" w14:textId="77777777" w:rsidR="004630E2" w:rsidRPr="00074F53" w:rsidRDefault="006A41E2" w:rsidP="00912E10">
      <w:pPr>
        <w:pStyle w:val="Tiret0"/>
        <w:numPr>
          <w:ilvl w:val="0"/>
          <w:numId w:val="9"/>
        </w:numPr>
        <w:rPr>
          <w:noProof/>
          <w:lang w:val="lv-LV"/>
        </w:rPr>
      </w:pPr>
      <w:r w:rsidRPr="00074F53">
        <w:rPr>
          <w:noProof/>
          <w:lang w:val="lv-LV"/>
        </w:rPr>
        <w:t>programmas “Pilsoņi, vienlīdzība, tiesības un vērtības” un programmas “Tiesiskums”,</w:t>
      </w:r>
    </w:p>
    <w:p w14:paraId="5A1B7071" w14:textId="77777777" w:rsidR="004630E2" w:rsidRPr="00074F53" w:rsidRDefault="006A41E2" w:rsidP="00912E10">
      <w:pPr>
        <w:pStyle w:val="Tiret0"/>
        <w:numPr>
          <w:ilvl w:val="0"/>
          <w:numId w:val="9"/>
        </w:numPr>
        <w:rPr>
          <w:noProof/>
          <w:lang w:val="lv-LV"/>
        </w:rPr>
      </w:pPr>
      <w:r w:rsidRPr="00074F53">
        <w:rPr>
          <w:noProof/>
          <w:lang w:val="lv-LV"/>
        </w:rPr>
        <w:t>programmas “Digitālā Eiropa”,</w:t>
      </w:r>
    </w:p>
    <w:p w14:paraId="69B597AF" w14:textId="77777777" w:rsidR="004630E2" w:rsidRPr="00074F53" w:rsidRDefault="006A41E2" w:rsidP="00912E10">
      <w:pPr>
        <w:pStyle w:val="Tiret0"/>
        <w:numPr>
          <w:ilvl w:val="0"/>
          <w:numId w:val="9"/>
        </w:numPr>
        <w:rPr>
          <w:noProof/>
          <w:lang w:val="lv-LV"/>
        </w:rPr>
      </w:pPr>
      <w:r w:rsidRPr="00074F53">
        <w:rPr>
          <w:noProof/>
          <w:lang w:val="lv-LV"/>
        </w:rPr>
        <w:t xml:space="preserve">programmas </w:t>
      </w:r>
      <w:r w:rsidRPr="00074F53">
        <w:rPr>
          <w:i/>
          <w:noProof/>
          <w:lang w:val="lv-LV"/>
        </w:rPr>
        <w:t>InvestEU</w:t>
      </w:r>
      <w:r w:rsidRPr="00074F53">
        <w:rPr>
          <w:noProof/>
          <w:lang w:val="lv-LV"/>
        </w:rPr>
        <w:t>,</w:t>
      </w:r>
    </w:p>
    <w:p w14:paraId="7688FF58" w14:textId="77777777" w:rsidR="004630E2" w:rsidRPr="00074F53" w:rsidRDefault="006A41E2" w:rsidP="00912E10">
      <w:pPr>
        <w:pStyle w:val="Tiret0"/>
        <w:numPr>
          <w:ilvl w:val="0"/>
          <w:numId w:val="9"/>
        </w:numPr>
        <w:rPr>
          <w:noProof/>
          <w:lang w:val="lv-LV"/>
        </w:rPr>
      </w:pPr>
      <w:r w:rsidRPr="00074F53">
        <w:rPr>
          <w:noProof/>
          <w:lang w:val="lv-LV"/>
        </w:rPr>
        <w:t>tehniskā atbalsta instrumenta,</w:t>
      </w:r>
    </w:p>
    <w:p w14:paraId="00B8CCF5" w14:textId="2AEE8C8C" w:rsidR="004630E2" w:rsidRPr="00074F53" w:rsidRDefault="006A41E2" w:rsidP="00912E10">
      <w:pPr>
        <w:pStyle w:val="Tiret0"/>
        <w:numPr>
          <w:ilvl w:val="0"/>
          <w:numId w:val="9"/>
        </w:numPr>
        <w:rPr>
          <w:noProof/>
          <w:lang w:val="lv-LV"/>
        </w:rPr>
      </w:pPr>
      <w:r w:rsidRPr="00074F53">
        <w:rPr>
          <w:i/>
          <w:iCs/>
          <w:noProof/>
          <w:lang w:val="lv-LV"/>
        </w:rPr>
        <w:t>rescEU</w:t>
      </w:r>
      <w:r w:rsidRPr="00074F53">
        <w:rPr>
          <w:noProof/>
          <w:lang w:val="lv-LV"/>
        </w:rPr>
        <w:t xml:space="preserve"> rezerves,</w:t>
      </w:r>
    </w:p>
    <w:p w14:paraId="4C9B7B64" w14:textId="77777777" w:rsidR="004630E2" w:rsidRPr="00074F53" w:rsidRDefault="004630E2" w:rsidP="00912E10">
      <w:pPr>
        <w:pStyle w:val="Tiret0"/>
        <w:numPr>
          <w:ilvl w:val="0"/>
          <w:numId w:val="9"/>
        </w:numPr>
        <w:rPr>
          <w:noProof/>
          <w:lang w:val="lv-LV"/>
        </w:rPr>
      </w:pPr>
      <w:r w:rsidRPr="00074F53">
        <w:rPr>
          <w:noProof/>
          <w:lang w:val="lv-LV"/>
        </w:rPr>
        <w:t>Kaimiņattiecību, attīstības sadarbības un starptautiskās sadarbības instrumenta (</w:t>
      </w:r>
      <w:r w:rsidRPr="00074F53">
        <w:rPr>
          <w:i/>
          <w:noProof/>
          <w:lang w:val="lv-LV"/>
        </w:rPr>
        <w:t>NDICI</w:t>
      </w:r>
      <w:r w:rsidRPr="00074F53">
        <w:rPr>
          <w:noProof/>
          <w:lang w:val="lv-LV"/>
        </w:rPr>
        <w:t>) – “Eiropa pasaulē” un</w:t>
      </w:r>
    </w:p>
    <w:p w14:paraId="03D98180" w14:textId="77777777" w:rsidR="004630E2" w:rsidRPr="00074F53" w:rsidRDefault="004630E2" w:rsidP="00912E10">
      <w:pPr>
        <w:pStyle w:val="Tiret0"/>
        <w:numPr>
          <w:ilvl w:val="0"/>
          <w:numId w:val="9"/>
        </w:numPr>
        <w:rPr>
          <w:noProof/>
          <w:lang w:val="lv-LV"/>
        </w:rPr>
      </w:pPr>
      <w:r w:rsidRPr="00074F53">
        <w:rPr>
          <w:noProof/>
          <w:lang w:val="lv-LV"/>
        </w:rPr>
        <w:t>Pirmspievienošanās palīdzības instrumenta (</w:t>
      </w:r>
      <w:r w:rsidRPr="00074F53">
        <w:rPr>
          <w:i/>
          <w:iCs/>
          <w:noProof/>
          <w:lang w:val="lv-LV"/>
        </w:rPr>
        <w:t>IPA</w:t>
      </w:r>
      <w:r w:rsidRPr="00074F53">
        <w:rPr>
          <w:noProof/>
          <w:lang w:val="lv-LV"/>
        </w:rPr>
        <w:t xml:space="preserve">). </w:t>
      </w:r>
    </w:p>
    <w:p w14:paraId="66615CC6" w14:textId="77777777" w:rsidR="006A41E2" w:rsidRPr="00074F53" w:rsidRDefault="0060652B" w:rsidP="006A41E2">
      <w:pPr>
        <w:rPr>
          <w:noProof/>
          <w:lang w:val="lv-LV"/>
        </w:rPr>
      </w:pPr>
      <w:r w:rsidRPr="00074F53">
        <w:rPr>
          <w:noProof/>
          <w:lang w:val="lv-LV"/>
        </w:rPr>
        <w:t>Īpašu uzmanību pievērsiet:</w:t>
      </w:r>
    </w:p>
    <w:p w14:paraId="403109BF" w14:textId="41F50CEC" w:rsidR="006A41E2" w:rsidRPr="00074F53" w:rsidRDefault="007261C3" w:rsidP="007C6174">
      <w:pPr>
        <w:pStyle w:val="Tiret0"/>
        <w:numPr>
          <w:ilvl w:val="0"/>
          <w:numId w:val="11"/>
        </w:numPr>
        <w:rPr>
          <w:noProof/>
          <w:lang w:val="lv-LV"/>
        </w:rPr>
      </w:pPr>
      <w:r w:rsidRPr="00074F53">
        <w:rPr>
          <w:noProof/>
          <w:lang w:val="lv-LV"/>
        </w:rPr>
        <w:t>papildināmībai ar Savienības ārējās finansēšanas instrumentiem attiecībā uz darbībām, ko veic trešās valstīs vai saistībā ar tām (uzsveriet aspektus, kas atbilst Savienības ārpolitikas principiem un vispārējiem mērķiem), un</w:t>
      </w:r>
    </w:p>
    <w:p w14:paraId="344FBADB" w14:textId="617AE88D" w:rsidR="006A41E2" w:rsidRPr="00074F53" w:rsidRDefault="006A41E2" w:rsidP="007C6174">
      <w:pPr>
        <w:pStyle w:val="Tiret0"/>
        <w:numPr>
          <w:ilvl w:val="0"/>
          <w:numId w:val="11"/>
        </w:numPr>
        <w:rPr>
          <w:noProof/>
          <w:lang w:val="lv-LV"/>
        </w:rPr>
      </w:pPr>
      <w:r w:rsidRPr="00074F53">
        <w:rPr>
          <w:noProof/>
          <w:lang w:val="lv-LV"/>
        </w:rPr>
        <w:t xml:space="preserve">tādu veicinošu mehānismu izmantošanai kā organizatoriska un procesuāla kārtība, kas palīdz panākt papildināmību, un attiecīgā gadījumā sinerģijām, kā arī visām grāmatvedības </w:t>
      </w:r>
      <w:r w:rsidR="0059347E">
        <w:rPr>
          <w:noProof/>
          <w:lang w:val="lv-LV"/>
        </w:rPr>
        <w:t>perioda</w:t>
      </w:r>
      <w:r w:rsidRPr="00074F53">
        <w:rPr>
          <w:noProof/>
          <w:lang w:val="lv-LV"/>
        </w:rPr>
        <w:t xml:space="preserve"> laikā veiktajām darbībām ar nolūku tās uzlabot.</w:t>
      </w:r>
    </w:p>
    <w:p w14:paraId="4E19E95E" w14:textId="77777777" w:rsidR="00397A63" w:rsidRPr="00074F53" w:rsidRDefault="00397A63" w:rsidP="00397A63">
      <w:pPr>
        <w:rPr>
          <w:noProof/>
          <w:lang w:val="lv-LV"/>
        </w:rPr>
      </w:pPr>
      <w:r w:rsidRPr="00074F53">
        <w:rPr>
          <w:noProof/>
          <w:lang w:val="lv-LV"/>
        </w:rPr>
        <w:t>Attiecīgā gadījumā aprakstiet arī:</w:t>
      </w:r>
    </w:p>
    <w:p w14:paraId="531A8F5E" w14:textId="444006D0" w:rsidR="00397A63" w:rsidRPr="00074F53" w:rsidRDefault="00397A63" w:rsidP="007C6174">
      <w:pPr>
        <w:pStyle w:val="Tiret0"/>
        <w:numPr>
          <w:ilvl w:val="0"/>
          <w:numId w:val="11"/>
        </w:numPr>
        <w:rPr>
          <w:noProof/>
          <w:lang w:val="lv-LV"/>
        </w:rPr>
      </w:pPr>
      <w:r w:rsidRPr="00074F53">
        <w:rPr>
          <w:noProof/>
          <w:lang w:val="lv-LV"/>
        </w:rPr>
        <w:t>veikto aktivitāšu papildināmību no aģentūru sadarbības stiprināšanas aspekta</w:t>
      </w:r>
      <w:r w:rsidRPr="00074F53">
        <w:rPr>
          <w:rStyle w:val="FootnoteReference"/>
          <w:noProof/>
          <w:lang w:val="lv-LV"/>
        </w:rPr>
        <w:footnoteReference w:id="20"/>
      </w:r>
      <w:r w:rsidRPr="00074F53">
        <w:rPr>
          <w:noProof/>
          <w:lang w:val="lv-LV"/>
        </w:rPr>
        <w:t>;</w:t>
      </w:r>
    </w:p>
    <w:p w14:paraId="15E13FE3" w14:textId="7C502C23" w:rsidR="00397A63" w:rsidRPr="00074F53" w:rsidRDefault="00397A63" w:rsidP="007C6174">
      <w:pPr>
        <w:pStyle w:val="Tiret0"/>
        <w:numPr>
          <w:ilvl w:val="0"/>
          <w:numId w:val="11"/>
        </w:numPr>
        <w:rPr>
          <w:noProof/>
          <w:lang w:val="lv-LV"/>
        </w:rPr>
      </w:pPr>
      <w:r w:rsidRPr="00074F53">
        <w:rPr>
          <w:noProof/>
          <w:lang w:val="lv-LV"/>
        </w:rPr>
        <w:t>sinerģijas attiecībā uz infrastruktūras un publiskās telpas drošību, kiberdrošību, cietušo aizsardzību un radikalizācijas novēršanu.</w:t>
      </w:r>
    </w:p>
    <w:tbl>
      <w:tblPr>
        <w:tblStyle w:val="TableGrid"/>
        <w:tblW w:w="0" w:type="auto"/>
        <w:tblLook w:val="04A0" w:firstRow="1" w:lastRow="0" w:firstColumn="1" w:lastColumn="0" w:noHBand="0" w:noVBand="1"/>
      </w:tblPr>
      <w:tblGrid>
        <w:gridCol w:w="9063"/>
      </w:tblGrid>
      <w:tr w:rsidR="003A3A17" w:rsidRPr="001501F7" w14:paraId="74C71D55" w14:textId="77777777" w:rsidTr="00E45665">
        <w:tc>
          <w:tcPr>
            <w:tcW w:w="9289" w:type="dxa"/>
          </w:tcPr>
          <w:p w14:paraId="416C09E5" w14:textId="77777777" w:rsidR="001C1F05" w:rsidRPr="00074F53" w:rsidRDefault="00544E72" w:rsidP="00B06517">
            <w:pPr>
              <w:rPr>
                <w:noProof/>
                <w:lang w:val="lv-LV"/>
              </w:rPr>
            </w:pPr>
            <w:r w:rsidRPr="00074F53">
              <w:rPr>
                <w:i/>
                <w:noProof/>
                <w:lang w:val="lv-LV"/>
              </w:rPr>
              <w:t>Šeit ierakstiet tekstu. Ne vairāk kā 6000 rakstzīmes</w:t>
            </w:r>
            <w:r w:rsidRPr="00074F53">
              <w:rPr>
                <w:noProof/>
                <w:lang w:val="lv-LV"/>
              </w:rPr>
              <w:t>.</w:t>
            </w:r>
          </w:p>
          <w:p w14:paraId="4DE68AF6" w14:textId="1D07705E" w:rsidR="0093257C" w:rsidRPr="00D74E7A" w:rsidRDefault="0093257C" w:rsidP="0093257C">
            <w:pPr>
              <w:pStyle w:val="Personnequisigne"/>
              <w:spacing w:before="240"/>
              <w:ind w:firstLine="884"/>
              <w:jc w:val="both"/>
              <w:rPr>
                <w:lang w:val="lv-LV"/>
              </w:rPr>
            </w:pPr>
            <w:r w:rsidRPr="00D74E7A">
              <w:rPr>
                <w:i w:val="0"/>
                <w:lang w:val="lv-LV"/>
              </w:rPr>
              <w:lastRenderedPageBreak/>
              <w:t>Papildināmību ar citiem ES fondiem uzraug</w:t>
            </w:r>
            <w:r>
              <w:rPr>
                <w:i w:val="0"/>
                <w:lang w:val="lv-LV"/>
              </w:rPr>
              <w:t xml:space="preserve">a UK, </w:t>
            </w:r>
            <w:r w:rsidRPr="00D74E7A">
              <w:rPr>
                <w:i w:val="0"/>
                <w:lang w:val="lv-LV"/>
              </w:rPr>
              <w:t>kā arī vadošās iestādes izveidotā Projektu uzraudzības padome.</w:t>
            </w:r>
          </w:p>
          <w:p w14:paraId="206DD59D" w14:textId="209936B6" w:rsidR="0093257C" w:rsidRPr="00D74E7A" w:rsidRDefault="0093257C" w:rsidP="0093257C">
            <w:pPr>
              <w:pStyle w:val="NormalWeb"/>
              <w:spacing w:before="0" w:beforeAutospacing="0" w:after="0" w:afterAutospacing="0"/>
              <w:ind w:firstLine="851"/>
              <w:jc w:val="both"/>
              <w:rPr>
                <w:szCs w:val="22"/>
                <w:lang w:val="lv-LV"/>
              </w:rPr>
            </w:pPr>
            <w:r w:rsidRPr="00D74E7A">
              <w:rPr>
                <w:noProof/>
                <w:szCs w:val="22"/>
                <w:lang w:val="lv-LV"/>
              </w:rPr>
              <w:t xml:space="preserve">Pamatojoties uz Iekšlietu ministrijas </w:t>
            </w:r>
            <w:r w:rsidR="002A2E2F" w:rsidRPr="00074F53">
              <w:rPr>
                <w:lang w:val="lv-LV"/>
              </w:rPr>
              <w:t>2025. gada 8. august</w:t>
            </w:r>
            <w:r w:rsidR="002A2E2F">
              <w:rPr>
                <w:lang w:val="lv-LV"/>
              </w:rPr>
              <w:t>a</w:t>
            </w:r>
            <w:r w:rsidR="002A2E2F" w:rsidRPr="00D74E7A">
              <w:rPr>
                <w:noProof/>
                <w:szCs w:val="22"/>
                <w:lang w:val="lv-LV"/>
              </w:rPr>
              <w:t xml:space="preserve"> </w:t>
            </w:r>
            <w:r w:rsidRPr="00D74E7A">
              <w:rPr>
                <w:noProof/>
                <w:szCs w:val="22"/>
                <w:lang w:val="lv-LV"/>
              </w:rPr>
              <w:t xml:space="preserve">rīkojumu </w:t>
            </w:r>
            <w:r w:rsidR="002C7AFB" w:rsidRPr="002C7AFB">
              <w:rPr>
                <w:noProof/>
                <w:szCs w:val="22"/>
                <w:lang w:val="lv-LV"/>
              </w:rPr>
              <w:t>1-2/989/25</w:t>
            </w:r>
            <w:r w:rsidRPr="00D74E7A">
              <w:rPr>
                <w:noProof/>
                <w:szCs w:val="22"/>
                <w:lang w:val="lv-LV"/>
              </w:rPr>
              <w:t xml:space="preserve">, IDF 2021.-2027. gada plānošanas perioda </w:t>
            </w:r>
            <w:r>
              <w:rPr>
                <w:noProof/>
                <w:szCs w:val="22"/>
                <w:lang w:val="lv-LV"/>
              </w:rPr>
              <w:t>UK</w:t>
            </w:r>
            <w:r w:rsidRPr="00D74E7A">
              <w:rPr>
                <w:noProof/>
                <w:szCs w:val="22"/>
                <w:lang w:val="lv-LV"/>
              </w:rPr>
              <w:t xml:space="preserve"> sastāvā ir iekļauts </w:t>
            </w:r>
            <w:r>
              <w:rPr>
                <w:noProof/>
                <w:szCs w:val="22"/>
                <w:lang w:val="lv-LV"/>
              </w:rPr>
              <w:t>UK</w:t>
            </w:r>
            <w:r w:rsidRPr="00D74E7A">
              <w:rPr>
                <w:noProof/>
                <w:szCs w:val="22"/>
                <w:lang w:val="lv-LV"/>
              </w:rPr>
              <w:t xml:space="preserve"> loceklis ar balsstiesībām no Finanšu ministrijas </w:t>
            </w:r>
            <w:r>
              <w:rPr>
                <w:noProof/>
                <w:szCs w:val="22"/>
                <w:lang w:val="lv-LV"/>
              </w:rPr>
              <w:t>ES</w:t>
            </w:r>
            <w:r w:rsidRPr="00D74E7A">
              <w:rPr>
                <w:noProof/>
                <w:szCs w:val="22"/>
                <w:lang w:val="lv-LV"/>
              </w:rPr>
              <w:t xml:space="preserve"> fondu Stratēģijas departamenta Izvērtēšanas nodaļas, kas </w:t>
            </w:r>
            <w:r>
              <w:rPr>
                <w:noProof/>
                <w:szCs w:val="22"/>
                <w:lang w:val="lv-LV"/>
              </w:rPr>
              <w:t>UK</w:t>
            </w:r>
            <w:r w:rsidRPr="00D74E7A">
              <w:rPr>
                <w:noProof/>
                <w:szCs w:val="22"/>
                <w:lang w:val="lv-LV"/>
              </w:rPr>
              <w:t xml:space="preserve"> lēmuma saskaņošanas laikā sniedz savu viedokli un nodrošina demarkāciju ar citiem finanšu instrumentiem savas kompetences ietvaros.</w:t>
            </w:r>
          </w:p>
          <w:p w14:paraId="4FC75DBC" w14:textId="77777777" w:rsidR="0093257C" w:rsidRPr="00D74E7A" w:rsidRDefault="0093257C" w:rsidP="0093257C">
            <w:pPr>
              <w:ind w:firstLine="851"/>
              <w:rPr>
                <w:lang w:val="lv-LV"/>
              </w:rPr>
            </w:pPr>
            <w:bookmarkStart w:id="16" w:name="_Hlk221198318"/>
            <w:r w:rsidRPr="00D74E7A">
              <w:rPr>
                <w:lang w:val="lv-LV"/>
              </w:rPr>
              <w:t>IDF programmas 1. konkrētā mērķa – informācijas aprites un apmaiņas starp kompetentajām iestādēm kontekstā ir papildināmība ar Latvijas Atveseļošanās un noturības mehānisma plānu, kur 6. komponentes “Likuma vara” 6.2.1.r. reformas “Noziedzīgi iegūtu līdzekļu legalizācijas identificēšanas, ekonomisko noziegumu izmeklēšanas un tiesvedības procesu modernizācija” ietvaros plānota 6.2.1.1.i. investīcija “AML inovāciju centra izveide noziedzīgi iegūtu līdzekļu legalizācijas identificēšanas uzlabošanai”, kur cita starpā tiks veicināta informācijas apmaiņa starp iestādēm un kuras rezultātā tiks nodrošināts elektroniski kriminālizmeklēšanai nodoto finanšu un ekonomisko noziegumu lietu apjoma pieauguma īpatsvars no 0% līdz 100%, kas nozīmē noziedzīgi iegūtu līdzekļu legalizācijas identificēšanas uzlabošanu, īstenojot uz datu analīzē un tipoloģijās balstītu nepārtrauktu zināšanu pārnesi no pētniecības uz finanšu izlūkošanu drošās publiskās-privātas partnerības platformas ietvaros.</w:t>
            </w:r>
          </w:p>
          <w:p w14:paraId="2E63D7E7" w14:textId="77777777" w:rsidR="0093257C" w:rsidRPr="00D74E7A" w:rsidRDefault="0093257C" w:rsidP="0093257C">
            <w:pPr>
              <w:ind w:firstLine="851"/>
              <w:rPr>
                <w:lang w:val="lv-LV"/>
              </w:rPr>
            </w:pPr>
            <w:r w:rsidRPr="00D74E7A">
              <w:rPr>
                <w:lang w:val="lv-LV"/>
              </w:rPr>
              <w:t xml:space="preserve">IDF programmas 3. konkrētā mērķa ietvaros plānotās investīcijas tiesībaizsardzības augstākās izglītības attīstībā (Iekšējās drošības akadēmija) papildinās Eiropas Reģionālās attīstības fonda 4.2.1.6. pasākums, kurā plānots izveidot fiziskās sagatavotības poligonu – Valsts policijas koledžas, kas ir daļa no Iekšējās drošības akadēmijas konsorcija, fiziskās sagatavotības objektu pārbūve, lai nodrošinātu tiesībaizsardzības izglītības programmu pilnvērtīgāku īstenošanu, kvalitatīvu vispārējo fizisko normatīvu pieņemšanu topošajām </w:t>
            </w:r>
            <w:r>
              <w:rPr>
                <w:lang w:val="lv-LV"/>
              </w:rPr>
              <w:t>VP</w:t>
            </w:r>
            <w:r w:rsidRPr="00D74E7A">
              <w:rPr>
                <w:lang w:val="lv-LV"/>
              </w:rPr>
              <w:t xml:space="preserve"> amatpersonām un treniņus esošajām </w:t>
            </w:r>
            <w:r>
              <w:rPr>
                <w:lang w:val="lv-LV"/>
              </w:rPr>
              <w:t>VP</w:t>
            </w:r>
            <w:r w:rsidRPr="00D74E7A">
              <w:rPr>
                <w:lang w:val="lv-LV"/>
              </w:rPr>
              <w:t xml:space="preserve"> amatpersonām.</w:t>
            </w:r>
          </w:p>
          <w:bookmarkEnd w:id="16"/>
          <w:p w14:paraId="71C02E8F" w14:textId="3FCE65E5" w:rsidR="0093257C" w:rsidRPr="00074F53" w:rsidRDefault="0093257C" w:rsidP="0093257C">
            <w:pPr>
              <w:rPr>
                <w:noProof/>
                <w:lang w:val="lv-LV"/>
              </w:rPr>
            </w:pPr>
          </w:p>
        </w:tc>
      </w:tr>
    </w:tbl>
    <w:p w14:paraId="15BD299D" w14:textId="52174258" w:rsidR="008671BE" w:rsidRPr="00074F53" w:rsidRDefault="00B32C89" w:rsidP="00B32C89">
      <w:pPr>
        <w:pStyle w:val="ManualHeading2"/>
        <w:rPr>
          <w:noProof/>
          <w:lang w:val="lv-LV"/>
        </w:rPr>
      </w:pPr>
      <w:r w:rsidRPr="00074F53">
        <w:rPr>
          <w:lang w:val="lv-LV"/>
        </w:rPr>
        <w:lastRenderedPageBreak/>
        <w:t>2.2.</w:t>
      </w:r>
      <w:r w:rsidRPr="00074F53">
        <w:rPr>
          <w:lang w:val="lv-LV"/>
        </w:rPr>
        <w:tab/>
      </w:r>
      <w:r w:rsidR="008671BE" w:rsidRPr="00074F53">
        <w:rPr>
          <w:noProof/>
          <w:lang w:val="lv-LV"/>
        </w:rPr>
        <w:t xml:space="preserve">Daudzfunkcionāls aprīkojums un IKT iekārtas – Regulas (ES) 2021/1149 5. panta 4. punkts. </w:t>
      </w:r>
    </w:p>
    <w:p w14:paraId="14F21686" w14:textId="77777777" w:rsidR="008671BE" w:rsidRPr="00074F53" w:rsidRDefault="00621FCD" w:rsidP="008671BE">
      <w:pPr>
        <w:rPr>
          <w:noProof/>
          <w:lang w:val="lv-LV"/>
        </w:rPr>
      </w:pPr>
      <w:r w:rsidRPr="00074F53">
        <w:rPr>
          <w:noProof/>
          <w:lang w:val="lv-LV"/>
        </w:rPr>
        <w:t xml:space="preserve">Īsi aprakstiet attiecīgās operācijas, kuras saistītas ar aprīkojumu un IKT sistēmām, kas iegādāti programmā un daļēji izmantoti papildu jomā, uz kuru attiecas Regula (ES) 2021/1148, nolūkā sasniegt finansiāla atbalsta instrumenta robežu pārvaldībai un vīzu politikai mērķus. Norādiet vietu vai vietas, kur tika izvietots daudzfunkcionālais aprīkojums un IKT sistēmas. </w:t>
      </w:r>
    </w:p>
    <w:p w14:paraId="2656C5C8" w14:textId="04F6EEF9" w:rsidR="008671BE" w:rsidRPr="00074F53" w:rsidRDefault="00DF1E54" w:rsidP="008671BE">
      <w:pPr>
        <w:rPr>
          <w:noProof/>
          <w:lang w:val="lv-LV"/>
        </w:rPr>
      </w:pPr>
      <w:r w:rsidRPr="00074F53">
        <w:rPr>
          <w:noProof/>
          <w:lang w:val="lv-LV"/>
        </w:rPr>
        <w:t>Attiecībā uz aprīkojumu sniedziet arī informāciju par laikposmu, kad to izmantoja finansiāla atbalsta instrumenta</w:t>
      </w:r>
      <w:r w:rsidR="003A3A17" w:rsidRPr="00074F53">
        <w:rPr>
          <w:noProof/>
          <w:lang w:val="lv-LV"/>
        </w:rPr>
        <w:t xml:space="preserve"> </w:t>
      </w:r>
      <w:r w:rsidRPr="00074F53">
        <w:rPr>
          <w:noProof/>
          <w:lang w:val="lv-LV"/>
        </w:rPr>
        <w:t xml:space="preserve">robežu pārvaldībai un vīzu politikai papildu jomās. </w:t>
      </w:r>
    </w:p>
    <w:tbl>
      <w:tblPr>
        <w:tblStyle w:val="TableGrid"/>
        <w:tblW w:w="0" w:type="auto"/>
        <w:tblLook w:val="04A0" w:firstRow="1" w:lastRow="0" w:firstColumn="1" w:lastColumn="0" w:noHBand="0" w:noVBand="1"/>
      </w:tblPr>
      <w:tblGrid>
        <w:gridCol w:w="9063"/>
      </w:tblGrid>
      <w:tr w:rsidR="003A3A17" w:rsidRPr="001501F7" w14:paraId="78B998D3" w14:textId="77777777" w:rsidTr="0059250C">
        <w:tc>
          <w:tcPr>
            <w:tcW w:w="9289" w:type="dxa"/>
          </w:tcPr>
          <w:p w14:paraId="68252CBA" w14:textId="77777777" w:rsidR="008671BE" w:rsidRPr="00074F53" w:rsidRDefault="000D1693" w:rsidP="009E5C5D">
            <w:pPr>
              <w:pStyle w:val="Personnequisigne"/>
              <w:rPr>
                <w:noProof/>
                <w:lang w:val="lv-LV"/>
              </w:rPr>
            </w:pPr>
            <w:r w:rsidRPr="00074F53">
              <w:rPr>
                <w:noProof/>
                <w:lang w:val="lv-LV"/>
              </w:rPr>
              <w:t>Šeit ierakstiet tekstu. Ne vairāk kā 3000 rakstzīmes.</w:t>
            </w:r>
          </w:p>
          <w:p w14:paraId="69EE5ED9" w14:textId="4725A791" w:rsidR="00624528" w:rsidRPr="00074F53" w:rsidRDefault="0059347E" w:rsidP="002C0831">
            <w:pPr>
              <w:pStyle w:val="Institutionquisigne"/>
              <w:spacing w:before="120"/>
              <w:ind w:firstLine="709"/>
              <w:rPr>
                <w:lang w:val="lv-LV"/>
              </w:rPr>
            </w:pPr>
            <w:r w:rsidRPr="00D74E7A">
              <w:rPr>
                <w:i w:val="0"/>
                <w:lang w:val="lv-LV"/>
              </w:rPr>
              <w:t xml:space="preserve">Grāmatvedības </w:t>
            </w:r>
            <w:r>
              <w:rPr>
                <w:i w:val="0"/>
                <w:lang w:val="lv-LV"/>
              </w:rPr>
              <w:t>perioda</w:t>
            </w:r>
            <w:r w:rsidRPr="00D74E7A">
              <w:rPr>
                <w:i w:val="0"/>
                <w:lang w:val="lv-LV"/>
              </w:rPr>
              <w:t xml:space="preserve"> laikā nav īstenotas operācijas, kas saistītas ar aprīkojumu un IKT sistēmām, kas iegādāti programmā un kas daļēji izmantoti papildu jomā, uz kuru attiecas Regula (ES) 2021/1148, nolūkā sasniegt finansiāla atbalsta instrumenta robežu pārvaldībai un vīzu politikai mērķus.</w:t>
            </w:r>
          </w:p>
        </w:tc>
      </w:tr>
    </w:tbl>
    <w:p w14:paraId="0328C95F" w14:textId="4C5251B8" w:rsidR="006A41E2" w:rsidRPr="00074F53" w:rsidRDefault="00BC294D" w:rsidP="00BC294D">
      <w:pPr>
        <w:rPr>
          <w:noProof/>
          <w:lang w:val="lv-LV"/>
        </w:rPr>
      </w:pPr>
      <w:r w:rsidRPr="00074F53">
        <w:rPr>
          <w:noProof/>
          <w:lang w:val="lv-LV"/>
        </w:rPr>
        <w:t>Par Savienības informācijas sistēmu, ko finansē saskaņā ar Regulu (ES) 2021/1149 un kas noder arī Regulas (ES) 2021/1148 mērķiem (daudzfunkcionalitāte) vai aktivitātēm, kuras jāveic saskaņā ar ES sadarbspējas juridisko satvaru</w:t>
      </w:r>
      <w:r w:rsidRPr="00074F53">
        <w:rPr>
          <w:rStyle w:val="FootnoteReference"/>
          <w:noProof/>
          <w:lang w:val="lv-LV"/>
        </w:rPr>
        <w:footnoteReference w:id="21"/>
      </w:r>
      <w:r w:rsidRPr="00074F53">
        <w:rPr>
          <w:noProof/>
          <w:lang w:val="lv-LV"/>
        </w:rPr>
        <w:t xml:space="preserve">, aizpildiet zemāk redzamo tabulu. </w:t>
      </w:r>
    </w:p>
    <w:tbl>
      <w:tblPr>
        <w:tblStyle w:val="TableGrid"/>
        <w:tblW w:w="9289" w:type="dxa"/>
        <w:tblLayout w:type="fixed"/>
        <w:tblCellMar>
          <w:left w:w="28" w:type="dxa"/>
          <w:right w:w="28" w:type="dxa"/>
        </w:tblCellMar>
        <w:tblLook w:val="04A0" w:firstRow="1" w:lastRow="0" w:firstColumn="1" w:lastColumn="0" w:noHBand="0" w:noVBand="1"/>
      </w:tblPr>
      <w:tblGrid>
        <w:gridCol w:w="879"/>
        <w:gridCol w:w="1072"/>
        <w:gridCol w:w="1338"/>
        <w:gridCol w:w="1275"/>
        <w:gridCol w:w="1356"/>
        <w:gridCol w:w="992"/>
        <w:gridCol w:w="1134"/>
        <w:gridCol w:w="1243"/>
      </w:tblGrid>
      <w:tr w:rsidR="003A3A17" w:rsidRPr="00074F53" w14:paraId="09E0328A" w14:textId="77777777" w:rsidTr="0060652B">
        <w:trPr>
          <w:trHeight w:val="688"/>
        </w:trPr>
        <w:tc>
          <w:tcPr>
            <w:tcW w:w="879" w:type="dxa"/>
            <w:vAlign w:val="center"/>
          </w:tcPr>
          <w:p w14:paraId="4EC1F895" w14:textId="77777777" w:rsidR="006A41E2" w:rsidRPr="00074F53" w:rsidRDefault="006A41E2" w:rsidP="00E45665">
            <w:pPr>
              <w:pStyle w:val="Institutionquisigne"/>
              <w:spacing w:before="0"/>
              <w:jc w:val="center"/>
              <w:rPr>
                <w:i w:val="0"/>
                <w:noProof/>
                <w:lang w:val="lv-LV"/>
              </w:rPr>
            </w:pPr>
            <w:r w:rsidRPr="00074F53">
              <w:rPr>
                <w:i w:val="0"/>
                <w:noProof/>
                <w:lang w:val="lv-LV"/>
              </w:rPr>
              <w:lastRenderedPageBreak/>
              <w:t>Konkrētais mērķis</w:t>
            </w:r>
          </w:p>
        </w:tc>
        <w:tc>
          <w:tcPr>
            <w:tcW w:w="1072" w:type="dxa"/>
            <w:vAlign w:val="center"/>
          </w:tcPr>
          <w:p w14:paraId="026A5961" w14:textId="77777777" w:rsidR="006A41E2" w:rsidRPr="00074F53" w:rsidRDefault="006A41E2" w:rsidP="00E45665">
            <w:pPr>
              <w:pStyle w:val="Institutionquisigne"/>
              <w:spacing w:before="0"/>
              <w:jc w:val="center"/>
              <w:rPr>
                <w:i w:val="0"/>
                <w:noProof/>
                <w:lang w:val="lv-LV"/>
              </w:rPr>
            </w:pPr>
            <w:r w:rsidRPr="00074F53">
              <w:rPr>
                <w:i w:val="0"/>
                <w:noProof/>
                <w:lang w:val="lv-LV"/>
              </w:rPr>
              <w:t>Operācijas nosaukums</w:t>
            </w:r>
          </w:p>
        </w:tc>
        <w:tc>
          <w:tcPr>
            <w:tcW w:w="1338" w:type="dxa"/>
            <w:vAlign w:val="center"/>
          </w:tcPr>
          <w:p w14:paraId="44F3A246" w14:textId="77777777" w:rsidR="006A41E2" w:rsidRPr="00074F53" w:rsidRDefault="006A41E2" w:rsidP="00E45665">
            <w:pPr>
              <w:pStyle w:val="Institutionquisigne"/>
              <w:spacing w:before="0"/>
              <w:jc w:val="center"/>
              <w:rPr>
                <w:i w:val="0"/>
                <w:noProof/>
                <w:lang w:val="lv-LV"/>
              </w:rPr>
            </w:pPr>
            <w:r w:rsidRPr="00074F53">
              <w:rPr>
                <w:i w:val="0"/>
                <w:noProof/>
                <w:lang w:val="lv-LV"/>
              </w:rPr>
              <w:t>Operācijas saņēmējs</w:t>
            </w:r>
          </w:p>
        </w:tc>
        <w:tc>
          <w:tcPr>
            <w:tcW w:w="1275" w:type="dxa"/>
            <w:vAlign w:val="center"/>
          </w:tcPr>
          <w:p w14:paraId="51A52E93" w14:textId="77777777" w:rsidR="006A41E2" w:rsidRPr="00074F53" w:rsidRDefault="006A41E2" w:rsidP="006A41E2">
            <w:pPr>
              <w:pStyle w:val="Institutionquisigne"/>
              <w:spacing w:before="0"/>
              <w:jc w:val="center"/>
              <w:rPr>
                <w:i w:val="0"/>
                <w:noProof/>
                <w:lang w:val="lv-LV"/>
              </w:rPr>
            </w:pPr>
            <w:r w:rsidRPr="00074F53">
              <w:rPr>
                <w:i w:val="0"/>
                <w:noProof/>
                <w:lang w:val="lv-LV"/>
              </w:rPr>
              <w:t>Operācijas mērķis</w:t>
            </w:r>
          </w:p>
        </w:tc>
        <w:tc>
          <w:tcPr>
            <w:tcW w:w="1356" w:type="dxa"/>
            <w:vAlign w:val="center"/>
          </w:tcPr>
          <w:p w14:paraId="48F89166" w14:textId="77777777" w:rsidR="006A41E2" w:rsidRPr="00074F53" w:rsidRDefault="006A41E2" w:rsidP="00E45665">
            <w:pPr>
              <w:pStyle w:val="Institutionquisigne"/>
              <w:spacing w:before="0"/>
              <w:jc w:val="center"/>
              <w:rPr>
                <w:i w:val="0"/>
                <w:noProof/>
                <w:lang w:val="lv-LV"/>
              </w:rPr>
            </w:pPr>
            <w:r w:rsidRPr="00074F53">
              <w:rPr>
                <w:i w:val="0"/>
                <w:noProof/>
                <w:lang w:val="lv-LV"/>
              </w:rPr>
              <w:t>Īstenošanas periods</w:t>
            </w:r>
          </w:p>
        </w:tc>
        <w:tc>
          <w:tcPr>
            <w:tcW w:w="992" w:type="dxa"/>
            <w:vAlign w:val="center"/>
          </w:tcPr>
          <w:p w14:paraId="02EEC149" w14:textId="77777777" w:rsidR="006A41E2" w:rsidRPr="00074F53" w:rsidRDefault="006A41E2" w:rsidP="00E45665">
            <w:pPr>
              <w:pStyle w:val="Institutionquisigne"/>
              <w:spacing w:before="0"/>
              <w:jc w:val="center"/>
              <w:rPr>
                <w:i w:val="0"/>
                <w:noProof/>
                <w:lang w:val="lv-LV"/>
              </w:rPr>
            </w:pPr>
            <w:r w:rsidRPr="00074F53">
              <w:rPr>
                <w:i w:val="0"/>
                <w:noProof/>
                <w:lang w:val="lv-LV"/>
              </w:rPr>
              <w:t>Līdzfinansējuma likme</w:t>
            </w:r>
          </w:p>
        </w:tc>
        <w:tc>
          <w:tcPr>
            <w:tcW w:w="1134" w:type="dxa"/>
            <w:vAlign w:val="center"/>
          </w:tcPr>
          <w:p w14:paraId="1C79CF16" w14:textId="77777777" w:rsidR="006A41E2" w:rsidRPr="00074F53" w:rsidRDefault="006A41E2" w:rsidP="00E45665">
            <w:pPr>
              <w:pStyle w:val="Institutionquisigne"/>
              <w:spacing w:before="0"/>
              <w:jc w:val="center"/>
              <w:rPr>
                <w:i w:val="0"/>
                <w:noProof/>
                <w:lang w:val="lv-LV"/>
              </w:rPr>
            </w:pPr>
            <w:r w:rsidRPr="00074F53">
              <w:rPr>
                <w:i w:val="0"/>
                <w:noProof/>
                <w:lang w:val="lv-LV"/>
              </w:rPr>
              <w:t>Attiecināmās izmaksas</w:t>
            </w:r>
            <w:r w:rsidRPr="00074F53">
              <w:rPr>
                <w:rStyle w:val="FootnoteReference"/>
                <w:i w:val="0"/>
                <w:noProof/>
                <w:lang w:val="lv-LV"/>
              </w:rPr>
              <w:footnoteReference w:id="22"/>
            </w:r>
          </w:p>
        </w:tc>
        <w:tc>
          <w:tcPr>
            <w:tcW w:w="1243" w:type="dxa"/>
            <w:vAlign w:val="center"/>
          </w:tcPr>
          <w:p w14:paraId="080A3000" w14:textId="77777777" w:rsidR="006A41E2" w:rsidRPr="00074F53" w:rsidRDefault="006A41E2" w:rsidP="00E45665">
            <w:pPr>
              <w:pStyle w:val="Institutionquisigne"/>
              <w:spacing w:before="0"/>
              <w:jc w:val="center"/>
              <w:rPr>
                <w:i w:val="0"/>
                <w:noProof/>
                <w:lang w:val="lv-LV"/>
              </w:rPr>
            </w:pPr>
            <w:r w:rsidRPr="00074F53">
              <w:rPr>
                <w:i w:val="0"/>
                <w:noProof/>
                <w:lang w:val="lv-LV"/>
              </w:rPr>
              <w:t>Attiecināmie izdevumi</w:t>
            </w:r>
            <w:r w:rsidRPr="00074F53">
              <w:rPr>
                <w:rStyle w:val="FootnoteReference"/>
                <w:i w:val="0"/>
                <w:noProof/>
                <w:lang w:val="lv-LV"/>
              </w:rPr>
              <w:footnoteReference w:id="23"/>
            </w:r>
          </w:p>
        </w:tc>
      </w:tr>
      <w:tr w:rsidR="003A3A17" w:rsidRPr="00074F53" w14:paraId="77BCA9F5" w14:textId="77777777" w:rsidTr="002C0831">
        <w:trPr>
          <w:trHeight w:val="255"/>
        </w:trPr>
        <w:tc>
          <w:tcPr>
            <w:tcW w:w="879" w:type="dxa"/>
            <w:vAlign w:val="center"/>
          </w:tcPr>
          <w:p w14:paraId="78FF96FF" w14:textId="0C76701F" w:rsidR="006A41E2" w:rsidRPr="00074F53" w:rsidRDefault="002C0831" w:rsidP="002C0831">
            <w:pPr>
              <w:pStyle w:val="Institutionquisigne"/>
              <w:spacing w:before="0"/>
              <w:jc w:val="center"/>
              <w:rPr>
                <w:i w:val="0"/>
                <w:noProof/>
                <w:lang w:val="lv-LV"/>
              </w:rPr>
            </w:pPr>
            <w:r w:rsidRPr="00074F53">
              <w:rPr>
                <w:i w:val="0"/>
                <w:noProof/>
                <w:lang w:val="lv-LV"/>
              </w:rPr>
              <w:t>Nav attiecināms</w:t>
            </w:r>
          </w:p>
        </w:tc>
        <w:tc>
          <w:tcPr>
            <w:tcW w:w="1072" w:type="dxa"/>
            <w:vAlign w:val="center"/>
          </w:tcPr>
          <w:p w14:paraId="00509DB1" w14:textId="2F0DA0C0" w:rsidR="006A41E2" w:rsidRPr="00074F53" w:rsidRDefault="002C0831" w:rsidP="002C0831">
            <w:pPr>
              <w:pStyle w:val="Institutionquisigne"/>
              <w:spacing w:before="0"/>
              <w:jc w:val="center"/>
              <w:rPr>
                <w:noProof/>
                <w:lang w:val="lv-LV"/>
              </w:rPr>
            </w:pPr>
            <w:r w:rsidRPr="00074F53">
              <w:rPr>
                <w:i w:val="0"/>
                <w:noProof/>
                <w:lang w:val="lv-LV"/>
              </w:rPr>
              <w:t>Nav attiecināms</w:t>
            </w:r>
          </w:p>
        </w:tc>
        <w:tc>
          <w:tcPr>
            <w:tcW w:w="1338" w:type="dxa"/>
            <w:vAlign w:val="center"/>
          </w:tcPr>
          <w:p w14:paraId="2FBE35E4" w14:textId="38DCA60A" w:rsidR="006A41E2" w:rsidRPr="00074F53" w:rsidRDefault="002C0831" w:rsidP="002C0831">
            <w:pPr>
              <w:pStyle w:val="Institutionquisigne"/>
              <w:spacing w:before="0"/>
              <w:jc w:val="center"/>
              <w:rPr>
                <w:noProof/>
                <w:lang w:val="lv-LV"/>
              </w:rPr>
            </w:pPr>
            <w:r w:rsidRPr="00074F53">
              <w:rPr>
                <w:i w:val="0"/>
                <w:noProof/>
                <w:lang w:val="lv-LV"/>
              </w:rPr>
              <w:t>Nav attiecināms</w:t>
            </w:r>
          </w:p>
        </w:tc>
        <w:tc>
          <w:tcPr>
            <w:tcW w:w="1275" w:type="dxa"/>
            <w:vAlign w:val="center"/>
          </w:tcPr>
          <w:p w14:paraId="2F263436" w14:textId="03DAA1A2" w:rsidR="006A41E2" w:rsidRPr="00074F53" w:rsidRDefault="002C0831" w:rsidP="002C0831">
            <w:pPr>
              <w:pStyle w:val="Institutionquisigne"/>
              <w:spacing w:before="0"/>
              <w:jc w:val="center"/>
              <w:rPr>
                <w:noProof/>
                <w:lang w:val="lv-LV"/>
              </w:rPr>
            </w:pPr>
            <w:r w:rsidRPr="00074F53">
              <w:rPr>
                <w:i w:val="0"/>
                <w:noProof/>
                <w:lang w:val="lv-LV"/>
              </w:rPr>
              <w:t>Nav attiecināms</w:t>
            </w:r>
          </w:p>
        </w:tc>
        <w:tc>
          <w:tcPr>
            <w:tcW w:w="1356" w:type="dxa"/>
            <w:vAlign w:val="center"/>
          </w:tcPr>
          <w:p w14:paraId="67ADCF4F" w14:textId="757768B7" w:rsidR="006A41E2" w:rsidRPr="00074F53" w:rsidRDefault="002C0831" w:rsidP="002C0831">
            <w:pPr>
              <w:pStyle w:val="Institutionquisigne"/>
              <w:spacing w:before="0"/>
              <w:jc w:val="center"/>
              <w:rPr>
                <w:noProof/>
                <w:lang w:val="lv-LV"/>
              </w:rPr>
            </w:pPr>
            <w:r w:rsidRPr="00074F53">
              <w:rPr>
                <w:i w:val="0"/>
                <w:noProof/>
                <w:lang w:val="lv-LV"/>
              </w:rPr>
              <w:t>Nav attiecināms</w:t>
            </w:r>
          </w:p>
        </w:tc>
        <w:tc>
          <w:tcPr>
            <w:tcW w:w="992" w:type="dxa"/>
            <w:vAlign w:val="center"/>
          </w:tcPr>
          <w:p w14:paraId="11F705C9" w14:textId="00F91C69" w:rsidR="006A41E2" w:rsidRPr="00074F53" w:rsidRDefault="002C0831" w:rsidP="002C0831">
            <w:pPr>
              <w:pStyle w:val="Institutionquisigne"/>
              <w:spacing w:before="0"/>
              <w:jc w:val="center"/>
              <w:rPr>
                <w:noProof/>
                <w:lang w:val="lv-LV"/>
              </w:rPr>
            </w:pPr>
            <w:r w:rsidRPr="00074F53">
              <w:rPr>
                <w:i w:val="0"/>
                <w:noProof/>
                <w:lang w:val="lv-LV"/>
              </w:rPr>
              <w:t>Nav attiecināms</w:t>
            </w:r>
          </w:p>
        </w:tc>
        <w:tc>
          <w:tcPr>
            <w:tcW w:w="1134" w:type="dxa"/>
            <w:vAlign w:val="center"/>
          </w:tcPr>
          <w:p w14:paraId="4CA59BB4" w14:textId="6FC39938" w:rsidR="006A41E2" w:rsidRPr="00074F53" w:rsidRDefault="002C0831" w:rsidP="002C0831">
            <w:pPr>
              <w:pStyle w:val="Institutionquisigne"/>
              <w:spacing w:before="0"/>
              <w:jc w:val="center"/>
              <w:rPr>
                <w:noProof/>
                <w:lang w:val="lv-LV"/>
              </w:rPr>
            </w:pPr>
            <w:r w:rsidRPr="00074F53">
              <w:rPr>
                <w:i w:val="0"/>
                <w:noProof/>
                <w:lang w:val="lv-LV"/>
              </w:rPr>
              <w:t>Nav attiecināms</w:t>
            </w:r>
          </w:p>
        </w:tc>
        <w:tc>
          <w:tcPr>
            <w:tcW w:w="1243" w:type="dxa"/>
            <w:vAlign w:val="center"/>
          </w:tcPr>
          <w:p w14:paraId="08531E43" w14:textId="3DD9F893" w:rsidR="006A41E2" w:rsidRPr="00074F53" w:rsidRDefault="002C0831" w:rsidP="002C0831">
            <w:pPr>
              <w:pStyle w:val="Institutionquisigne"/>
              <w:spacing w:before="0"/>
              <w:jc w:val="center"/>
              <w:rPr>
                <w:noProof/>
                <w:lang w:val="lv-LV"/>
              </w:rPr>
            </w:pPr>
            <w:r w:rsidRPr="00074F53">
              <w:rPr>
                <w:i w:val="0"/>
                <w:noProof/>
                <w:lang w:val="lv-LV"/>
              </w:rPr>
              <w:t>Nav attiecināms</w:t>
            </w:r>
          </w:p>
        </w:tc>
      </w:tr>
    </w:tbl>
    <w:p w14:paraId="1BD10FFF" w14:textId="1FAD3000" w:rsidR="006A41E2" w:rsidRPr="00074F53" w:rsidRDefault="00B32C89" w:rsidP="00B32C89">
      <w:pPr>
        <w:pStyle w:val="ManualHeading1"/>
        <w:rPr>
          <w:noProof/>
          <w:lang w:val="lv-LV"/>
        </w:rPr>
      </w:pPr>
      <w:r w:rsidRPr="00074F53">
        <w:rPr>
          <w:lang w:val="lv-LV"/>
        </w:rPr>
        <w:t>3.</w:t>
      </w:r>
      <w:r w:rsidRPr="00074F53">
        <w:rPr>
          <w:lang w:val="lv-LV"/>
        </w:rPr>
        <w:tab/>
      </w:r>
      <w:r w:rsidR="006A41E2" w:rsidRPr="00074F53">
        <w:rPr>
          <w:noProof/>
          <w:lang w:val="lv-LV"/>
        </w:rPr>
        <w:t xml:space="preserve">Savienības </w:t>
      </w:r>
      <w:r w:rsidR="006A41E2" w:rsidRPr="00074F53">
        <w:rPr>
          <w:i/>
          <w:noProof/>
          <w:lang w:val="lv-LV"/>
        </w:rPr>
        <w:t>acquis</w:t>
      </w:r>
      <w:r w:rsidR="006A41E2" w:rsidRPr="00074F53">
        <w:rPr>
          <w:noProof/>
          <w:lang w:val="lv-LV"/>
        </w:rPr>
        <w:t xml:space="preserve"> īstenošana – Regulas (ES) 2021/1149 30. panta 2. punkta d) apakšpunkts</w:t>
      </w:r>
    </w:p>
    <w:p w14:paraId="3E5F6402" w14:textId="51104406" w:rsidR="006A41E2" w:rsidRPr="00074F53" w:rsidRDefault="0060652B" w:rsidP="006A41E2">
      <w:pPr>
        <w:rPr>
          <w:noProof/>
          <w:lang w:val="lv-LV"/>
        </w:rPr>
      </w:pPr>
      <w:r w:rsidRPr="00074F53">
        <w:rPr>
          <w:noProof/>
          <w:lang w:val="lv-LV"/>
        </w:rPr>
        <w:t xml:space="preserve">Aprakstiet, kā programma grāmatvedības </w:t>
      </w:r>
      <w:r w:rsidR="0059347E">
        <w:rPr>
          <w:noProof/>
          <w:lang w:val="lv-LV"/>
        </w:rPr>
        <w:t>periodā</w:t>
      </w:r>
      <w:r w:rsidRPr="00074F53">
        <w:rPr>
          <w:noProof/>
          <w:lang w:val="lv-LV"/>
        </w:rPr>
        <w:t xml:space="preserve"> ir palīdzējusi īstenot attiecīgo Savienības </w:t>
      </w:r>
      <w:r w:rsidRPr="00074F53">
        <w:rPr>
          <w:i/>
          <w:noProof/>
          <w:lang w:val="lv-LV"/>
        </w:rPr>
        <w:t>acquis</w:t>
      </w:r>
      <w:r w:rsidRPr="00074F53">
        <w:rPr>
          <w:noProof/>
          <w:lang w:val="lv-LV"/>
        </w:rPr>
        <w:t xml:space="preserve"> (Savienības tiesību aktu kopumu) drošības un ar to saistītās informācijas apmaiņas jomā, kā arī visus attiecīgos rīcības plānus.</w:t>
      </w:r>
    </w:p>
    <w:tbl>
      <w:tblPr>
        <w:tblStyle w:val="TableGrid"/>
        <w:tblW w:w="0" w:type="auto"/>
        <w:tblLook w:val="04A0" w:firstRow="1" w:lastRow="0" w:firstColumn="1" w:lastColumn="0" w:noHBand="0" w:noVBand="1"/>
      </w:tblPr>
      <w:tblGrid>
        <w:gridCol w:w="9063"/>
      </w:tblGrid>
      <w:tr w:rsidR="003A3A17" w:rsidRPr="001501F7" w14:paraId="61641F95" w14:textId="77777777" w:rsidTr="00E45665">
        <w:tc>
          <w:tcPr>
            <w:tcW w:w="9289" w:type="dxa"/>
          </w:tcPr>
          <w:p w14:paraId="24C83972" w14:textId="305097AB" w:rsidR="0093257C" w:rsidRPr="0093257C" w:rsidRDefault="000D1693" w:rsidP="0093257C">
            <w:pPr>
              <w:pStyle w:val="Personnequisigne"/>
              <w:rPr>
                <w:noProof/>
                <w:lang w:val="lv-LV"/>
              </w:rPr>
            </w:pPr>
            <w:r w:rsidRPr="00074F53">
              <w:rPr>
                <w:noProof/>
                <w:lang w:val="lv-LV"/>
              </w:rPr>
              <w:t>Šeit ierakstiet tekstu. Ne vairāk kā 4000 rakstzīmes.</w:t>
            </w:r>
          </w:p>
          <w:p w14:paraId="4B80CACB" w14:textId="77777777" w:rsidR="0093257C" w:rsidRPr="003A3A17" w:rsidRDefault="0093257C" w:rsidP="0093257C">
            <w:pPr>
              <w:shd w:val="clear" w:color="auto" w:fill="FFFFFF" w:themeFill="background1"/>
              <w:ind w:firstLine="743"/>
              <w:rPr>
                <w:lang w:val="lv-LV"/>
              </w:rPr>
            </w:pPr>
            <w:r w:rsidRPr="003A3A17">
              <w:rPr>
                <w:b/>
                <w:bCs/>
                <w:lang w:val="lv-LV"/>
              </w:rPr>
              <w:t>Informācijas apmaiņas jomā</w:t>
            </w:r>
            <w:r w:rsidRPr="003A3A17">
              <w:rPr>
                <w:lang w:val="lv-LV"/>
              </w:rPr>
              <w:t xml:space="preserve">, </w:t>
            </w:r>
            <w:r w:rsidRPr="003A3A17">
              <w:rPr>
                <w:rFonts w:eastAsia="Times New Roman"/>
                <w:lang w:val="lv-LV"/>
              </w:rPr>
              <w:t xml:space="preserve">projektā par NKIM izveidi, projekta aktivitātes tiek īstenotas saskaņā ar Eiropas Parlamenta un Padomes 2023. gada 11. jūnija direktīvu Nr. 2023/977 par informācijas apmaiņu starp dalībvalstu </w:t>
            </w:r>
            <w:r>
              <w:rPr>
                <w:rFonts w:eastAsia="Times New Roman"/>
                <w:lang w:val="lv-LV"/>
              </w:rPr>
              <w:t>TAI</w:t>
            </w:r>
            <w:r w:rsidRPr="003A3A17">
              <w:rPr>
                <w:rFonts w:eastAsia="Times New Roman"/>
                <w:lang w:val="lv-LV"/>
              </w:rPr>
              <w:t xml:space="preserve"> un ar ko atceļ Padomes Pamatlēmumu 2006/960/TI (Zviedrijas iniciatīvu). Minētās direktīvas mērķis ir pieņemt tiesību aktus par organizatoriskajiem un procesuālajiem aspektiem informācijas apmaiņā starp </w:t>
            </w:r>
            <w:r>
              <w:rPr>
                <w:rFonts w:eastAsia="Times New Roman"/>
                <w:lang w:val="lv-LV"/>
              </w:rPr>
              <w:t>TAI</w:t>
            </w:r>
            <w:r w:rsidRPr="003A3A17">
              <w:rPr>
                <w:rFonts w:eastAsia="Times New Roman"/>
                <w:lang w:val="lv-LV"/>
              </w:rPr>
              <w:t xml:space="preserve"> </w:t>
            </w:r>
            <w:r>
              <w:rPr>
                <w:rFonts w:eastAsia="Times New Roman"/>
                <w:lang w:val="lv-LV"/>
              </w:rPr>
              <w:t>ES</w:t>
            </w:r>
            <w:r w:rsidRPr="003A3A17">
              <w:rPr>
                <w:rFonts w:eastAsia="Times New Roman"/>
                <w:lang w:val="lv-LV"/>
              </w:rPr>
              <w:t xml:space="preserve">, lai veicinātu rezultatīvu un efektīvu šādas informācijas apmaiņu, tādējādi aizsargājot pilnībā funkcionējošu un noturīgu Šengenas zonu. Ar šo Direktīvu tiek noteikti vienoti standarti un principi informācijas apmaiņas starp dalībvalstīm nodrošināšanai. Direktīva nosaka, ka dalībvalstīm informācijas apmaiņai ir jāizmanto </w:t>
            </w:r>
            <w:r w:rsidRPr="003A3A17">
              <w:rPr>
                <w:lang w:val="lv-LV"/>
              </w:rPr>
              <w:t xml:space="preserve">Eiropola drošas informācijas apmaiņas tīkla lietojumprogrammas SIENA un jānodrošina </w:t>
            </w:r>
            <w:r w:rsidRPr="003A3A17">
              <w:rPr>
                <w:rFonts w:eastAsia="Times New Roman"/>
                <w:lang w:val="lv-LV"/>
              </w:rPr>
              <w:t>sadarbspēja starp SIENA</w:t>
            </w:r>
            <w:r w:rsidRPr="003A3A17">
              <w:rPr>
                <w:lang w:val="lv-LV"/>
              </w:rPr>
              <w:t xml:space="preserve"> un SIRENE IS. Eiropola SIENA komunikāciju kanāla integrēšana SIRENE IS </w:t>
            </w:r>
            <w:r w:rsidRPr="003A3A17">
              <w:rPr>
                <w:rFonts w:eastAsia="Times New Roman"/>
                <w:lang w:val="lv-LV"/>
              </w:rPr>
              <w:t xml:space="preserve">nodrošinās Direktīvā iekļauto prasību izpildi. </w:t>
            </w:r>
            <w:r w:rsidRPr="003A3A17">
              <w:rPr>
                <w:lang w:val="lv-LV"/>
              </w:rPr>
              <w:t xml:space="preserve">NKIM ietvaros tiek paredzēts izpildīt norādītās Direktīvas 16. panta prasības, t. i., vienotajā kontaktpunktā ieviest un izmantot vienotu elektronisku lietu pārvaldības sistēmu, kurai ir sadarbspēja ar SIENA, jo īpaši nodrošinot, ka ar SIENA starpniecību ienākošos paziņojumus var tieši reģistrēt lietu pārvaldības sistēmā un ka ar SIENA starpniecību izejošos paziņojumus var tieši nosūtīt no tās. </w:t>
            </w:r>
          </w:p>
          <w:p w14:paraId="26F0BA2B" w14:textId="72B5D8E5" w:rsidR="0093257C" w:rsidRDefault="0093257C" w:rsidP="0093257C">
            <w:pPr>
              <w:tabs>
                <w:tab w:val="left" w:pos="900"/>
              </w:tabs>
              <w:spacing w:before="80" w:after="80"/>
              <w:ind w:firstLine="743"/>
              <w:rPr>
                <w:lang w:val="lv-LV"/>
              </w:rPr>
            </w:pPr>
            <w:r w:rsidRPr="003A3A17">
              <w:rPr>
                <w:rFonts w:eastAsia="Times New Roman"/>
                <w:b/>
                <w:bCs/>
                <w:lang w:val="lv-LV"/>
              </w:rPr>
              <w:t xml:space="preserve">Pārrobežu sadarbības jomā, </w:t>
            </w:r>
            <w:r w:rsidRPr="003A3A17">
              <w:rPr>
                <w:rFonts w:eastAsia="Times New Roman"/>
                <w:lang w:val="lv-LV"/>
              </w:rPr>
              <w:t xml:space="preserve">projektā par </w:t>
            </w:r>
            <w:r w:rsidRPr="003A3A17">
              <w:rPr>
                <w:lang w:val="lv-LV"/>
              </w:rPr>
              <w:t>starptautiskās sadarbības stiprināšanu starp ES dalībvalstīm un trešajām pusēm</w:t>
            </w:r>
            <w:r w:rsidRPr="003A3A17">
              <w:rPr>
                <w:rFonts w:eastAsia="Times New Roman"/>
                <w:lang w:val="lv-LV"/>
              </w:rPr>
              <w:t xml:space="preserve">, projekts </w:t>
            </w:r>
            <w:r>
              <w:rPr>
                <w:rFonts w:eastAsia="Times New Roman"/>
                <w:lang w:val="lv-LV"/>
              </w:rPr>
              <w:t>tika</w:t>
            </w:r>
            <w:r w:rsidRPr="003A3A17">
              <w:rPr>
                <w:rFonts w:eastAsia="Times New Roman"/>
                <w:lang w:val="lv-LV"/>
              </w:rPr>
              <w:t xml:space="preserve"> īstenots saskaņā ar </w:t>
            </w:r>
            <w:r w:rsidRPr="003A3A17">
              <w:rPr>
                <w:lang w:val="lv-LV"/>
              </w:rPr>
              <w:t>Eiropas operatīvās komandas vadlīnijām (</w:t>
            </w:r>
            <w:r w:rsidRPr="003A3A17">
              <w:rPr>
                <w:i/>
                <w:lang w:val="lv-LV"/>
              </w:rPr>
              <w:t xml:space="preserve">Terms </w:t>
            </w:r>
            <w:proofErr w:type="spellStart"/>
            <w:r w:rsidRPr="003A3A17">
              <w:rPr>
                <w:i/>
                <w:lang w:val="lv-LV"/>
              </w:rPr>
              <w:t>of</w:t>
            </w:r>
            <w:proofErr w:type="spellEnd"/>
            <w:r w:rsidRPr="003A3A17">
              <w:rPr>
                <w:i/>
                <w:lang w:val="lv-LV"/>
              </w:rPr>
              <w:t xml:space="preserve"> reference </w:t>
            </w:r>
            <w:proofErr w:type="spellStart"/>
            <w:r w:rsidRPr="003A3A17">
              <w:rPr>
                <w:i/>
                <w:lang w:val="lv-LV"/>
              </w:rPr>
              <w:t>and</w:t>
            </w:r>
            <w:proofErr w:type="spellEnd"/>
            <w:r w:rsidRPr="003A3A17">
              <w:rPr>
                <w:i/>
                <w:lang w:val="lv-LV"/>
              </w:rPr>
              <w:t xml:space="preserve"> </w:t>
            </w:r>
            <w:proofErr w:type="spellStart"/>
            <w:r w:rsidRPr="003A3A17">
              <w:rPr>
                <w:i/>
                <w:lang w:val="lv-LV"/>
              </w:rPr>
              <w:t>operational</w:t>
            </w:r>
            <w:proofErr w:type="spellEnd"/>
            <w:r w:rsidRPr="003A3A17">
              <w:rPr>
                <w:i/>
                <w:lang w:val="lv-LV"/>
              </w:rPr>
              <w:t xml:space="preserve"> </w:t>
            </w:r>
            <w:proofErr w:type="spellStart"/>
            <w:r w:rsidRPr="003A3A17">
              <w:rPr>
                <w:i/>
                <w:lang w:val="lv-LV"/>
              </w:rPr>
              <w:t>guidelines</w:t>
            </w:r>
            <w:proofErr w:type="spellEnd"/>
            <w:r w:rsidRPr="003A3A17">
              <w:rPr>
                <w:i/>
                <w:lang w:val="lv-LV"/>
              </w:rPr>
              <w:t xml:space="preserve"> </w:t>
            </w:r>
            <w:proofErr w:type="spellStart"/>
            <w:r w:rsidRPr="003A3A17">
              <w:rPr>
                <w:i/>
                <w:lang w:val="lv-LV"/>
              </w:rPr>
              <w:t>for</w:t>
            </w:r>
            <w:proofErr w:type="spellEnd"/>
            <w:r w:rsidRPr="003A3A17">
              <w:rPr>
                <w:i/>
                <w:lang w:val="lv-LV"/>
              </w:rPr>
              <w:t xml:space="preserve"> pilot </w:t>
            </w:r>
            <w:proofErr w:type="spellStart"/>
            <w:r w:rsidRPr="003A3A17">
              <w:rPr>
                <w:i/>
                <w:lang w:val="lv-LV"/>
              </w:rPr>
              <w:t>project</w:t>
            </w:r>
            <w:proofErr w:type="spellEnd"/>
            <w:r w:rsidRPr="003A3A17">
              <w:rPr>
                <w:i/>
                <w:lang w:val="lv-LV"/>
              </w:rPr>
              <w:t xml:space="preserve"> </w:t>
            </w:r>
            <w:proofErr w:type="spellStart"/>
            <w:r w:rsidRPr="003A3A17">
              <w:rPr>
                <w:i/>
                <w:lang w:val="lv-LV"/>
              </w:rPr>
              <w:t>european</w:t>
            </w:r>
            <w:proofErr w:type="spellEnd"/>
            <w:r w:rsidRPr="003A3A17">
              <w:rPr>
                <w:i/>
                <w:lang w:val="lv-LV"/>
              </w:rPr>
              <w:t xml:space="preserve"> </w:t>
            </w:r>
            <w:proofErr w:type="spellStart"/>
            <w:r w:rsidRPr="003A3A17">
              <w:rPr>
                <w:i/>
                <w:lang w:val="lv-LV"/>
              </w:rPr>
              <w:t>operational</w:t>
            </w:r>
            <w:proofErr w:type="spellEnd"/>
            <w:r w:rsidRPr="003A3A17">
              <w:rPr>
                <w:i/>
                <w:lang w:val="lv-LV"/>
              </w:rPr>
              <w:t xml:space="preserve"> </w:t>
            </w:r>
            <w:proofErr w:type="spellStart"/>
            <w:r w:rsidRPr="003A3A17">
              <w:rPr>
                <w:i/>
                <w:lang w:val="lv-LV"/>
              </w:rPr>
              <w:t>team</w:t>
            </w:r>
            <w:proofErr w:type="spellEnd"/>
            <w:r w:rsidRPr="003A3A17">
              <w:rPr>
                <w:i/>
                <w:lang w:val="lv-LV"/>
              </w:rPr>
              <w:t xml:space="preserve"> </w:t>
            </w:r>
            <w:proofErr w:type="spellStart"/>
            <w:r w:rsidRPr="003A3A17">
              <w:rPr>
                <w:i/>
                <w:lang w:val="lv-LV"/>
              </w:rPr>
              <w:t>of</w:t>
            </w:r>
            <w:proofErr w:type="spellEnd"/>
            <w:r w:rsidRPr="003A3A17">
              <w:rPr>
                <w:i/>
                <w:lang w:val="lv-LV"/>
              </w:rPr>
              <w:t xml:space="preserve"> </w:t>
            </w:r>
            <w:proofErr w:type="spellStart"/>
            <w:r w:rsidRPr="003A3A17">
              <w:rPr>
                <w:i/>
                <w:lang w:val="lv-LV"/>
              </w:rPr>
              <w:t>investigation</w:t>
            </w:r>
            <w:proofErr w:type="spellEnd"/>
            <w:r w:rsidRPr="003A3A17">
              <w:rPr>
                <w:i/>
                <w:lang w:val="lv-LV"/>
              </w:rPr>
              <w:t>)</w:t>
            </w:r>
            <w:r w:rsidRPr="003A3A17">
              <w:rPr>
                <w:lang w:val="lv-LV"/>
              </w:rPr>
              <w:t>, tās locekļiem ir pienākums nodrošināt atbilstošu klasificētās informācijas apstrādi un stingru izmeklēšanas noslēpumu. Ievērojot EOT īpašo drošības un konfidencialitātes regulējumu, neviens nedrīkst nevienai personai vai trešajai personai izpaust informāciju, kas iegūta, pildot pienākumus.</w:t>
            </w:r>
          </w:p>
          <w:p w14:paraId="7C22D716" w14:textId="77777777" w:rsidR="0093257C" w:rsidRPr="003A3A17" w:rsidRDefault="0093257C" w:rsidP="0093257C">
            <w:pPr>
              <w:tabs>
                <w:tab w:val="left" w:pos="900"/>
              </w:tabs>
              <w:spacing w:before="80" w:after="80"/>
              <w:ind w:firstLine="743"/>
              <w:rPr>
                <w:lang w:val="lv-LV"/>
              </w:rPr>
            </w:pPr>
            <w:r w:rsidRPr="003A3A17">
              <w:rPr>
                <w:b/>
                <w:bCs/>
                <w:lang w:val="lv-LV"/>
              </w:rPr>
              <w:t>Noziedzības novēršanas un apkarošanas jomā</w:t>
            </w:r>
            <w:r w:rsidRPr="003A3A17">
              <w:rPr>
                <w:lang w:val="lv-LV"/>
              </w:rPr>
              <w:t>, projektā par noziedzīgos nodarījumos cietušo personu - īpaši aizsargājamo cietušo (jo īpaši bērnu) atbalsta veicināšanu kriminālprocesa ietvaros, VP īsteno projekta aktivitātes saskaņā ar:</w:t>
            </w:r>
          </w:p>
          <w:p w14:paraId="5FA27488" w14:textId="77777777" w:rsidR="0093257C" w:rsidRPr="003A3A17" w:rsidRDefault="0093257C" w:rsidP="0093257C">
            <w:pPr>
              <w:pStyle w:val="ListParagraph"/>
              <w:numPr>
                <w:ilvl w:val="0"/>
                <w:numId w:val="44"/>
              </w:numPr>
              <w:shd w:val="clear" w:color="auto" w:fill="FFFFFF" w:themeFill="background1"/>
              <w:rPr>
                <w:rFonts w:eastAsia="Times New Roman"/>
                <w:lang w:val="lv-LV"/>
              </w:rPr>
            </w:pPr>
            <w:r w:rsidRPr="003A3A17">
              <w:rPr>
                <w:lang w:val="lv-LV"/>
              </w:rPr>
              <w:t>2014. gada 28. jūnija likumu “Par Eiropas Padomes Konvenciju par bērnu aizsardzību pret seksuālu izmantošanu un seksuālu vardarbību”, kur 1. pants nosaka - “2007. gada 25. oktobra Eiropas Padomes Konvencija par bērnu aizsardzību pret seksuālu izmantošanu un seksuālu vardarbību (turpmāk – Konvencija) ar šo likumu tiek pieņemta un apstiprināta.”;</w:t>
            </w:r>
          </w:p>
          <w:p w14:paraId="765D63E3" w14:textId="77777777" w:rsidR="0093257C" w:rsidRPr="003A3A17" w:rsidRDefault="0093257C" w:rsidP="0093257C">
            <w:pPr>
              <w:pStyle w:val="ListParagraph"/>
              <w:numPr>
                <w:ilvl w:val="0"/>
                <w:numId w:val="44"/>
              </w:numPr>
              <w:shd w:val="clear" w:color="auto" w:fill="FFFFFF" w:themeFill="background1"/>
              <w:rPr>
                <w:rFonts w:eastAsia="Times New Roman"/>
                <w:lang w:val="lv-LV"/>
              </w:rPr>
            </w:pPr>
            <w:r w:rsidRPr="003A3A17">
              <w:rPr>
                <w:rFonts w:eastAsia="Times New Roman"/>
                <w:lang w:val="lv-LV"/>
              </w:rPr>
              <w:t xml:space="preserve">Konvencijas 35. panta 2. punktu, kur teikts, ka </w:t>
            </w:r>
            <w:r w:rsidRPr="003A3A17">
              <w:rPr>
                <w:lang w:val="lv-LV"/>
              </w:rPr>
              <w:t>“Ikviena Puse veic nepieciešamos normatīvos vai citus pasākumus, lai nodrošinātu to, ka visas cietušā un attiecīgā gadījumā bērna, kas ir liecinieks, pratināšanas var ierakstīt videolentē, un šīs videolentē ierakstītās pratināšanas var pieņemt kā pierādījumus tiesvedībā saskaņā ar valsts tiesību aktiem.”;</w:t>
            </w:r>
          </w:p>
          <w:p w14:paraId="77CDFD8A" w14:textId="5696A94C" w:rsidR="0093257C" w:rsidRPr="0093257C" w:rsidRDefault="0093257C" w:rsidP="0093257C">
            <w:pPr>
              <w:pStyle w:val="ListParagraph"/>
              <w:numPr>
                <w:ilvl w:val="0"/>
                <w:numId w:val="44"/>
              </w:numPr>
              <w:shd w:val="clear" w:color="auto" w:fill="FFFFFF" w:themeFill="background1"/>
              <w:rPr>
                <w:rFonts w:eastAsia="Times New Roman"/>
                <w:lang w:val="lv-LV"/>
              </w:rPr>
            </w:pPr>
            <w:r w:rsidRPr="003A3A17">
              <w:rPr>
                <w:lang w:val="lv-LV"/>
              </w:rPr>
              <w:t>Eiropas Parlamenta un Padomes 2011. gada 13. decembra direktīvu Nr. 2011/93/ES par seksuālas vardarbības pret bērniem, bērnu seksuālas izmantošanas un bērnu pornogrāfijas apkarošanu, kur tiek noteiktas normas par skaņas un attēla fiksēšanu.</w:t>
            </w:r>
          </w:p>
          <w:p w14:paraId="6CE9A54B" w14:textId="77777777" w:rsidR="0093257C" w:rsidRPr="0093257C" w:rsidRDefault="0093257C" w:rsidP="0093257C">
            <w:pPr>
              <w:shd w:val="clear" w:color="auto" w:fill="FFFFFF" w:themeFill="background1"/>
              <w:ind w:left="360"/>
              <w:rPr>
                <w:rFonts w:eastAsia="Times New Roman"/>
                <w:lang w:val="lv-LV"/>
              </w:rPr>
            </w:pPr>
          </w:p>
          <w:p w14:paraId="34847D90" w14:textId="251E1F05" w:rsidR="0093257C" w:rsidRPr="003A3A17" w:rsidRDefault="0093257C" w:rsidP="0093257C">
            <w:pPr>
              <w:shd w:val="clear" w:color="auto" w:fill="FFFFFF" w:themeFill="background1"/>
              <w:ind w:firstLine="743"/>
              <w:rPr>
                <w:rFonts w:eastAsia="Times New Roman"/>
                <w:lang w:val="lv-LV"/>
              </w:rPr>
            </w:pPr>
            <w:r w:rsidRPr="003A3A17">
              <w:rPr>
                <w:rFonts w:eastAsia="Times New Roman"/>
                <w:lang w:val="lv-LV"/>
              </w:rPr>
              <w:t xml:space="preserve">Projekta par </w:t>
            </w:r>
            <w:r w:rsidRPr="003A3A17">
              <w:rPr>
                <w:rFonts w:eastAsia="Times New Roman"/>
                <w:lang w:val="lv-LV" w:eastAsia="lv-LV"/>
              </w:rPr>
              <w:t xml:space="preserve">CBRNE un cilvēku izraisīto katastrofu glābšanas darbu mācību poligona izveidošanu </w:t>
            </w:r>
            <w:r w:rsidRPr="003A3A17">
              <w:rPr>
                <w:rFonts w:eastAsia="Times New Roman"/>
                <w:lang w:val="lv-LV"/>
              </w:rPr>
              <w:t xml:space="preserve">aktivitātes </w:t>
            </w:r>
            <w:r>
              <w:rPr>
                <w:rFonts w:eastAsia="Times New Roman"/>
                <w:lang w:val="lv-LV"/>
              </w:rPr>
              <w:t>tika</w:t>
            </w:r>
            <w:r w:rsidRPr="003A3A17">
              <w:rPr>
                <w:rFonts w:eastAsia="Times New Roman"/>
                <w:lang w:val="lv-LV"/>
              </w:rPr>
              <w:t xml:space="preserve"> īstenotas saskaņā ar:</w:t>
            </w:r>
          </w:p>
          <w:p w14:paraId="59D1BC7A" w14:textId="77777777" w:rsidR="0093257C" w:rsidRPr="003A3A17" w:rsidRDefault="0093257C" w:rsidP="0093257C">
            <w:pPr>
              <w:pStyle w:val="ListParagraph"/>
              <w:numPr>
                <w:ilvl w:val="0"/>
                <w:numId w:val="45"/>
              </w:numPr>
              <w:spacing w:line="276" w:lineRule="auto"/>
              <w:ind w:left="743" w:right="39"/>
              <w:rPr>
                <w:rFonts w:eastAsia="Times New Roman"/>
                <w:lang w:val="lv-LV" w:eastAsia="lv-LV"/>
              </w:rPr>
            </w:pPr>
            <w:r w:rsidRPr="003A3A17">
              <w:rPr>
                <w:rFonts w:eastAsia="Times New Roman"/>
                <w:lang w:val="lv-LV" w:eastAsia="lv-LV"/>
              </w:rPr>
              <w:t>ES Iekšējās drošības stratēģiju, kurā viens no mērķiem ir uzlabot ES gatavību reaģēt krīzes situācijās;</w:t>
            </w:r>
          </w:p>
          <w:p w14:paraId="68E5E532" w14:textId="77777777" w:rsidR="0093257C" w:rsidRDefault="0093257C" w:rsidP="0093257C">
            <w:pPr>
              <w:pStyle w:val="ListParagraph"/>
              <w:numPr>
                <w:ilvl w:val="0"/>
                <w:numId w:val="45"/>
              </w:numPr>
              <w:spacing w:line="276" w:lineRule="auto"/>
              <w:ind w:left="743" w:right="39"/>
              <w:rPr>
                <w:rFonts w:eastAsia="Times New Roman"/>
                <w:lang w:val="lv-LV" w:eastAsia="lv-LV"/>
              </w:rPr>
            </w:pPr>
            <w:r w:rsidRPr="003A3A17">
              <w:rPr>
                <w:rFonts w:eastAsia="Times New Roman"/>
                <w:lang w:val="lv-LV" w:eastAsia="lv-LV"/>
              </w:rPr>
              <w:t>2017. gadā pieņemto “ES CBRN” rīcības plānu, kura vispārīgais mērķis ir samazināt CBRNE incidentu draudus un to radīto negatīvo ietekmi uz ES pilsoņiem un apkārtējo vidi. Rīcības plāns ietver novēršanas, atklāšanas, gatavības un reaģēšanas uzlabošanu CBRNE nelaimes gadījumos;</w:t>
            </w:r>
          </w:p>
          <w:p w14:paraId="6C8C674E" w14:textId="07F8A530" w:rsidR="0093257C" w:rsidRPr="0093257C" w:rsidRDefault="0093257C" w:rsidP="0093257C">
            <w:pPr>
              <w:pStyle w:val="ListParagraph"/>
              <w:numPr>
                <w:ilvl w:val="0"/>
                <w:numId w:val="45"/>
              </w:numPr>
              <w:spacing w:line="276" w:lineRule="auto"/>
              <w:ind w:left="743" w:right="39"/>
              <w:rPr>
                <w:rFonts w:eastAsia="Times New Roman"/>
                <w:lang w:val="lv-LV" w:eastAsia="lv-LV"/>
              </w:rPr>
            </w:pPr>
            <w:r w:rsidRPr="0093257C">
              <w:rPr>
                <w:rFonts w:eastAsia="Times New Roman"/>
                <w:lang w:val="lv-LV" w:eastAsia="lv-LV"/>
              </w:rPr>
              <w:t>Eiropas parlamenta un Padomes 2021. gada 7. jūlija regulu Nr. 2021/1149 par Iekšējās drošības fonda izveidi. IDF viens no atbalsta mērķiem</w:t>
            </w:r>
            <w:r w:rsidRPr="0093257C">
              <w:rPr>
                <w:lang w:val="lv-LV"/>
              </w:rPr>
              <w:t xml:space="preserve"> ir ar drošību saistītu risku un krīžu efektīva pārvaldība un gatavība, spēju stiprināšana, tostarp, nodrošinot apmācību.</w:t>
            </w:r>
          </w:p>
        </w:tc>
      </w:tr>
    </w:tbl>
    <w:p w14:paraId="591C87E5" w14:textId="762C61B4" w:rsidR="006A41E2" w:rsidRPr="00074F53" w:rsidRDefault="00B32C89" w:rsidP="00B32C89">
      <w:pPr>
        <w:pStyle w:val="ManualHeading1"/>
        <w:rPr>
          <w:noProof/>
          <w:lang w:val="lv-LV"/>
        </w:rPr>
      </w:pPr>
      <w:r w:rsidRPr="00074F53">
        <w:rPr>
          <w:lang w:val="lv-LV"/>
        </w:rPr>
        <w:lastRenderedPageBreak/>
        <w:t>4.</w:t>
      </w:r>
      <w:r w:rsidRPr="00074F53">
        <w:rPr>
          <w:lang w:val="lv-LV"/>
        </w:rPr>
        <w:tab/>
      </w:r>
      <w:r w:rsidR="006A41E2" w:rsidRPr="00074F53">
        <w:rPr>
          <w:noProof/>
          <w:lang w:val="lv-LV"/>
        </w:rPr>
        <w:t>Komunikācija un pamanāmība – Regulas (ES) 2021/1149 30. panta 2. punkta e) apakšpunkts</w:t>
      </w:r>
    </w:p>
    <w:p w14:paraId="36964431" w14:textId="77777777" w:rsidR="006A41E2" w:rsidRPr="00074F53" w:rsidRDefault="001B037F" w:rsidP="006A41E2">
      <w:pPr>
        <w:rPr>
          <w:noProof/>
          <w:lang w:val="lv-LV"/>
        </w:rPr>
      </w:pPr>
      <w:r w:rsidRPr="00074F53">
        <w:rPr>
          <w:noProof/>
          <w:lang w:val="lv-LV"/>
        </w:rPr>
        <w:t>Aprakstiet, kā pārskata gadā tika veikti komunikācijas un pamanāmības pasākumi. Jo īpaši norādiet, kāds progress panākts attiecībā uz komunikācijas stratēģijā noteiktajiem mērķiem, ko mēra ar attiecīgajiem rādītājiem un to mērķrādītājiem. Attiecīgā gadījumā aprakstiet labāko praksi, kā sasniegt mērķgrupas un/vai izplatīt un izmantot projektu rezultātus.</w:t>
      </w:r>
    </w:p>
    <w:tbl>
      <w:tblPr>
        <w:tblStyle w:val="TableGrid"/>
        <w:tblW w:w="0" w:type="auto"/>
        <w:tblLook w:val="04A0" w:firstRow="1" w:lastRow="0" w:firstColumn="1" w:lastColumn="0" w:noHBand="0" w:noVBand="1"/>
      </w:tblPr>
      <w:tblGrid>
        <w:gridCol w:w="9063"/>
      </w:tblGrid>
      <w:tr w:rsidR="003A3A17" w:rsidRPr="00074F53" w14:paraId="799D0E7D" w14:textId="77777777" w:rsidTr="00E45665">
        <w:tc>
          <w:tcPr>
            <w:tcW w:w="9289" w:type="dxa"/>
          </w:tcPr>
          <w:p w14:paraId="17DD58E1" w14:textId="1088A75D" w:rsidR="00B03177" w:rsidRPr="00074F53" w:rsidRDefault="000D1693" w:rsidP="00CC162E">
            <w:pPr>
              <w:pStyle w:val="Personnequisigne"/>
              <w:rPr>
                <w:noProof/>
                <w:lang w:val="lv-LV"/>
              </w:rPr>
            </w:pPr>
            <w:r w:rsidRPr="00074F53">
              <w:rPr>
                <w:noProof/>
                <w:lang w:val="lv-LV"/>
              </w:rPr>
              <w:t>Šeit ierakstiet tekstu. Ne vairāk kā 4000 rakstzīmes</w:t>
            </w:r>
          </w:p>
          <w:p w14:paraId="615DDD0F" w14:textId="77777777" w:rsidR="00550BFC" w:rsidRPr="00074F53" w:rsidRDefault="00550BFC" w:rsidP="00550BFC">
            <w:pPr>
              <w:rPr>
                <w:b/>
                <w:bCs/>
                <w:lang w:val="lv-LV"/>
              </w:rPr>
            </w:pPr>
            <w:r w:rsidRPr="00074F53">
              <w:rPr>
                <w:b/>
                <w:bCs/>
                <w:lang w:val="lv-LV"/>
              </w:rPr>
              <w:t>Stratēģiskais ietvars un mērķi</w:t>
            </w:r>
          </w:p>
          <w:p w14:paraId="68F678C4" w14:textId="77777777" w:rsidR="00550BFC" w:rsidRPr="00074F53" w:rsidRDefault="00550BFC" w:rsidP="00550BFC">
            <w:pPr>
              <w:rPr>
                <w:b/>
                <w:bCs/>
                <w:lang w:val="lv-LV"/>
              </w:rPr>
            </w:pPr>
            <w:r w:rsidRPr="00074F53">
              <w:rPr>
                <w:lang w:val="lv-LV"/>
              </w:rPr>
              <w:t xml:space="preserve">Pārskata periodā tika īstenota mērķtiecīga komunikācijas politika, lai nodrošinātu caurskatāmu informāciju par </w:t>
            </w:r>
            <w:r w:rsidRPr="00074F53">
              <w:rPr>
                <w:bCs/>
                <w:lang w:val="lv-LV"/>
              </w:rPr>
              <w:t xml:space="preserve">IDF </w:t>
            </w:r>
            <w:r w:rsidRPr="00074F53">
              <w:rPr>
                <w:lang w:val="lv-LV"/>
              </w:rPr>
              <w:t>tiešo ietekmi uz Latvijas iekšējās drošības kapacitāti un tās lomu kopējās ES drošības telpas noturībā. Komunikācijā uzsvars tika likts uz aktīvu sabiedrības izpratnes veidošanu par tiesībsargājošo iestāžu modernizāciju un cīņu pret noziedzību pateicoties ES finansējumam. Ņemot vērā ģeopolitisko situāciju, stratēģiskā komunikācija kalpoja kā kritisks instruments sabiedrības noturības un uzticēšanās stiprināšanai.</w:t>
            </w:r>
          </w:p>
          <w:p w14:paraId="5283DBC2" w14:textId="77777777" w:rsidR="00550BFC" w:rsidRPr="00074F53" w:rsidRDefault="00550BFC" w:rsidP="00550BFC">
            <w:pPr>
              <w:rPr>
                <w:b/>
                <w:bCs/>
                <w:lang w:val="lv-LV"/>
              </w:rPr>
            </w:pPr>
            <w:bookmarkStart w:id="17" w:name="_Hlk219456074"/>
            <w:r w:rsidRPr="00074F53">
              <w:rPr>
                <w:b/>
                <w:bCs/>
                <w:lang w:val="lv-LV"/>
              </w:rPr>
              <w:t>Galvenās aktivitātes un atpazīstamības veicināšana</w:t>
            </w:r>
          </w:p>
          <w:bookmarkEnd w:id="17"/>
          <w:p w14:paraId="2792722D" w14:textId="77777777" w:rsidR="00550BFC" w:rsidRPr="00074F53" w:rsidRDefault="00550BFC" w:rsidP="00550BFC">
            <w:pPr>
              <w:rPr>
                <w:lang w:val="lv-LV"/>
              </w:rPr>
            </w:pPr>
            <w:r w:rsidRPr="00074F53">
              <w:rPr>
                <w:lang w:val="lv-LV"/>
              </w:rPr>
              <w:t>Snieguma periodā IDF atpazīstamība tika būtiski veicināta, īstenojot integrētu komunikācijas pasākumu kopumu, kas sasniedza plašas sabiedrības grupas un nozares profesionāļus:</w:t>
            </w:r>
          </w:p>
          <w:p w14:paraId="3832F3E0" w14:textId="77777777" w:rsidR="00550BFC" w:rsidRPr="00074F53" w:rsidRDefault="00550BFC" w:rsidP="00550BFC">
            <w:pPr>
              <w:numPr>
                <w:ilvl w:val="0"/>
                <w:numId w:val="36"/>
              </w:numPr>
              <w:spacing w:after="160" w:line="259" w:lineRule="auto"/>
              <w:rPr>
                <w:lang w:val="lv-LV"/>
              </w:rPr>
            </w:pPr>
            <w:r w:rsidRPr="00074F53">
              <w:rPr>
                <w:bCs/>
                <w:lang w:val="lv-LV"/>
              </w:rPr>
              <w:t xml:space="preserve">Sabiedrības informēšanas kampaņas – </w:t>
            </w:r>
            <w:r w:rsidRPr="00074F53">
              <w:rPr>
                <w:lang w:val="lv-LV"/>
              </w:rPr>
              <w:t xml:space="preserve">IDF izšķirošu atpazīstamību nodrošināja divas vērienīgas kampaņas </w:t>
            </w:r>
            <w:r w:rsidRPr="00074F53">
              <w:rPr>
                <w:bCs/>
                <w:lang w:val="lv-LV"/>
              </w:rPr>
              <w:t>"Cel savu nākotni - stiprini Latvijas drošību!"</w:t>
            </w:r>
            <w:r w:rsidRPr="00074F53">
              <w:rPr>
                <w:lang w:val="lv-LV"/>
              </w:rPr>
              <w:t>. Tās fokusējās uz iedzīvotāju personīgo drošību un valsts aizsardzības spēju ciešo saikni ar ES finansiālo atbalstu, aicinot jauniešus iestāties ar IDF atbalstu jaunizveidotajā Iekšējās drošības akadēmijā.</w:t>
            </w:r>
          </w:p>
          <w:p w14:paraId="15C2B5D0" w14:textId="77777777" w:rsidR="00550BFC" w:rsidRPr="00074F53" w:rsidRDefault="00550BFC" w:rsidP="00550BFC">
            <w:pPr>
              <w:numPr>
                <w:ilvl w:val="0"/>
                <w:numId w:val="36"/>
              </w:numPr>
              <w:spacing w:after="160" w:line="259" w:lineRule="auto"/>
            </w:pPr>
            <w:r w:rsidRPr="00074F53">
              <w:rPr>
                <w:bCs/>
                <w:lang w:val="lv-LV"/>
              </w:rPr>
              <w:t>Starptautiskā konference un mediju darbs - n</w:t>
            </w:r>
            <w:r w:rsidRPr="00074F53">
              <w:rPr>
                <w:lang w:val="lv-LV"/>
              </w:rPr>
              <w:t xml:space="preserve">ozīmīgu rezonansi guva starptautiskā konference </w:t>
            </w:r>
            <w:r w:rsidRPr="00074F53">
              <w:rPr>
                <w:bCs/>
                <w:lang w:val="lv-LV"/>
              </w:rPr>
              <w:t>"Terorisma draudu pārvaldība: policijas un intervences vienību efektivitāte, sadarbība un personāla sagatavotība"</w:t>
            </w:r>
            <w:r w:rsidRPr="00074F53">
              <w:rPr>
                <w:lang w:val="lv-LV"/>
              </w:rPr>
              <w:t xml:space="preserve">. </w:t>
            </w:r>
            <w:proofErr w:type="spellStart"/>
            <w:r w:rsidRPr="00074F53">
              <w:t>Konferences</w:t>
            </w:r>
            <w:proofErr w:type="spellEnd"/>
            <w:r w:rsidRPr="00074F53">
              <w:t xml:space="preserve"> </w:t>
            </w:r>
            <w:proofErr w:type="spellStart"/>
            <w:r w:rsidRPr="00074F53">
              <w:t>ietvaros</w:t>
            </w:r>
            <w:proofErr w:type="spellEnd"/>
            <w:r w:rsidRPr="00074F53">
              <w:t xml:space="preserve"> </w:t>
            </w:r>
            <w:proofErr w:type="spellStart"/>
            <w:r w:rsidRPr="00074F53">
              <w:t>organizētā</w:t>
            </w:r>
            <w:proofErr w:type="spellEnd"/>
            <w:r w:rsidRPr="00074F53">
              <w:t xml:space="preserve"> </w:t>
            </w:r>
            <w:proofErr w:type="spellStart"/>
            <w:r w:rsidRPr="00074F53">
              <w:t>preses</w:t>
            </w:r>
            <w:proofErr w:type="spellEnd"/>
            <w:r w:rsidRPr="00074F53">
              <w:t xml:space="preserve"> </w:t>
            </w:r>
            <w:proofErr w:type="spellStart"/>
            <w:r w:rsidRPr="00074F53">
              <w:t>konference</w:t>
            </w:r>
            <w:proofErr w:type="spellEnd"/>
            <w:r w:rsidRPr="00074F53">
              <w:t xml:space="preserve"> </w:t>
            </w:r>
            <w:proofErr w:type="spellStart"/>
            <w:r w:rsidRPr="00074F53">
              <w:t>ļāva</w:t>
            </w:r>
            <w:proofErr w:type="spellEnd"/>
            <w:r w:rsidRPr="00074F53">
              <w:t xml:space="preserve"> </w:t>
            </w:r>
            <w:proofErr w:type="spellStart"/>
            <w:r w:rsidRPr="00074F53">
              <w:t>padziļināti</w:t>
            </w:r>
            <w:proofErr w:type="spellEnd"/>
            <w:r w:rsidRPr="00074F53">
              <w:t xml:space="preserve"> </w:t>
            </w:r>
            <w:proofErr w:type="spellStart"/>
            <w:r w:rsidRPr="00074F53">
              <w:t>skaidrot</w:t>
            </w:r>
            <w:proofErr w:type="spellEnd"/>
            <w:r w:rsidRPr="00074F53">
              <w:t xml:space="preserve"> IDF </w:t>
            </w:r>
            <w:proofErr w:type="spellStart"/>
            <w:r w:rsidRPr="00074F53">
              <w:t>lomu</w:t>
            </w:r>
            <w:proofErr w:type="spellEnd"/>
            <w:r w:rsidRPr="00074F53">
              <w:t xml:space="preserve"> </w:t>
            </w:r>
            <w:proofErr w:type="spellStart"/>
            <w:r w:rsidRPr="00074F53">
              <w:t>pretterorisma</w:t>
            </w:r>
            <w:proofErr w:type="spellEnd"/>
            <w:r w:rsidRPr="00074F53">
              <w:t xml:space="preserve"> </w:t>
            </w:r>
            <w:proofErr w:type="spellStart"/>
            <w:r w:rsidRPr="00074F53">
              <w:t>kapacitātes</w:t>
            </w:r>
            <w:proofErr w:type="spellEnd"/>
            <w:r w:rsidRPr="00074F53">
              <w:t xml:space="preserve"> </w:t>
            </w:r>
            <w:proofErr w:type="spellStart"/>
            <w:r w:rsidRPr="00074F53">
              <w:t>stiprināšanā</w:t>
            </w:r>
            <w:proofErr w:type="spellEnd"/>
            <w:r w:rsidRPr="00074F53">
              <w:t xml:space="preserve">. </w:t>
            </w:r>
          </w:p>
          <w:p w14:paraId="69C5B371" w14:textId="77777777" w:rsidR="00550BFC" w:rsidRPr="00074F53" w:rsidRDefault="00550BFC" w:rsidP="00550BFC">
            <w:pPr>
              <w:numPr>
                <w:ilvl w:val="0"/>
                <w:numId w:val="36"/>
              </w:numPr>
              <w:spacing w:after="160" w:line="259" w:lineRule="auto"/>
            </w:pPr>
            <w:bookmarkStart w:id="18" w:name="_Hlk219457128"/>
            <w:proofErr w:type="spellStart"/>
            <w:r w:rsidRPr="00074F53">
              <w:rPr>
                <w:bCs/>
              </w:rPr>
              <w:t>Nozares</w:t>
            </w:r>
            <w:proofErr w:type="spellEnd"/>
            <w:r w:rsidRPr="00074F53">
              <w:rPr>
                <w:bCs/>
              </w:rPr>
              <w:t xml:space="preserve"> </w:t>
            </w:r>
            <w:proofErr w:type="spellStart"/>
            <w:r w:rsidRPr="00074F53">
              <w:rPr>
                <w:bCs/>
              </w:rPr>
              <w:t>pasākumi</w:t>
            </w:r>
            <w:proofErr w:type="spellEnd"/>
            <w:r w:rsidRPr="00074F53">
              <w:rPr>
                <w:bCs/>
              </w:rPr>
              <w:t xml:space="preserve"> un </w:t>
            </w:r>
            <w:proofErr w:type="spellStart"/>
            <w:r w:rsidRPr="00074F53">
              <w:rPr>
                <w:bCs/>
              </w:rPr>
              <w:t>industrijas</w:t>
            </w:r>
            <w:proofErr w:type="spellEnd"/>
            <w:r w:rsidRPr="00074F53">
              <w:rPr>
                <w:bCs/>
              </w:rPr>
              <w:t xml:space="preserve"> </w:t>
            </w:r>
            <w:proofErr w:type="spellStart"/>
            <w:r w:rsidRPr="00074F53">
              <w:rPr>
                <w:bCs/>
              </w:rPr>
              <w:t>iesaiste</w:t>
            </w:r>
            <w:proofErr w:type="spellEnd"/>
            <w:r w:rsidRPr="00074F53">
              <w:rPr>
                <w:bCs/>
              </w:rPr>
              <w:t xml:space="preserve"> - </w:t>
            </w:r>
            <w:r w:rsidRPr="00074F53">
              <w:t xml:space="preserve">IDF un </w:t>
            </w:r>
            <w:proofErr w:type="spellStart"/>
            <w:r w:rsidRPr="00074F53">
              <w:t>kopumā</w:t>
            </w:r>
            <w:proofErr w:type="spellEnd"/>
            <w:r w:rsidRPr="00074F53">
              <w:t xml:space="preserve"> ES </w:t>
            </w:r>
            <w:proofErr w:type="spellStart"/>
            <w:r w:rsidRPr="00074F53">
              <w:t>iekšlietu</w:t>
            </w:r>
            <w:proofErr w:type="spellEnd"/>
            <w:r w:rsidRPr="00074F53">
              <w:t xml:space="preserve"> fondu </w:t>
            </w:r>
            <w:proofErr w:type="spellStart"/>
            <w:r w:rsidRPr="00074F53">
              <w:t>redzamība</w:t>
            </w:r>
            <w:proofErr w:type="spellEnd"/>
            <w:r w:rsidRPr="00074F53">
              <w:t xml:space="preserve"> tika </w:t>
            </w:r>
            <w:proofErr w:type="spellStart"/>
            <w:r w:rsidRPr="00074F53">
              <w:t>nostiprināta</w:t>
            </w:r>
            <w:proofErr w:type="spellEnd"/>
            <w:r w:rsidRPr="00074F53">
              <w:t xml:space="preserve"> </w:t>
            </w:r>
            <w:proofErr w:type="spellStart"/>
            <w:r w:rsidRPr="00074F53">
              <w:t>caur</w:t>
            </w:r>
            <w:proofErr w:type="spellEnd"/>
            <w:r w:rsidRPr="00074F53">
              <w:t xml:space="preserve"> </w:t>
            </w:r>
            <w:proofErr w:type="spellStart"/>
            <w:r w:rsidRPr="00074F53">
              <w:rPr>
                <w:bCs/>
              </w:rPr>
              <w:t>vadošās</w:t>
            </w:r>
            <w:proofErr w:type="spellEnd"/>
            <w:r w:rsidRPr="00074F53">
              <w:rPr>
                <w:bCs/>
              </w:rPr>
              <w:t xml:space="preserve"> </w:t>
            </w:r>
            <w:proofErr w:type="spellStart"/>
            <w:r w:rsidRPr="00074F53">
              <w:rPr>
                <w:bCs/>
              </w:rPr>
              <w:t>iestādes</w:t>
            </w:r>
            <w:proofErr w:type="spellEnd"/>
            <w:r w:rsidRPr="00074F53">
              <w:rPr>
                <w:bCs/>
              </w:rPr>
              <w:t xml:space="preserve"> </w:t>
            </w:r>
            <w:proofErr w:type="spellStart"/>
            <w:r w:rsidRPr="00074F53">
              <w:rPr>
                <w:bCs/>
              </w:rPr>
              <w:t>Industrijas</w:t>
            </w:r>
            <w:proofErr w:type="spellEnd"/>
            <w:r w:rsidRPr="00074F53">
              <w:rPr>
                <w:bCs/>
              </w:rPr>
              <w:t xml:space="preserve"> </w:t>
            </w:r>
            <w:proofErr w:type="spellStart"/>
            <w:r w:rsidRPr="00074F53">
              <w:rPr>
                <w:bCs/>
              </w:rPr>
              <w:t>dienām</w:t>
            </w:r>
            <w:proofErr w:type="spellEnd"/>
            <w:r w:rsidRPr="00074F53">
              <w:t xml:space="preserve">. </w:t>
            </w:r>
            <w:proofErr w:type="spellStart"/>
            <w:r w:rsidRPr="00074F53">
              <w:t>Pasākuma</w:t>
            </w:r>
            <w:proofErr w:type="spellEnd"/>
            <w:r w:rsidRPr="00074F53">
              <w:t xml:space="preserve"> </w:t>
            </w:r>
            <w:proofErr w:type="spellStart"/>
            <w:r w:rsidRPr="00074F53">
              <w:t>norise</w:t>
            </w:r>
            <w:proofErr w:type="spellEnd"/>
            <w:r w:rsidRPr="00074F53">
              <w:t xml:space="preserve"> </w:t>
            </w:r>
            <w:proofErr w:type="spellStart"/>
            <w:r w:rsidRPr="00074F53">
              <w:t>ar</w:t>
            </w:r>
            <w:proofErr w:type="spellEnd"/>
            <w:r w:rsidRPr="00074F53">
              <w:t xml:space="preserve"> </w:t>
            </w:r>
            <w:proofErr w:type="spellStart"/>
            <w:r w:rsidRPr="00074F53">
              <w:t>plašu</w:t>
            </w:r>
            <w:proofErr w:type="spellEnd"/>
            <w:r w:rsidRPr="00074F53">
              <w:t xml:space="preserve"> </w:t>
            </w:r>
            <w:proofErr w:type="spellStart"/>
            <w:r w:rsidRPr="00074F53">
              <w:t>preses</w:t>
            </w:r>
            <w:proofErr w:type="spellEnd"/>
            <w:r w:rsidRPr="00074F53">
              <w:t xml:space="preserve"> </w:t>
            </w:r>
            <w:proofErr w:type="spellStart"/>
            <w:r w:rsidRPr="00074F53">
              <w:t>klātbūtni</w:t>
            </w:r>
            <w:proofErr w:type="spellEnd"/>
            <w:r w:rsidRPr="00074F53">
              <w:t xml:space="preserve"> </w:t>
            </w:r>
            <w:proofErr w:type="spellStart"/>
            <w:r w:rsidRPr="00074F53">
              <w:t>veicināja</w:t>
            </w:r>
            <w:proofErr w:type="spellEnd"/>
            <w:r w:rsidRPr="00074F53">
              <w:t xml:space="preserve"> </w:t>
            </w:r>
            <w:proofErr w:type="spellStart"/>
            <w:r w:rsidRPr="00074F53">
              <w:t>dialogu</w:t>
            </w:r>
            <w:proofErr w:type="spellEnd"/>
            <w:r w:rsidRPr="00074F53">
              <w:t xml:space="preserve"> </w:t>
            </w:r>
            <w:proofErr w:type="spellStart"/>
            <w:r w:rsidRPr="00074F53">
              <w:t>starp</w:t>
            </w:r>
            <w:proofErr w:type="spellEnd"/>
            <w:r w:rsidRPr="00074F53">
              <w:t xml:space="preserve"> </w:t>
            </w:r>
            <w:proofErr w:type="spellStart"/>
            <w:r w:rsidRPr="00074F53">
              <w:t>valsts</w:t>
            </w:r>
            <w:proofErr w:type="spellEnd"/>
            <w:r w:rsidRPr="00074F53">
              <w:t xml:space="preserve"> </w:t>
            </w:r>
            <w:proofErr w:type="spellStart"/>
            <w:r w:rsidRPr="00074F53">
              <w:t>pārvaldi</w:t>
            </w:r>
            <w:proofErr w:type="spellEnd"/>
            <w:r w:rsidRPr="00074F53">
              <w:t xml:space="preserve"> un </w:t>
            </w:r>
            <w:proofErr w:type="spellStart"/>
            <w:r w:rsidRPr="00074F53">
              <w:t>privāto</w:t>
            </w:r>
            <w:proofErr w:type="spellEnd"/>
            <w:r w:rsidRPr="00074F53">
              <w:t xml:space="preserve"> </w:t>
            </w:r>
            <w:proofErr w:type="spellStart"/>
            <w:r w:rsidRPr="00074F53">
              <w:t>sektoru</w:t>
            </w:r>
            <w:proofErr w:type="spellEnd"/>
            <w:r w:rsidRPr="00074F53">
              <w:t xml:space="preserve">, </w:t>
            </w:r>
            <w:proofErr w:type="spellStart"/>
            <w:r w:rsidRPr="00074F53">
              <w:t>uzsverot</w:t>
            </w:r>
            <w:proofErr w:type="spellEnd"/>
            <w:r w:rsidRPr="00074F53">
              <w:t xml:space="preserve"> ES </w:t>
            </w:r>
            <w:proofErr w:type="spellStart"/>
            <w:r w:rsidRPr="00074F53">
              <w:t>atbalstu</w:t>
            </w:r>
            <w:proofErr w:type="spellEnd"/>
            <w:r w:rsidRPr="00074F53">
              <w:t xml:space="preserve"> un </w:t>
            </w:r>
            <w:proofErr w:type="spellStart"/>
            <w:r w:rsidRPr="00074F53">
              <w:t>inovāciju</w:t>
            </w:r>
            <w:proofErr w:type="spellEnd"/>
            <w:r w:rsidRPr="00074F53">
              <w:t xml:space="preserve"> </w:t>
            </w:r>
            <w:proofErr w:type="spellStart"/>
            <w:r w:rsidRPr="00074F53">
              <w:t>lomu</w:t>
            </w:r>
            <w:proofErr w:type="spellEnd"/>
            <w:r w:rsidRPr="00074F53">
              <w:t xml:space="preserve"> </w:t>
            </w:r>
            <w:proofErr w:type="spellStart"/>
            <w:r w:rsidRPr="00074F53">
              <w:t>drošības</w:t>
            </w:r>
            <w:proofErr w:type="spellEnd"/>
            <w:r w:rsidRPr="00074F53">
              <w:t xml:space="preserve"> </w:t>
            </w:r>
            <w:proofErr w:type="spellStart"/>
            <w:r w:rsidRPr="00074F53">
              <w:t>telpā</w:t>
            </w:r>
            <w:proofErr w:type="spellEnd"/>
            <w:r w:rsidRPr="00074F53">
              <w:t xml:space="preserve">. </w:t>
            </w:r>
            <w:proofErr w:type="spellStart"/>
            <w:r w:rsidRPr="00074F53">
              <w:t>Tāpat</w:t>
            </w:r>
            <w:proofErr w:type="spellEnd"/>
            <w:r w:rsidRPr="00074F53">
              <w:t xml:space="preserve"> </w:t>
            </w:r>
            <w:proofErr w:type="spellStart"/>
            <w:r w:rsidRPr="00074F53">
              <w:t>ļoti</w:t>
            </w:r>
            <w:proofErr w:type="spellEnd"/>
            <w:r w:rsidRPr="00074F53">
              <w:t xml:space="preserve"> </w:t>
            </w:r>
            <w:proofErr w:type="spellStart"/>
            <w:r w:rsidRPr="00074F53">
              <w:t>plašu</w:t>
            </w:r>
            <w:proofErr w:type="spellEnd"/>
            <w:r w:rsidRPr="00074F53">
              <w:t xml:space="preserve">, </w:t>
            </w:r>
            <w:proofErr w:type="spellStart"/>
            <w:r w:rsidRPr="00074F53">
              <w:t>pozitīvu</w:t>
            </w:r>
            <w:proofErr w:type="spellEnd"/>
            <w:r w:rsidRPr="00074F53">
              <w:t xml:space="preserve"> </w:t>
            </w:r>
            <w:proofErr w:type="spellStart"/>
            <w:r w:rsidRPr="00074F53">
              <w:t>rezonansi</w:t>
            </w:r>
            <w:proofErr w:type="spellEnd"/>
            <w:r w:rsidRPr="00074F53">
              <w:t xml:space="preserve"> </w:t>
            </w:r>
            <w:proofErr w:type="spellStart"/>
            <w:r w:rsidRPr="00074F53">
              <w:t>plašsaziņas</w:t>
            </w:r>
            <w:proofErr w:type="spellEnd"/>
            <w:r w:rsidRPr="00074F53">
              <w:t xml:space="preserve"> </w:t>
            </w:r>
            <w:proofErr w:type="spellStart"/>
            <w:r w:rsidRPr="00074F53">
              <w:t>medijos</w:t>
            </w:r>
            <w:proofErr w:type="spellEnd"/>
            <w:r w:rsidRPr="00074F53">
              <w:t xml:space="preserve"> </w:t>
            </w:r>
            <w:proofErr w:type="spellStart"/>
            <w:r w:rsidRPr="00074F53">
              <w:t>izsauca</w:t>
            </w:r>
            <w:proofErr w:type="spellEnd"/>
            <w:r w:rsidRPr="00074F53">
              <w:t xml:space="preserve"> </w:t>
            </w:r>
            <w:proofErr w:type="spellStart"/>
            <w:r w:rsidRPr="00074F53">
              <w:t>projekta</w:t>
            </w:r>
            <w:proofErr w:type="spellEnd"/>
            <w:r w:rsidRPr="00074F53">
              <w:t xml:space="preserve"> </w:t>
            </w:r>
            <w:proofErr w:type="spellStart"/>
            <w:r w:rsidRPr="00074F53">
              <w:t>noslēguma</w:t>
            </w:r>
            <w:proofErr w:type="spellEnd"/>
            <w:r w:rsidRPr="00074F53">
              <w:t xml:space="preserve"> </w:t>
            </w:r>
            <w:proofErr w:type="spellStart"/>
            <w:r w:rsidRPr="00074F53">
              <w:t>pasākums</w:t>
            </w:r>
            <w:proofErr w:type="spellEnd"/>
            <w:r w:rsidRPr="00074F53">
              <w:t xml:space="preserve"> par </w:t>
            </w:r>
            <w:proofErr w:type="spellStart"/>
            <w:r w:rsidRPr="00074F53">
              <w:t>godu</w:t>
            </w:r>
            <w:proofErr w:type="spellEnd"/>
            <w:r w:rsidRPr="00074F53">
              <w:t xml:space="preserve"> </w:t>
            </w:r>
            <w:proofErr w:type="spellStart"/>
            <w:r w:rsidRPr="00074F53">
              <w:t>ar</w:t>
            </w:r>
            <w:proofErr w:type="spellEnd"/>
            <w:r w:rsidRPr="00074F53">
              <w:t xml:space="preserve"> IDF </w:t>
            </w:r>
            <w:proofErr w:type="spellStart"/>
            <w:r w:rsidRPr="00074F53">
              <w:t>atbalstu</w:t>
            </w:r>
            <w:proofErr w:type="spellEnd"/>
            <w:r w:rsidRPr="00074F53">
              <w:t xml:space="preserve"> </w:t>
            </w:r>
            <w:proofErr w:type="spellStart"/>
            <w:r w:rsidRPr="00074F53">
              <w:t>izbūvētajam</w:t>
            </w:r>
            <w:proofErr w:type="spellEnd"/>
            <w:r w:rsidRPr="00074F53">
              <w:t xml:space="preserve"> </w:t>
            </w:r>
            <w:proofErr w:type="spellStart"/>
            <w:r w:rsidRPr="00074F53">
              <w:t>Valsts</w:t>
            </w:r>
            <w:proofErr w:type="spellEnd"/>
            <w:r w:rsidRPr="00074F53">
              <w:t xml:space="preserve"> </w:t>
            </w:r>
            <w:proofErr w:type="spellStart"/>
            <w:r w:rsidRPr="00074F53">
              <w:t>ugunsdzēsības</w:t>
            </w:r>
            <w:proofErr w:type="spellEnd"/>
            <w:r w:rsidRPr="00074F53">
              <w:t xml:space="preserve"> un </w:t>
            </w:r>
            <w:proofErr w:type="spellStart"/>
            <w:r w:rsidRPr="00074F53">
              <w:t>glābšanas</w:t>
            </w:r>
            <w:proofErr w:type="spellEnd"/>
            <w:r w:rsidRPr="00074F53">
              <w:t xml:space="preserve"> </w:t>
            </w:r>
            <w:proofErr w:type="spellStart"/>
            <w:r w:rsidRPr="00074F53">
              <w:t>dienesta</w:t>
            </w:r>
            <w:proofErr w:type="spellEnd"/>
            <w:r w:rsidRPr="00074F53">
              <w:t xml:space="preserve"> </w:t>
            </w:r>
            <w:proofErr w:type="spellStart"/>
            <w:r w:rsidRPr="00074F53">
              <w:t>mācību</w:t>
            </w:r>
            <w:proofErr w:type="spellEnd"/>
            <w:r w:rsidRPr="00074F53">
              <w:t xml:space="preserve"> </w:t>
            </w:r>
            <w:proofErr w:type="spellStart"/>
            <w:r w:rsidRPr="00074F53">
              <w:t>poligonam</w:t>
            </w:r>
            <w:proofErr w:type="spellEnd"/>
            <w:r w:rsidRPr="00074F53">
              <w:t xml:space="preserve">. </w:t>
            </w:r>
          </w:p>
          <w:p w14:paraId="6081EFCF" w14:textId="77777777" w:rsidR="00550BFC" w:rsidRPr="00074F53" w:rsidRDefault="00550BFC" w:rsidP="00550BFC">
            <w:pPr>
              <w:numPr>
                <w:ilvl w:val="0"/>
                <w:numId w:val="36"/>
              </w:numPr>
              <w:spacing w:after="160" w:line="259" w:lineRule="auto"/>
            </w:pPr>
            <w:bookmarkStart w:id="19" w:name="_Hlk219457165"/>
            <w:bookmarkEnd w:id="18"/>
            <w:proofErr w:type="spellStart"/>
            <w:r w:rsidRPr="00074F53">
              <w:rPr>
                <w:bCs/>
              </w:rPr>
              <w:t>Digitālā</w:t>
            </w:r>
            <w:proofErr w:type="spellEnd"/>
            <w:r w:rsidRPr="00074F53">
              <w:rPr>
                <w:bCs/>
              </w:rPr>
              <w:t xml:space="preserve"> un </w:t>
            </w:r>
            <w:proofErr w:type="spellStart"/>
            <w:r w:rsidRPr="00074F53">
              <w:rPr>
                <w:bCs/>
              </w:rPr>
              <w:t>multimediju</w:t>
            </w:r>
            <w:proofErr w:type="spellEnd"/>
            <w:r w:rsidRPr="00074F53">
              <w:rPr>
                <w:bCs/>
              </w:rPr>
              <w:t xml:space="preserve"> </w:t>
            </w:r>
            <w:proofErr w:type="spellStart"/>
            <w:r w:rsidRPr="00074F53">
              <w:rPr>
                <w:bCs/>
              </w:rPr>
              <w:t>komunikācija</w:t>
            </w:r>
            <w:proofErr w:type="spellEnd"/>
            <w:r w:rsidRPr="00074F53">
              <w:rPr>
                <w:bCs/>
              </w:rPr>
              <w:t xml:space="preserve"> – </w:t>
            </w:r>
            <w:proofErr w:type="spellStart"/>
            <w:r w:rsidRPr="00074F53">
              <w:rPr>
                <w:bCs/>
              </w:rPr>
              <w:t>v</w:t>
            </w:r>
            <w:r w:rsidRPr="00074F53">
              <w:t>ienotajā</w:t>
            </w:r>
            <w:proofErr w:type="spellEnd"/>
            <w:r w:rsidRPr="00074F53">
              <w:t xml:space="preserve">, </w:t>
            </w:r>
            <w:proofErr w:type="spellStart"/>
            <w:r w:rsidRPr="00074F53">
              <w:t>centrālajā</w:t>
            </w:r>
            <w:proofErr w:type="spellEnd"/>
            <w:r w:rsidRPr="00074F53">
              <w:t xml:space="preserve"> ES fondu </w:t>
            </w:r>
            <w:proofErr w:type="spellStart"/>
            <w:r w:rsidRPr="00074F53">
              <w:t>tīmekļvietnē</w:t>
            </w:r>
            <w:proofErr w:type="spellEnd"/>
            <w:r w:rsidRPr="00074F53">
              <w:t xml:space="preserve"> (www.esfondi.lv) </w:t>
            </w:r>
            <w:proofErr w:type="spellStart"/>
            <w:r w:rsidRPr="00074F53">
              <w:t>pārskata</w:t>
            </w:r>
            <w:proofErr w:type="spellEnd"/>
            <w:r w:rsidRPr="00074F53">
              <w:t xml:space="preserve"> </w:t>
            </w:r>
            <w:proofErr w:type="spellStart"/>
            <w:r w:rsidRPr="00074F53">
              <w:t>gadā</w:t>
            </w:r>
            <w:proofErr w:type="spellEnd"/>
            <w:r w:rsidRPr="00074F53">
              <w:t xml:space="preserve"> par ES </w:t>
            </w:r>
            <w:proofErr w:type="spellStart"/>
            <w:r w:rsidRPr="00074F53">
              <w:t>ieguldījumu</w:t>
            </w:r>
            <w:proofErr w:type="spellEnd"/>
            <w:r w:rsidRPr="00074F53">
              <w:t xml:space="preserve"> </w:t>
            </w:r>
            <w:proofErr w:type="spellStart"/>
            <w:r w:rsidRPr="00074F53">
              <w:t>iekšlietu</w:t>
            </w:r>
            <w:proofErr w:type="spellEnd"/>
            <w:r w:rsidRPr="00074F53">
              <w:t xml:space="preserve"> </w:t>
            </w:r>
            <w:proofErr w:type="spellStart"/>
            <w:r w:rsidRPr="00074F53">
              <w:t>jomai</w:t>
            </w:r>
            <w:proofErr w:type="spellEnd"/>
            <w:r w:rsidRPr="00074F53">
              <w:t xml:space="preserve"> </w:t>
            </w:r>
            <w:proofErr w:type="spellStart"/>
            <w:r w:rsidRPr="00074F53">
              <w:t>publicētas</w:t>
            </w:r>
            <w:proofErr w:type="spellEnd"/>
            <w:r w:rsidRPr="00074F53">
              <w:t xml:space="preserve"> 180 </w:t>
            </w:r>
            <w:proofErr w:type="spellStart"/>
            <w:r w:rsidRPr="00074F53">
              <w:t>ziņas</w:t>
            </w:r>
            <w:proofErr w:type="spellEnd"/>
            <w:r w:rsidRPr="00074F53">
              <w:t xml:space="preserve"> </w:t>
            </w:r>
            <w:proofErr w:type="spellStart"/>
            <w:r w:rsidRPr="00074F53">
              <w:t>latviešu</w:t>
            </w:r>
            <w:proofErr w:type="spellEnd"/>
            <w:r w:rsidRPr="00074F53">
              <w:t xml:space="preserve"> un 180 </w:t>
            </w:r>
            <w:proofErr w:type="spellStart"/>
            <w:r w:rsidRPr="00074F53">
              <w:t>ziņas</w:t>
            </w:r>
            <w:proofErr w:type="spellEnd"/>
            <w:r w:rsidRPr="00074F53">
              <w:t xml:space="preserve"> </w:t>
            </w:r>
            <w:proofErr w:type="spellStart"/>
            <w:r w:rsidRPr="00074F53">
              <w:t>angļu</w:t>
            </w:r>
            <w:proofErr w:type="spellEnd"/>
            <w:r w:rsidRPr="00074F53">
              <w:t xml:space="preserve"> </w:t>
            </w:r>
            <w:proofErr w:type="spellStart"/>
            <w:r w:rsidRPr="00074F53">
              <w:t>valodā</w:t>
            </w:r>
            <w:proofErr w:type="spellEnd"/>
            <w:r w:rsidRPr="00074F53">
              <w:t xml:space="preserve">, </w:t>
            </w:r>
            <w:proofErr w:type="spellStart"/>
            <w:r w:rsidRPr="00074F53">
              <w:t>nodrošinot</w:t>
            </w:r>
            <w:proofErr w:type="spellEnd"/>
            <w:r w:rsidRPr="00074F53">
              <w:t xml:space="preserve"> </w:t>
            </w:r>
            <w:proofErr w:type="spellStart"/>
            <w:r w:rsidRPr="00074F53">
              <w:t>pilnīgu</w:t>
            </w:r>
            <w:proofErr w:type="spellEnd"/>
            <w:r w:rsidRPr="00074F53">
              <w:t xml:space="preserve"> </w:t>
            </w:r>
            <w:proofErr w:type="spellStart"/>
            <w:r w:rsidRPr="00074F53">
              <w:t>atklātību</w:t>
            </w:r>
            <w:proofErr w:type="spellEnd"/>
            <w:r w:rsidRPr="00074F53">
              <w:t xml:space="preserve"> ne </w:t>
            </w:r>
            <w:proofErr w:type="spellStart"/>
            <w:r w:rsidRPr="00074F53">
              <w:t>tikai</w:t>
            </w:r>
            <w:proofErr w:type="spellEnd"/>
            <w:r w:rsidRPr="00074F53">
              <w:t xml:space="preserve"> </w:t>
            </w:r>
            <w:proofErr w:type="spellStart"/>
            <w:r w:rsidRPr="00074F53">
              <w:t>Latvijā</w:t>
            </w:r>
            <w:proofErr w:type="spellEnd"/>
            <w:r w:rsidRPr="00074F53">
              <w:t xml:space="preserve">, bet </w:t>
            </w:r>
            <w:proofErr w:type="spellStart"/>
            <w:r w:rsidRPr="00074F53">
              <w:t>arī</w:t>
            </w:r>
            <w:proofErr w:type="spellEnd"/>
            <w:r w:rsidRPr="00074F53">
              <w:t xml:space="preserve"> </w:t>
            </w:r>
            <w:proofErr w:type="spellStart"/>
            <w:r w:rsidRPr="00074F53">
              <w:lastRenderedPageBreak/>
              <w:t>starptautiskā</w:t>
            </w:r>
            <w:proofErr w:type="spellEnd"/>
            <w:r w:rsidRPr="00074F53">
              <w:t xml:space="preserve"> </w:t>
            </w:r>
            <w:proofErr w:type="spellStart"/>
            <w:r w:rsidRPr="00074F53">
              <w:t>līmenī</w:t>
            </w:r>
            <w:proofErr w:type="spellEnd"/>
            <w:r w:rsidRPr="00074F53">
              <w:t xml:space="preserve">. </w:t>
            </w:r>
            <w:proofErr w:type="spellStart"/>
            <w:r w:rsidRPr="00074F53">
              <w:t>Dinamiska</w:t>
            </w:r>
            <w:proofErr w:type="spellEnd"/>
            <w:r w:rsidRPr="00074F53">
              <w:t xml:space="preserve"> </w:t>
            </w:r>
            <w:proofErr w:type="spellStart"/>
            <w:r w:rsidRPr="00074F53">
              <w:t>komunikācija</w:t>
            </w:r>
            <w:proofErr w:type="spellEnd"/>
            <w:r w:rsidRPr="00074F53">
              <w:t xml:space="preserve"> </w:t>
            </w:r>
            <w:proofErr w:type="spellStart"/>
            <w:r w:rsidRPr="00074F53">
              <w:t>sociālajās</w:t>
            </w:r>
            <w:proofErr w:type="spellEnd"/>
            <w:r w:rsidRPr="00074F53">
              <w:t xml:space="preserve"> </w:t>
            </w:r>
            <w:proofErr w:type="spellStart"/>
            <w:r w:rsidRPr="00074F53">
              <w:t>platformās</w:t>
            </w:r>
            <w:proofErr w:type="spellEnd"/>
            <w:r w:rsidRPr="00074F53">
              <w:t xml:space="preserve"> un </w:t>
            </w:r>
            <w:proofErr w:type="spellStart"/>
            <w:r w:rsidRPr="00074F53">
              <w:t>regulāras</w:t>
            </w:r>
            <w:proofErr w:type="spellEnd"/>
            <w:r w:rsidRPr="00074F53">
              <w:t xml:space="preserve"> </w:t>
            </w:r>
            <w:proofErr w:type="spellStart"/>
            <w:r w:rsidRPr="00074F53">
              <w:t>preses</w:t>
            </w:r>
            <w:proofErr w:type="spellEnd"/>
            <w:r w:rsidRPr="00074F53">
              <w:t xml:space="preserve"> </w:t>
            </w:r>
            <w:proofErr w:type="spellStart"/>
            <w:r w:rsidRPr="00074F53">
              <w:t>relīzes</w:t>
            </w:r>
            <w:proofErr w:type="spellEnd"/>
            <w:r w:rsidRPr="00074F53">
              <w:t xml:space="preserve"> </w:t>
            </w:r>
            <w:proofErr w:type="spellStart"/>
            <w:r w:rsidRPr="00074F53">
              <w:t>operatīvi</w:t>
            </w:r>
            <w:proofErr w:type="spellEnd"/>
            <w:r w:rsidRPr="00074F53">
              <w:t xml:space="preserve"> </w:t>
            </w:r>
            <w:proofErr w:type="spellStart"/>
            <w:r w:rsidRPr="00074F53">
              <w:t>informēja</w:t>
            </w:r>
            <w:proofErr w:type="spellEnd"/>
            <w:r w:rsidRPr="00074F53">
              <w:t xml:space="preserve"> par </w:t>
            </w:r>
            <w:proofErr w:type="spellStart"/>
            <w:r w:rsidRPr="00074F53">
              <w:t>projektu</w:t>
            </w:r>
            <w:proofErr w:type="spellEnd"/>
            <w:r w:rsidRPr="00074F53">
              <w:t xml:space="preserve"> </w:t>
            </w:r>
            <w:proofErr w:type="spellStart"/>
            <w:r w:rsidRPr="00074F53">
              <w:t>sasniegtajiem</w:t>
            </w:r>
            <w:proofErr w:type="spellEnd"/>
            <w:r w:rsidRPr="00074F53">
              <w:t xml:space="preserve"> </w:t>
            </w:r>
            <w:proofErr w:type="spellStart"/>
            <w:r w:rsidRPr="00074F53">
              <w:t>rezultātiem</w:t>
            </w:r>
            <w:proofErr w:type="spellEnd"/>
            <w:r w:rsidRPr="00074F53">
              <w:t>.</w:t>
            </w:r>
          </w:p>
          <w:p w14:paraId="73D9B868" w14:textId="77777777" w:rsidR="00550BFC" w:rsidRPr="00074F53" w:rsidRDefault="00550BFC" w:rsidP="00550BFC">
            <w:pPr>
              <w:numPr>
                <w:ilvl w:val="0"/>
                <w:numId w:val="36"/>
              </w:numPr>
              <w:spacing w:after="160" w:line="259" w:lineRule="auto"/>
            </w:pPr>
            <w:bookmarkStart w:id="20" w:name="_Hlk219457207"/>
            <w:bookmarkEnd w:id="19"/>
            <w:proofErr w:type="spellStart"/>
            <w:r w:rsidRPr="00074F53">
              <w:rPr>
                <w:bCs/>
              </w:rPr>
              <w:t>Vizuālā</w:t>
            </w:r>
            <w:proofErr w:type="spellEnd"/>
            <w:r w:rsidRPr="00074F53">
              <w:rPr>
                <w:bCs/>
              </w:rPr>
              <w:t xml:space="preserve"> </w:t>
            </w:r>
            <w:proofErr w:type="spellStart"/>
            <w:r w:rsidRPr="00074F53">
              <w:rPr>
                <w:bCs/>
              </w:rPr>
              <w:t>identitāte</w:t>
            </w:r>
            <w:proofErr w:type="spellEnd"/>
            <w:r w:rsidRPr="00074F53">
              <w:rPr>
                <w:bCs/>
              </w:rPr>
              <w:t xml:space="preserve"> - </w:t>
            </w:r>
            <w:proofErr w:type="spellStart"/>
            <w:r w:rsidRPr="00074F53">
              <w:rPr>
                <w:bCs/>
              </w:rPr>
              <w:t>v</w:t>
            </w:r>
            <w:r w:rsidRPr="00074F53">
              <w:t>isās</w:t>
            </w:r>
            <w:proofErr w:type="spellEnd"/>
            <w:r w:rsidRPr="00074F53">
              <w:t xml:space="preserve"> </w:t>
            </w:r>
            <w:proofErr w:type="spellStart"/>
            <w:r w:rsidRPr="00074F53">
              <w:t>projektu</w:t>
            </w:r>
            <w:proofErr w:type="spellEnd"/>
            <w:r w:rsidRPr="00074F53">
              <w:t xml:space="preserve"> </w:t>
            </w:r>
            <w:proofErr w:type="spellStart"/>
            <w:r w:rsidRPr="00074F53">
              <w:t>īstenošanas</w:t>
            </w:r>
            <w:proofErr w:type="spellEnd"/>
            <w:r w:rsidRPr="00074F53">
              <w:t xml:space="preserve"> </w:t>
            </w:r>
            <w:proofErr w:type="spellStart"/>
            <w:r w:rsidRPr="00074F53">
              <w:t>vietās</w:t>
            </w:r>
            <w:proofErr w:type="spellEnd"/>
            <w:r w:rsidRPr="00074F53">
              <w:t xml:space="preserve"> </w:t>
            </w:r>
            <w:proofErr w:type="spellStart"/>
            <w:r w:rsidRPr="00074F53">
              <w:t>izvietotās</w:t>
            </w:r>
            <w:proofErr w:type="spellEnd"/>
            <w:r w:rsidRPr="00074F53">
              <w:t xml:space="preserve"> </w:t>
            </w:r>
            <w:proofErr w:type="spellStart"/>
            <w:r w:rsidRPr="00074F53">
              <w:t>ilgtspējīgās</w:t>
            </w:r>
            <w:proofErr w:type="spellEnd"/>
            <w:r w:rsidRPr="00074F53">
              <w:t xml:space="preserve"> </w:t>
            </w:r>
            <w:proofErr w:type="spellStart"/>
            <w:r w:rsidRPr="00074F53">
              <w:t>informatīvās</w:t>
            </w:r>
            <w:proofErr w:type="spellEnd"/>
            <w:r w:rsidRPr="00074F53">
              <w:t xml:space="preserve"> </w:t>
            </w:r>
            <w:proofErr w:type="spellStart"/>
            <w:r w:rsidRPr="00074F53">
              <w:t>plāksnes</w:t>
            </w:r>
            <w:proofErr w:type="spellEnd"/>
            <w:r w:rsidRPr="00074F53">
              <w:t xml:space="preserve"> un </w:t>
            </w:r>
            <w:proofErr w:type="spellStart"/>
            <w:r w:rsidRPr="00074F53">
              <w:t>stendi</w:t>
            </w:r>
            <w:proofErr w:type="spellEnd"/>
            <w:r w:rsidRPr="00074F53">
              <w:t xml:space="preserve">, </w:t>
            </w:r>
            <w:proofErr w:type="spellStart"/>
            <w:r w:rsidRPr="00074F53">
              <w:t>kā</w:t>
            </w:r>
            <w:proofErr w:type="spellEnd"/>
            <w:r w:rsidRPr="00074F53">
              <w:t xml:space="preserve"> </w:t>
            </w:r>
            <w:proofErr w:type="spellStart"/>
            <w:r w:rsidRPr="00074F53">
              <w:t>arī</w:t>
            </w:r>
            <w:proofErr w:type="spellEnd"/>
            <w:r w:rsidRPr="00074F53">
              <w:t xml:space="preserve"> roll-up </w:t>
            </w:r>
            <w:proofErr w:type="spellStart"/>
            <w:r w:rsidRPr="00074F53">
              <w:t>baneri</w:t>
            </w:r>
            <w:proofErr w:type="spellEnd"/>
            <w:r w:rsidRPr="00074F53">
              <w:t xml:space="preserve">, </w:t>
            </w:r>
            <w:proofErr w:type="spellStart"/>
            <w:r w:rsidRPr="00074F53">
              <w:t>kalpoja</w:t>
            </w:r>
            <w:proofErr w:type="spellEnd"/>
            <w:r w:rsidRPr="00074F53">
              <w:t xml:space="preserve"> </w:t>
            </w:r>
            <w:proofErr w:type="spellStart"/>
            <w:r w:rsidRPr="00074F53">
              <w:t>kā</w:t>
            </w:r>
            <w:proofErr w:type="spellEnd"/>
            <w:r w:rsidRPr="00074F53">
              <w:t xml:space="preserve"> </w:t>
            </w:r>
            <w:proofErr w:type="spellStart"/>
            <w:r w:rsidRPr="00074F53">
              <w:t>pastāvīgs</w:t>
            </w:r>
            <w:proofErr w:type="spellEnd"/>
            <w:r w:rsidRPr="00074F53">
              <w:t xml:space="preserve"> </w:t>
            </w:r>
            <w:proofErr w:type="spellStart"/>
            <w:r w:rsidRPr="00074F53">
              <w:t>atgādinājums</w:t>
            </w:r>
            <w:proofErr w:type="spellEnd"/>
            <w:r w:rsidRPr="00074F53">
              <w:t xml:space="preserve"> par ES </w:t>
            </w:r>
            <w:proofErr w:type="spellStart"/>
            <w:r w:rsidRPr="00074F53">
              <w:t>solidaritāti</w:t>
            </w:r>
            <w:proofErr w:type="spellEnd"/>
            <w:r w:rsidRPr="00074F53">
              <w:t xml:space="preserve"> un </w:t>
            </w:r>
            <w:proofErr w:type="spellStart"/>
            <w:r w:rsidRPr="00074F53">
              <w:t>praktisko</w:t>
            </w:r>
            <w:proofErr w:type="spellEnd"/>
            <w:r w:rsidRPr="00074F53">
              <w:t xml:space="preserve"> </w:t>
            </w:r>
            <w:proofErr w:type="spellStart"/>
            <w:r w:rsidRPr="00074F53">
              <w:t>ieguldījumu</w:t>
            </w:r>
            <w:proofErr w:type="spellEnd"/>
            <w:r w:rsidRPr="00074F53">
              <w:t xml:space="preserve"> </w:t>
            </w:r>
            <w:proofErr w:type="spellStart"/>
            <w:r w:rsidRPr="00074F53">
              <w:t>Latvijas</w:t>
            </w:r>
            <w:proofErr w:type="spellEnd"/>
            <w:r w:rsidRPr="00074F53">
              <w:t xml:space="preserve"> </w:t>
            </w:r>
            <w:proofErr w:type="spellStart"/>
            <w:r w:rsidRPr="00074F53">
              <w:t>iekšējā</w:t>
            </w:r>
            <w:proofErr w:type="spellEnd"/>
            <w:r w:rsidRPr="00074F53">
              <w:t xml:space="preserve"> </w:t>
            </w:r>
            <w:proofErr w:type="spellStart"/>
            <w:r w:rsidRPr="00074F53">
              <w:t>drošībā</w:t>
            </w:r>
            <w:bookmarkEnd w:id="20"/>
            <w:proofErr w:type="spellEnd"/>
            <w:r w:rsidRPr="00074F53">
              <w:t>.</w:t>
            </w:r>
          </w:p>
          <w:p w14:paraId="02845051" w14:textId="77777777" w:rsidR="00550BFC" w:rsidRPr="00074F53" w:rsidRDefault="00550BFC" w:rsidP="00550BFC">
            <w:pPr>
              <w:rPr>
                <w:b/>
                <w:bCs/>
              </w:rPr>
            </w:pPr>
            <w:proofErr w:type="spellStart"/>
            <w:r w:rsidRPr="00074F53">
              <w:rPr>
                <w:b/>
                <w:bCs/>
              </w:rPr>
              <w:t>Komunikācijas</w:t>
            </w:r>
            <w:proofErr w:type="spellEnd"/>
            <w:r w:rsidRPr="00074F53">
              <w:rPr>
                <w:b/>
                <w:bCs/>
              </w:rPr>
              <w:t xml:space="preserve"> </w:t>
            </w:r>
            <w:proofErr w:type="spellStart"/>
            <w:r w:rsidRPr="00074F53">
              <w:rPr>
                <w:b/>
                <w:bCs/>
              </w:rPr>
              <w:t>efektivitātes</w:t>
            </w:r>
            <w:proofErr w:type="spellEnd"/>
            <w:r w:rsidRPr="00074F53">
              <w:rPr>
                <w:b/>
                <w:bCs/>
              </w:rPr>
              <w:t xml:space="preserve"> un </w:t>
            </w:r>
            <w:proofErr w:type="spellStart"/>
            <w:r w:rsidRPr="00074F53">
              <w:rPr>
                <w:b/>
                <w:bCs/>
              </w:rPr>
              <w:t>ietekmes</w:t>
            </w:r>
            <w:proofErr w:type="spellEnd"/>
            <w:r w:rsidRPr="00074F53">
              <w:rPr>
                <w:b/>
                <w:bCs/>
              </w:rPr>
              <w:t xml:space="preserve"> </w:t>
            </w:r>
            <w:proofErr w:type="spellStart"/>
            <w:r w:rsidRPr="00074F53">
              <w:rPr>
                <w:b/>
                <w:bCs/>
              </w:rPr>
              <w:t>izvērtējums</w:t>
            </w:r>
            <w:proofErr w:type="spellEnd"/>
          </w:p>
          <w:p w14:paraId="2909E182" w14:textId="77777777" w:rsidR="00550BFC" w:rsidRPr="00074F53" w:rsidRDefault="00550BFC" w:rsidP="00550BFC">
            <w:r w:rsidRPr="00074F53">
              <w:t xml:space="preserve">Lai </w:t>
            </w:r>
            <w:proofErr w:type="spellStart"/>
            <w:r w:rsidRPr="00074F53">
              <w:t>objektīvi</w:t>
            </w:r>
            <w:proofErr w:type="spellEnd"/>
            <w:r w:rsidRPr="00074F53">
              <w:t xml:space="preserve"> </w:t>
            </w:r>
            <w:proofErr w:type="spellStart"/>
            <w:r w:rsidRPr="00074F53">
              <w:t>novērtētu</w:t>
            </w:r>
            <w:proofErr w:type="spellEnd"/>
            <w:r w:rsidRPr="00074F53">
              <w:t xml:space="preserve"> </w:t>
            </w:r>
            <w:proofErr w:type="spellStart"/>
            <w:r w:rsidRPr="00074F53">
              <w:t>komunikācijas</w:t>
            </w:r>
            <w:proofErr w:type="spellEnd"/>
            <w:r w:rsidRPr="00074F53">
              <w:t xml:space="preserve"> </w:t>
            </w:r>
            <w:proofErr w:type="spellStart"/>
            <w:r w:rsidRPr="00074F53">
              <w:t>atdevi</w:t>
            </w:r>
            <w:proofErr w:type="spellEnd"/>
            <w:r w:rsidRPr="00074F53">
              <w:t xml:space="preserve">, tika </w:t>
            </w:r>
            <w:proofErr w:type="spellStart"/>
            <w:r w:rsidRPr="00074F53">
              <w:t>izmantoti</w:t>
            </w:r>
            <w:proofErr w:type="spellEnd"/>
            <w:r w:rsidRPr="00074F53">
              <w:t xml:space="preserve"> </w:t>
            </w:r>
            <w:proofErr w:type="spellStart"/>
            <w:r w:rsidRPr="00074F53">
              <w:t>ikgadējā</w:t>
            </w:r>
            <w:proofErr w:type="spellEnd"/>
            <w:r w:rsidRPr="00074F53">
              <w:t xml:space="preserve"> </w:t>
            </w:r>
            <w:proofErr w:type="spellStart"/>
            <w:r w:rsidRPr="00074F53">
              <w:t>sabiedriskās</w:t>
            </w:r>
            <w:proofErr w:type="spellEnd"/>
            <w:r w:rsidRPr="00074F53">
              <w:t xml:space="preserve"> </w:t>
            </w:r>
            <w:proofErr w:type="spellStart"/>
            <w:r w:rsidRPr="00074F53">
              <w:t>domas</w:t>
            </w:r>
            <w:proofErr w:type="spellEnd"/>
            <w:r w:rsidRPr="00074F53">
              <w:t xml:space="preserve"> </w:t>
            </w:r>
            <w:proofErr w:type="spellStart"/>
            <w:r w:rsidRPr="00074F53">
              <w:t>pētījuma</w:t>
            </w:r>
            <w:proofErr w:type="spellEnd"/>
            <w:r w:rsidRPr="00074F53">
              <w:t xml:space="preserve"> </w:t>
            </w:r>
            <w:proofErr w:type="spellStart"/>
            <w:r w:rsidRPr="00074F53">
              <w:t>dati</w:t>
            </w:r>
            <w:proofErr w:type="spellEnd"/>
            <w:r w:rsidRPr="00074F53">
              <w:t xml:space="preserve">. </w:t>
            </w:r>
            <w:proofErr w:type="spellStart"/>
            <w:r w:rsidRPr="00074F53">
              <w:t>Rezultāti</w:t>
            </w:r>
            <w:proofErr w:type="spellEnd"/>
            <w:r w:rsidRPr="00074F53">
              <w:t xml:space="preserve"> </w:t>
            </w:r>
            <w:proofErr w:type="spellStart"/>
            <w:r w:rsidRPr="00074F53">
              <w:t>uzrāda</w:t>
            </w:r>
            <w:proofErr w:type="spellEnd"/>
            <w:r w:rsidRPr="00074F53">
              <w:t xml:space="preserve"> </w:t>
            </w:r>
            <w:proofErr w:type="spellStart"/>
            <w:r w:rsidRPr="00074F53">
              <w:t>pārliecinošu</w:t>
            </w:r>
            <w:proofErr w:type="spellEnd"/>
            <w:r w:rsidRPr="00074F53">
              <w:t xml:space="preserve"> </w:t>
            </w:r>
            <w:proofErr w:type="spellStart"/>
            <w:r w:rsidRPr="00074F53">
              <w:t>pozitīvo</w:t>
            </w:r>
            <w:proofErr w:type="spellEnd"/>
            <w:r w:rsidRPr="00074F53">
              <w:t xml:space="preserve"> </w:t>
            </w:r>
            <w:proofErr w:type="spellStart"/>
            <w:r w:rsidRPr="00074F53">
              <w:t>dinamiku</w:t>
            </w:r>
            <w:proofErr w:type="spellEnd"/>
            <w:r w:rsidRPr="00074F53">
              <w:t xml:space="preserve">, kas </w:t>
            </w:r>
            <w:proofErr w:type="spellStart"/>
            <w:r w:rsidRPr="00074F53">
              <w:t>ievērojami</w:t>
            </w:r>
            <w:proofErr w:type="spellEnd"/>
            <w:r w:rsidRPr="00074F53">
              <w:t xml:space="preserve"> </w:t>
            </w:r>
            <w:proofErr w:type="spellStart"/>
            <w:r w:rsidRPr="00074F53">
              <w:t>pārsniedz</w:t>
            </w:r>
            <w:proofErr w:type="spellEnd"/>
            <w:r w:rsidRPr="00074F53">
              <w:t xml:space="preserve"> </w:t>
            </w:r>
            <w:proofErr w:type="spellStart"/>
            <w:r w:rsidRPr="00074F53">
              <w:t>sākotnēji</w:t>
            </w:r>
            <w:proofErr w:type="spellEnd"/>
            <w:r w:rsidRPr="00074F53">
              <w:t xml:space="preserve"> </w:t>
            </w:r>
            <w:proofErr w:type="spellStart"/>
            <w:r w:rsidRPr="00074F53">
              <w:t>izvirzītos</w:t>
            </w:r>
            <w:proofErr w:type="spellEnd"/>
            <w:r w:rsidRPr="00074F53">
              <w:t xml:space="preserve"> </w:t>
            </w:r>
            <w:proofErr w:type="spellStart"/>
            <w:r w:rsidRPr="00074F53">
              <w:t>mērķa</w:t>
            </w:r>
            <w:proofErr w:type="spellEnd"/>
            <w:r w:rsidRPr="00074F53">
              <w:t xml:space="preserve"> </w:t>
            </w:r>
            <w:proofErr w:type="spellStart"/>
            <w:r w:rsidRPr="00074F53">
              <w:t>rādītājus</w:t>
            </w:r>
            <w:proofErr w:type="spellEnd"/>
            <w:r w:rsidRPr="00074F53">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7"/>
              <w:gridCol w:w="1515"/>
              <w:gridCol w:w="1532"/>
              <w:gridCol w:w="1547"/>
            </w:tblGrid>
            <w:tr w:rsidR="00550BFC" w:rsidRPr="00074F53" w14:paraId="50DBB9D8" w14:textId="77777777" w:rsidTr="00B629C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1D06E6" w14:textId="77777777" w:rsidR="00550BFC" w:rsidRPr="00074F53" w:rsidRDefault="00550BFC" w:rsidP="00550BFC">
                  <w:proofErr w:type="spellStart"/>
                  <w:r w:rsidRPr="00074F53">
                    <w:rPr>
                      <w:b/>
                      <w:bCs/>
                    </w:rPr>
                    <w:t>Rādītājs</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239EB21F" w14:textId="77777777" w:rsidR="00550BFC" w:rsidRPr="00074F53" w:rsidRDefault="00550BFC" w:rsidP="00550BFC">
                  <w:proofErr w:type="spellStart"/>
                  <w:r w:rsidRPr="00074F53">
                    <w:rPr>
                      <w:b/>
                      <w:bCs/>
                    </w:rPr>
                    <w:t>Mērķis</w:t>
                  </w:r>
                  <w:proofErr w:type="spellEnd"/>
                  <w:r w:rsidRPr="00074F53">
                    <w:rPr>
                      <w:b/>
                      <w:bCs/>
                    </w:rPr>
                    <w:t xml:space="preserve"> (</w:t>
                  </w:r>
                  <w:proofErr w:type="spellStart"/>
                  <w:r w:rsidRPr="00074F53">
                    <w:rPr>
                      <w:b/>
                      <w:bCs/>
                    </w:rPr>
                    <w:t>stratēģijā</w:t>
                  </w:r>
                  <w:proofErr w:type="spellEnd"/>
                  <w:r w:rsidRPr="00074F53">
                    <w:rPr>
                      <w:b/>
                      <w:bCs/>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1A241FD0" w14:textId="77777777" w:rsidR="00550BFC" w:rsidRPr="00074F53" w:rsidRDefault="00550BFC" w:rsidP="00550BFC">
                  <w:proofErr w:type="spellStart"/>
                  <w:r w:rsidRPr="00074F53">
                    <w:rPr>
                      <w:b/>
                      <w:bCs/>
                    </w:rPr>
                    <w:t>Rezultāts</w:t>
                  </w:r>
                  <w:proofErr w:type="spellEnd"/>
                  <w:r w:rsidRPr="00074F53">
                    <w:rPr>
                      <w:b/>
                      <w:bCs/>
                    </w:rPr>
                    <w:t xml:space="preserve"> 2024. </w:t>
                  </w:r>
                  <w:proofErr w:type="spellStart"/>
                  <w:r w:rsidRPr="00074F53">
                    <w:rPr>
                      <w:b/>
                      <w:bCs/>
                    </w:rPr>
                    <w:t>gadā</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76E52C27" w14:textId="77777777" w:rsidR="00550BFC" w:rsidRPr="00074F53" w:rsidRDefault="00550BFC" w:rsidP="00550BFC">
                  <w:proofErr w:type="spellStart"/>
                  <w:r w:rsidRPr="00074F53">
                    <w:rPr>
                      <w:b/>
                      <w:bCs/>
                    </w:rPr>
                    <w:t>Rezultāts</w:t>
                  </w:r>
                  <w:proofErr w:type="spellEnd"/>
                  <w:r w:rsidRPr="00074F53">
                    <w:rPr>
                      <w:b/>
                      <w:bCs/>
                    </w:rPr>
                    <w:t xml:space="preserve"> 2025. </w:t>
                  </w:r>
                  <w:proofErr w:type="spellStart"/>
                  <w:r w:rsidRPr="00074F53">
                    <w:rPr>
                      <w:b/>
                      <w:bCs/>
                    </w:rPr>
                    <w:t>gadā</w:t>
                  </w:r>
                  <w:proofErr w:type="spellEnd"/>
                </w:p>
              </w:tc>
            </w:tr>
            <w:tr w:rsidR="00550BFC" w:rsidRPr="00074F53" w14:paraId="09A28751" w14:textId="77777777" w:rsidTr="00B629C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75800B" w14:textId="77777777" w:rsidR="00550BFC" w:rsidRPr="00074F53" w:rsidRDefault="00550BFC" w:rsidP="00550BFC">
                  <w:proofErr w:type="spellStart"/>
                  <w:r w:rsidRPr="00074F53">
                    <w:t>Sabiedrības</w:t>
                  </w:r>
                  <w:proofErr w:type="spellEnd"/>
                  <w:r w:rsidRPr="00074F53">
                    <w:t xml:space="preserve"> </w:t>
                  </w:r>
                  <w:proofErr w:type="spellStart"/>
                  <w:r w:rsidRPr="00074F53">
                    <w:t>informētība</w:t>
                  </w:r>
                  <w:proofErr w:type="spellEnd"/>
                  <w:r w:rsidRPr="00074F53">
                    <w:t xml:space="preserve"> par ES </w:t>
                  </w:r>
                  <w:proofErr w:type="spellStart"/>
                  <w:r w:rsidRPr="00074F53">
                    <w:t>fondiem</w:t>
                  </w:r>
                  <w:proofErr w:type="spellEnd"/>
                  <w:r w:rsidRPr="00074F53">
                    <w:t xml:space="preserve"> </w:t>
                  </w:r>
                  <w:proofErr w:type="spellStart"/>
                  <w:r w:rsidRPr="00074F53">
                    <w:t>migrācijas</w:t>
                  </w:r>
                  <w:proofErr w:type="spellEnd"/>
                  <w:r w:rsidRPr="00074F53">
                    <w:t xml:space="preserve">, </w:t>
                  </w:r>
                  <w:proofErr w:type="spellStart"/>
                  <w:r w:rsidRPr="00074F53">
                    <w:t>robežu</w:t>
                  </w:r>
                  <w:proofErr w:type="spellEnd"/>
                  <w:r w:rsidRPr="00074F53">
                    <w:t xml:space="preserve"> un </w:t>
                  </w:r>
                  <w:proofErr w:type="spellStart"/>
                  <w:r w:rsidRPr="00074F53">
                    <w:t>drošības</w:t>
                  </w:r>
                  <w:proofErr w:type="spellEnd"/>
                  <w:r w:rsidRPr="00074F53">
                    <w:t xml:space="preserve"> </w:t>
                  </w:r>
                  <w:proofErr w:type="spellStart"/>
                  <w:r w:rsidRPr="00074F53">
                    <w:t>jomās</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6EBDE109" w14:textId="77777777" w:rsidR="00550BFC" w:rsidRPr="00074F53" w:rsidRDefault="00550BFC" w:rsidP="00550BFC">
                  <w:r w:rsidRPr="00074F53">
                    <w:rPr>
                      <w:b/>
                      <w:bCs/>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F1B92" w14:textId="77777777" w:rsidR="00550BFC" w:rsidRPr="00074F53" w:rsidRDefault="00550BFC" w:rsidP="00550BFC">
                  <w:r w:rsidRPr="00074F53">
                    <w:rPr>
                      <w:b/>
                      <w:bCs/>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128168EA" w14:textId="77777777" w:rsidR="00550BFC" w:rsidRPr="00074F53" w:rsidRDefault="00550BFC" w:rsidP="00550BFC">
                  <w:r w:rsidRPr="00074F53">
                    <w:rPr>
                      <w:b/>
                      <w:bCs/>
                    </w:rPr>
                    <w:t>21%</w:t>
                  </w:r>
                </w:p>
              </w:tc>
            </w:tr>
          </w:tbl>
          <w:p w14:paraId="3B2DEBA5" w14:textId="77777777" w:rsidR="00550BFC" w:rsidRPr="00074F53" w:rsidRDefault="00550BFC" w:rsidP="00550BFC">
            <w:pPr>
              <w:rPr>
                <w:b/>
                <w:bCs/>
              </w:rPr>
            </w:pPr>
          </w:p>
          <w:p w14:paraId="6BB5DBC6" w14:textId="77777777" w:rsidR="00550BFC" w:rsidRPr="00074F53" w:rsidRDefault="00550BFC" w:rsidP="00550BFC">
            <w:pPr>
              <w:rPr>
                <w:b/>
                <w:bCs/>
              </w:rPr>
            </w:pPr>
            <w:proofErr w:type="spellStart"/>
            <w:r w:rsidRPr="00074F53">
              <w:rPr>
                <w:b/>
                <w:bCs/>
              </w:rPr>
              <w:t>Secinājumi</w:t>
            </w:r>
            <w:proofErr w:type="spellEnd"/>
          </w:p>
          <w:p w14:paraId="65895A66" w14:textId="7480A5B9" w:rsidR="00550BFC" w:rsidRPr="00074F53" w:rsidRDefault="00550BFC" w:rsidP="00550BFC">
            <w:proofErr w:type="spellStart"/>
            <w:r w:rsidRPr="00074F53">
              <w:t>Sasniegtais</w:t>
            </w:r>
            <w:proofErr w:type="spellEnd"/>
            <w:r w:rsidRPr="00074F53">
              <w:t xml:space="preserve"> 21% </w:t>
            </w:r>
            <w:proofErr w:type="spellStart"/>
            <w:r w:rsidRPr="00074F53">
              <w:t>informētības</w:t>
            </w:r>
            <w:proofErr w:type="spellEnd"/>
            <w:r w:rsidRPr="00074F53">
              <w:t xml:space="preserve"> </w:t>
            </w:r>
            <w:proofErr w:type="spellStart"/>
            <w:r w:rsidRPr="00074F53">
              <w:t>līmenis</w:t>
            </w:r>
            <w:proofErr w:type="spellEnd"/>
            <w:r w:rsidRPr="00074F53">
              <w:t xml:space="preserve"> (</w:t>
            </w:r>
            <w:proofErr w:type="spellStart"/>
            <w:r w:rsidRPr="00074F53">
              <w:t>pret</w:t>
            </w:r>
            <w:proofErr w:type="spellEnd"/>
            <w:r w:rsidRPr="00074F53">
              <w:t xml:space="preserve"> </w:t>
            </w:r>
            <w:proofErr w:type="spellStart"/>
            <w:r w:rsidRPr="00074F53">
              <w:t>stratēģijā</w:t>
            </w:r>
            <w:proofErr w:type="spellEnd"/>
            <w:r w:rsidRPr="00074F53">
              <w:t xml:space="preserve"> </w:t>
            </w:r>
            <w:proofErr w:type="spellStart"/>
            <w:r w:rsidRPr="00074F53">
              <w:t>plānotajiem</w:t>
            </w:r>
            <w:proofErr w:type="spellEnd"/>
            <w:r w:rsidRPr="00074F53">
              <w:t xml:space="preserve"> 7,5%) </w:t>
            </w:r>
            <w:proofErr w:type="spellStart"/>
            <w:r w:rsidRPr="00074F53">
              <w:t>ir</w:t>
            </w:r>
            <w:proofErr w:type="spellEnd"/>
            <w:r w:rsidRPr="00074F53">
              <w:t xml:space="preserve"> </w:t>
            </w:r>
            <w:proofErr w:type="spellStart"/>
            <w:r w:rsidRPr="00074F53">
              <w:t>neapstrīdams</w:t>
            </w:r>
            <w:proofErr w:type="spellEnd"/>
            <w:r w:rsidRPr="00074F53">
              <w:t xml:space="preserve"> </w:t>
            </w:r>
            <w:proofErr w:type="spellStart"/>
            <w:r w:rsidRPr="00074F53">
              <w:t>pierādījums</w:t>
            </w:r>
            <w:proofErr w:type="spellEnd"/>
            <w:r w:rsidRPr="00074F53">
              <w:t xml:space="preserve"> </w:t>
            </w:r>
            <w:proofErr w:type="spellStart"/>
            <w:r w:rsidRPr="00074F53">
              <w:t>izvēlētās</w:t>
            </w:r>
            <w:proofErr w:type="spellEnd"/>
            <w:r w:rsidRPr="00074F53">
              <w:t xml:space="preserve"> </w:t>
            </w:r>
            <w:proofErr w:type="spellStart"/>
            <w:r w:rsidRPr="00074F53">
              <w:t>komunikācijas</w:t>
            </w:r>
            <w:proofErr w:type="spellEnd"/>
            <w:r w:rsidRPr="00074F53">
              <w:t xml:space="preserve"> </w:t>
            </w:r>
            <w:proofErr w:type="spellStart"/>
            <w:r w:rsidRPr="00074F53">
              <w:t>taktikas</w:t>
            </w:r>
            <w:proofErr w:type="spellEnd"/>
            <w:r w:rsidRPr="00074F53">
              <w:t xml:space="preserve"> </w:t>
            </w:r>
            <w:proofErr w:type="spellStart"/>
            <w:r w:rsidRPr="00074F53">
              <w:t>efektivitātei</w:t>
            </w:r>
            <w:proofErr w:type="spellEnd"/>
            <w:r w:rsidRPr="00074F53">
              <w:t xml:space="preserve">. </w:t>
            </w:r>
            <w:proofErr w:type="spellStart"/>
            <w:r w:rsidRPr="00074F53">
              <w:t>Kampaņas</w:t>
            </w:r>
            <w:proofErr w:type="spellEnd"/>
            <w:r w:rsidRPr="00074F53">
              <w:t xml:space="preserve"> un </w:t>
            </w:r>
            <w:proofErr w:type="spellStart"/>
            <w:r w:rsidRPr="00074F53">
              <w:t>pasākumi</w:t>
            </w:r>
            <w:proofErr w:type="spellEnd"/>
            <w:r w:rsidRPr="00074F53">
              <w:t xml:space="preserve"> </w:t>
            </w:r>
            <w:proofErr w:type="spellStart"/>
            <w:r w:rsidRPr="00074F53">
              <w:t>ir</w:t>
            </w:r>
            <w:proofErr w:type="spellEnd"/>
            <w:r w:rsidRPr="00074F53">
              <w:t xml:space="preserve"> </w:t>
            </w:r>
            <w:proofErr w:type="spellStart"/>
            <w:r w:rsidRPr="00074F53">
              <w:t>palīdzējuši</w:t>
            </w:r>
            <w:proofErr w:type="spellEnd"/>
            <w:r w:rsidRPr="00074F53">
              <w:t xml:space="preserve"> </w:t>
            </w:r>
            <w:proofErr w:type="spellStart"/>
            <w:r w:rsidRPr="00074F53">
              <w:t>Latvijas</w:t>
            </w:r>
            <w:proofErr w:type="spellEnd"/>
            <w:r w:rsidRPr="00074F53">
              <w:t xml:space="preserve"> </w:t>
            </w:r>
            <w:proofErr w:type="spellStart"/>
            <w:r w:rsidRPr="00074F53">
              <w:t>sabiedrībai</w:t>
            </w:r>
            <w:proofErr w:type="spellEnd"/>
            <w:r w:rsidRPr="00074F53">
              <w:t xml:space="preserve"> </w:t>
            </w:r>
            <w:proofErr w:type="spellStart"/>
            <w:r w:rsidRPr="00074F53">
              <w:t>identificēt</w:t>
            </w:r>
            <w:proofErr w:type="spellEnd"/>
            <w:r w:rsidRPr="00074F53">
              <w:t xml:space="preserve"> </w:t>
            </w:r>
            <w:proofErr w:type="spellStart"/>
            <w:r w:rsidRPr="00074F53">
              <w:t>ciešo</w:t>
            </w:r>
            <w:proofErr w:type="spellEnd"/>
            <w:r w:rsidRPr="00074F53">
              <w:t xml:space="preserve"> </w:t>
            </w:r>
            <w:proofErr w:type="spellStart"/>
            <w:r w:rsidRPr="00074F53">
              <w:t>saikni</w:t>
            </w:r>
            <w:proofErr w:type="spellEnd"/>
            <w:r w:rsidRPr="00074F53">
              <w:t xml:space="preserve"> </w:t>
            </w:r>
            <w:proofErr w:type="spellStart"/>
            <w:r w:rsidRPr="00074F53">
              <w:t>starp</w:t>
            </w:r>
            <w:proofErr w:type="spellEnd"/>
            <w:r w:rsidRPr="00074F53">
              <w:t xml:space="preserve"> ES fondu </w:t>
            </w:r>
            <w:proofErr w:type="spellStart"/>
            <w:r w:rsidRPr="00074F53">
              <w:t>finanšu</w:t>
            </w:r>
            <w:proofErr w:type="spellEnd"/>
            <w:r w:rsidRPr="00074F53">
              <w:t xml:space="preserve"> </w:t>
            </w:r>
            <w:proofErr w:type="spellStart"/>
            <w:r w:rsidRPr="00074F53">
              <w:t>ieguldījumu</w:t>
            </w:r>
            <w:proofErr w:type="spellEnd"/>
            <w:r w:rsidRPr="00074F53">
              <w:t xml:space="preserve"> un </w:t>
            </w:r>
            <w:proofErr w:type="spellStart"/>
            <w:r w:rsidRPr="00074F53">
              <w:t>iekšējo</w:t>
            </w:r>
            <w:proofErr w:type="spellEnd"/>
            <w:r w:rsidRPr="00074F53">
              <w:t xml:space="preserve"> </w:t>
            </w:r>
            <w:proofErr w:type="spellStart"/>
            <w:r w:rsidRPr="00074F53">
              <w:t>drošību</w:t>
            </w:r>
            <w:proofErr w:type="spellEnd"/>
            <w:r w:rsidRPr="00074F53">
              <w:t xml:space="preserve">. </w:t>
            </w:r>
            <w:proofErr w:type="spellStart"/>
            <w:r w:rsidRPr="00074F53">
              <w:t>Šāda</w:t>
            </w:r>
            <w:proofErr w:type="spellEnd"/>
            <w:r w:rsidRPr="00074F53">
              <w:t xml:space="preserve"> </w:t>
            </w:r>
            <w:proofErr w:type="spellStart"/>
            <w:r w:rsidRPr="00074F53">
              <w:t>uzticēšanās</w:t>
            </w:r>
            <w:proofErr w:type="spellEnd"/>
            <w:r w:rsidRPr="00074F53">
              <w:t xml:space="preserve"> </w:t>
            </w:r>
            <w:proofErr w:type="spellStart"/>
            <w:r w:rsidRPr="00074F53">
              <w:t>ir</w:t>
            </w:r>
            <w:proofErr w:type="spellEnd"/>
            <w:r w:rsidRPr="00074F53">
              <w:t xml:space="preserve"> </w:t>
            </w:r>
            <w:proofErr w:type="spellStart"/>
            <w:r w:rsidRPr="00074F53">
              <w:t>fundamentāls</w:t>
            </w:r>
            <w:proofErr w:type="spellEnd"/>
            <w:r w:rsidRPr="00074F53">
              <w:t xml:space="preserve"> </w:t>
            </w:r>
            <w:proofErr w:type="spellStart"/>
            <w:r w:rsidRPr="00074F53">
              <w:t>priekšnoteikums</w:t>
            </w:r>
            <w:proofErr w:type="spellEnd"/>
            <w:r w:rsidRPr="00074F53">
              <w:t xml:space="preserve"> </w:t>
            </w:r>
            <w:proofErr w:type="spellStart"/>
            <w:r w:rsidRPr="00074F53">
              <w:t>veiksmīgai</w:t>
            </w:r>
            <w:proofErr w:type="spellEnd"/>
            <w:r w:rsidRPr="00074F53">
              <w:t xml:space="preserve"> </w:t>
            </w:r>
            <w:proofErr w:type="spellStart"/>
            <w:r w:rsidRPr="00074F53">
              <w:t>tālākai</w:t>
            </w:r>
            <w:proofErr w:type="spellEnd"/>
            <w:r w:rsidRPr="00074F53">
              <w:t xml:space="preserve"> ES </w:t>
            </w:r>
            <w:proofErr w:type="spellStart"/>
            <w:r w:rsidRPr="00074F53">
              <w:t>iekšlietu</w:t>
            </w:r>
            <w:proofErr w:type="spellEnd"/>
            <w:r w:rsidRPr="00074F53">
              <w:t xml:space="preserve"> fondu </w:t>
            </w:r>
            <w:proofErr w:type="spellStart"/>
            <w:r w:rsidRPr="00074F53">
              <w:t>apguvei</w:t>
            </w:r>
            <w:proofErr w:type="spellEnd"/>
            <w:r w:rsidRPr="00074F53">
              <w:t xml:space="preserve"> un </w:t>
            </w:r>
            <w:proofErr w:type="spellStart"/>
            <w:r w:rsidRPr="00074F53">
              <w:t>valsts</w:t>
            </w:r>
            <w:proofErr w:type="spellEnd"/>
            <w:r w:rsidRPr="00074F53">
              <w:t xml:space="preserve"> </w:t>
            </w:r>
            <w:proofErr w:type="spellStart"/>
            <w:r w:rsidRPr="00074F53">
              <w:t>iekšējās</w:t>
            </w:r>
            <w:proofErr w:type="spellEnd"/>
            <w:r w:rsidRPr="00074F53">
              <w:t xml:space="preserve"> </w:t>
            </w:r>
            <w:proofErr w:type="spellStart"/>
            <w:r w:rsidRPr="00074F53">
              <w:t>drošības</w:t>
            </w:r>
            <w:proofErr w:type="spellEnd"/>
            <w:r w:rsidRPr="00074F53">
              <w:t xml:space="preserve"> </w:t>
            </w:r>
            <w:proofErr w:type="spellStart"/>
            <w:r w:rsidRPr="00074F53">
              <w:t>sistēmas</w:t>
            </w:r>
            <w:proofErr w:type="spellEnd"/>
            <w:r w:rsidRPr="00074F53">
              <w:t xml:space="preserve"> </w:t>
            </w:r>
            <w:proofErr w:type="spellStart"/>
            <w:r w:rsidRPr="00074F53">
              <w:t>noturībai</w:t>
            </w:r>
            <w:proofErr w:type="spellEnd"/>
            <w:r w:rsidRPr="00074F53">
              <w:t xml:space="preserve"> </w:t>
            </w:r>
            <w:proofErr w:type="spellStart"/>
            <w:r w:rsidRPr="00074F53">
              <w:t>pret</w:t>
            </w:r>
            <w:proofErr w:type="spellEnd"/>
            <w:r w:rsidRPr="00074F53">
              <w:t xml:space="preserve"> </w:t>
            </w:r>
            <w:proofErr w:type="spellStart"/>
            <w:r w:rsidRPr="00074F53">
              <w:t>iespējamām</w:t>
            </w:r>
            <w:proofErr w:type="spellEnd"/>
            <w:r w:rsidRPr="00074F53">
              <w:t xml:space="preserve"> </w:t>
            </w:r>
            <w:proofErr w:type="spellStart"/>
            <w:r w:rsidRPr="00074F53">
              <w:t>nākotnes</w:t>
            </w:r>
            <w:proofErr w:type="spellEnd"/>
            <w:r w:rsidRPr="00074F53">
              <w:t xml:space="preserve"> </w:t>
            </w:r>
            <w:proofErr w:type="spellStart"/>
            <w:r w:rsidRPr="00074F53">
              <w:t>krīzēm</w:t>
            </w:r>
            <w:proofErr w:type="spellEnd"/>
            <w:r w:rsidRPr="00074F53">
              <w:t>.</w:t>
            </w:r>
          </w:p>
          <w:p w14:paraId="3DC2EA23" w14:textId="3C43EEBC" w:rsidR="00C73F20" w:rsidRPr="00074F53" w:rsidRDefault="00C73F20" w:rsidP="00980EBC">
            <w:pPr>
              <w:spacing w:line="259" w:lineRule="auto"/>
              <w:rPr>
                <w:rFonts w:eastAsia="Calibri"/>
                <w:bCs/>
                <w:shd w:val="clear" w:color="auto" w:fill="FFFFFF"/>
                <w:lang w:val="lv-LV"/>
              </w:rPr>
            </w:pPr>
            <w:r w:rsidRPr="00074F53">
              <w:rPr>
                <w:rFonts w:eastAsia="Calibri"/>
                <w:shd w:val="clear" w:color="auto" w:fill="FFFFFF"/>
                <w:lang w:val="lv-LV"/>
              </w:rPr>
              <w:t xml:space="preserve"> </w:t>
            </w:r>
          </w:p>
        </w:tc>
      </w:tr>
    </w:tbl>
    <w:p w14:paraId="1941C015" w14:textId="77777777" w:rsidR="006A41E2" w:rsidRPr="00074F53" w:rsidRDefault="001B037F" w:rsidP="006A41E2">
      <w:pPr>
        <w:rPr>
          <w:noProof/>
          <w:lang w:val="lv-LV"/>
        </w:rPr>
      </w:pPr>
      <w:r w:rsidRPr="00074F53">
        <w:rPr>
          <w:noProof/>
          <w:lang w:val="lv-LV"/>
        </w:rPr>
        <w:lastRenderedPageBreak/>
        <w:t>Sniedziet saiti uz Regulas (ES) 2021/1060 46. panta b) punktā minēto tīmekļa portālu un minētās regulas 49. panta 1. punktā minēto tīmekļa vietni (ja šie resursi atšķiras).</w:t>
      </w:r>
    </w:p>
    <w:tbl>
      <w:tblPr>
        <w:tblStyle w:val="TableGrid"/>
        <w:tblW w:w="0" w:type="auto"/>
        <w:tblLook w:val="04A0" w:firstRow="1" w:lastRow="0" w:firstColumn="1" w:lastColumn="0" w:noHBand="0" w:noVBand="1"/>
      </w:tblPr>
      <w:tblGrid>
        <w:gridCol w:w="9063"/>
      </w:tblGrid>
      <w:tr w:rsidR="003A3A17" w:rsidRPr="00074F53" w14:paraId="6B0C1F99" w14:textId="77777777" w:rsidTr="00E45665">
        <w:tc>
          <w:tcPr>
            <w:tcW w:w="9289" w:type="dxa"/>
          </w:tcPr>
          <w:p w14:paraId="0A72A40C" w14:textId="2AE46D58" w:rsidR="00550BFC" w:rsidRPr="00074F53" w:rsidRDefault="000114FF" w:rsidP="00550BFC">
            <w:pPr>
              <w:pStyle w:val="Personnequisigne"/>
              <w:rPr>
                <w:noProof/>
                <w:lang w:val="lv-LV"/>
              </w:rPr>
            </w:pPr>
            <w:r w:rsidRPr="00074F53">
              <w:rPr>
                <w:noProof/>
                <w:lang w:val="lv-LV"/>
              </w:rPr>
              <w:t xml:space="preserve"> </w:t>
            </w:r>
            <w:hyperlink r:id="rId11" w:history="1">
              <w:r w:rsidR="00550BFC" w:rsidRPr="00074F53">
                <w:rPr>
                  <w:rStyle w:val="Hyperlink"/>
                  <w:noProof/>
                  <w:lang w:val="lv-LV"/>
                </w:rPr>
                <w:t>www.iem.gov.lv</w:t>
              </w:r>
            </w:hyperlink>
            <w:r w:rsidR="00550BFC" w:rsidRPr="00074F53">
              <w:rPr>
                <w:noProof/>
                <w:lang w:val="lv-LV"/>
              </w:rPr>
              <w:t xml:space="preserve"> </w:t>
            </w:r>
          </w:p>
        </w:tc>
      </w:tr>
    </w:tbl>
    <w:p w14:paraId="4B25161C" w14:textId="6DB28F32" w:rsidR="006A41E2" w:rsidRPr="00074F53" w:rsidRDefault="00B32C89" w:rsidP="00B32C89">
      <w:pPr>
        <w:pStyle w:val="ManualHeading1"/>
        <w:rPr>
          <w:bCs/>
          <w:noProof/>
          <w:lang w:val="lv-LV"/>
        </w:rPr>
      </w:pPr>
      <w:r w:rsidRPr="00074F53">
        <w:rPr>
          <w:lang w:val="lv-LV"/>
        </w:rPr>
        <w:t>5.</w:t>
      </w:r>
      <w:r w:rsidRPr="00074F53">
        <w:rPr>
          <w:lang w:val="lv-LV"/>
        </w:rPr>
        <w:tab/>
      </w:r>
      <w:r w:rsidR="006A41E2" w:rsidRPr="00074F53">
        <w:rPr>
          <w:noProof/>
          <w:lang w:val="lv-LV"/>
        </w:rPr>
        <w:t>Veicinošie nosacījumi un horizontālie principi</w:t>
      </w:r>
    </w:p>
    <w:p w14:paraId="68CE0ECE" w14:textId="23A0DFB3" w:rsidR="006A41E2" w:rsidRPr="00074F53" w:rsidRDefault="00B32C89" w:rsidP="00B32C89">
      <w:pPr>
        <w:pStyle w:val="ManualHeading2"/>
        <w:rPr>
          <w:noProof/>
          <w:lang w:val="lv-LV"/>
        </w:rPr>
      </w:pPr>
      <w:r w:rsidRPr="00074F53">
        <w:rPr>
          <w:lang w:val="lv-LV"/>
        </w:rPr>
        <w:t>5.1.</w:t>
      </w:r>
      <w:r w:rsidRPr="00074F53">
        <w:rPr>
          <w:lang w:val="lv-LV"/>
        </w:rPr>
        <w:tab/>
      </w:r>
      <w:r w:rsidR="006A41E2" w:rsidRPr="00074F53">
        <w:rPr>
          <w:noProof/>
          <w:lang w:val="lv-LV"/>
        </w:rPr>
        <w:t xml:space="preserve">Veicinošie nosacījumi – Regulas (ES) 2021/1149 30. panta 2. punkta f) apakšpunkts </w:t>
      </w:r>
    </w:p>
    <w:p w14:paraId="441ADE7C" w14:textId="047DA78E" w:rsidR="006A41E2" w:rsidRPr="00074F53" w:rsidRDefault="001B037F" w:rsidP="006A41E2">
      <w:pPr>
        <w:rPr>
          <w:noProof/>
          <w:lang w:val="lv-LV"/>
        </w:rPr>
      </w:pPr>
      <w:r w:rsidRPr="00074F53">
        <w:rPr>
          <w:noProof/>
          <w:lang w:val="lv-LV"/>
        </w:rPr>
        <w:t xml:space="preserve">Aprakstiet, kā tika nodrošināts, ka ir izpildīti un visa grāmatvedības </w:t>
      </w:r>
      <w:r w:rsidR="0059347E">
        <w:rPr>
          <w:noProof/>
          <w:lang w:val="lv-LV"/>
        </w:rPr>
        <w:t>periodā</w:t>
      </w:r>
      <w:r w:rsidRPr="00074F53">
        <w:rPr>
          <w:noProof/>
          <w:lang w:val="lv-LV"/>
        </w:rPr>
        <w:t xml:space="preserve"> laikā tikuši piemēroti Regulas (ES) 2021/1060 III pielikumā paredzētie piemērojamie veicinošie nosacījumi, jo īpaši attiecībā uz Eiropas Savienības Pamattiesību hartas ievērošanu. Attiecīgā gadījumā aprakstiet visas izmaiņas, kas ietekmējušas veicinošo nosacījumu izpildi, kā paredzēts Regulas (ES) 2021/1060 15. panta 6. punktā.</w:t>
      </w:r>
    </w:p>
    <w:tbl>
      <w:tblPr>
        <w:tblStyle w:val="TableGrid"/>
        <w:tblW w:w="0" w:type="auto"/>
        <w:tblLook w:val="04A0" w:firstRow="1" w:lastRow="0" w:firstColumn="1" w:lastColumn="0" w:noHBand="0" w:noVBand="1"/>
      </w:tblPr>
      <w:tblGrid>
        <w:gridCol w:w="9063"/>
      </w:tblGrid>
      <w:tr w:rsidR="003A3A17" w:rsidRPr="00074F53" w14:paraId="1192D2A4" w14:textId="77777777" w:rsidTr="00E45665">
        <w:tc>
          <w:tcPr>
            <w:tcW w:w="9289" w:type="dxa"/>
          </w:tcPr>
          <w:p w14:paraId="43E0A259" w14:textId="77777777" w:rsidR="006A41E2" w:rsidRPr="00074F53" w:rsidRDefault="00FF0E7F" w:rsidP="009E5C5D">
            <w:pPr>
              <w:pStyle w:val="Personnequisigne"/>
              <w:rPr>
                <w:noProof/>
                <w:lang w:val="lv-LV"/>
              </w:rPr>
            </w:pPr>
            <w:r w:rsidRPr="00074F53">
              <w:rPr>
                <w:noProof/>
                <w:lang w:val="lv-LV"/>
              </w:rPr>
              <w:t>Šeit ierakstiet tekstu. Ne vairāk kā 5000 rakstzīmes.</w:t>
            </w:r>
          </w:p>
          <w:p w14:paraId="5199AFE5" w14:textId="77777777" w:rsidR="007D76A5" w:rsidRPr="00074F53" w:rsidRDefault="007D76A5" w:rsidP="007D76A5">
            <w:pPr>
              <w:keepNext/>
              <w:tabs>
                <w:tab w:val="left" w:pos="4252"/>
              </w:tabs>
              <w:spacing w:before="120" w:after="120"/>
              <w:ind w:firstLine="743"/>
              <w:rPr>
                <w:rFonts w:eastAsiaTheme="minorHAnsi"/>
              </w:rPr>
            </w:pPr>
            <w:proofErr w:type="spellStart"/>
            <w:r w:rsidRPr="00074F53">
              <w:rPr>
                <w:rFonts w:eastAsiaTheme="minorHAnsi"/>
              </w:rPr>
              <w:t>Veicinošie</w:t>
            </w:r>
            <w:proofErr w:type="spellEnd"/>
            <w:r w:rsidRPr="00074F53">
              <w:rPr>
                <w:rFonts w:eastAsiaTheme="minorHAnsi"/>
              </w:rPr>
              <w:t xml:space="preserve"> </w:t>
            </w:r>
            <w:proofErr w:type="spellStart"/>
            <w:r w:rsidRPr="00074F53">
              <w:rPr>
                <w:rFonts w:eastAsiaTheme="minorHAnsi"/>
              </w:rPr>
              <w:t>nosacījumi</w:t>
            </w:r>
            <w:proofErr w:type="spellEnd"/>
            <w:r w:rsidRPr="00074F53">
              <w:rPr>
                <w:rFonts w:eastAsiaTheme="minorHAnsi"/>
              </w:rPr>
              <w:t>:</w:t>
            </w:r>
          </w:p>
          <w:p w14:paraId="0FFDB50B" w14:textId="77777777" w:rsidR="007D76A5" w:rsidRPr="00074F53" w:rsidRDefault="007D76A5" w:rsidP="007D76A5">
            <w:pPr>
              <w:numPr>
                <w:ilvl w:val="0"/>
                <w:numId w:val="41"/>
              </w:numPr>
              <w:tabs>
                <w:tab w:val="left" w:pos="4252"/>
              </w:tabs>
              <w:spacing w:before="120" w:after="120"/>
              <w:contextualSpacing/>
            </w:pPr>
            <w:proofErr w:type="spellStart"/>
            <w:r w:rsidRPr="00074F53">
              <w:rPr>
                <w:b/>
              </w:rPr>
              <w:t>Efektīvi</w:t>
            </w:r>
            <w:proofErr w:type="spellEnd"/>
            <w:r w:rsidRPr="00074F53">
              <w:rPr>
                <w:b/>
              </w:rPr>
              <w:t xml:space="preserve"> </w:t>
            </w:r>
            <w:proofErr w:type="spellStart"/>
            <w:r w:rsidRPr="00074F53">
              <w:rPr>
                <w:b/>
              </w:rPr>
              <w:t>publiskā</w:t>
            </w:r>
            <w:proofErr w:type="spellEnd"/>
            <w:r w:rsidRPr="00074F53">
              <w:rPr>
                <w:b/>
              </w:rPr>
              <w:t xml:space="preserve"> </w:t>
            </w:r>
            <w:proofErr w:type="spellStart"/>
            <w:r w:rsidRPr="00074F53">
              <w:rPr>
                <w:b/>
              </w:rPr>
              <w:t>iepirkuma</w:t>
            </w:r>
            <w:proofErr w:type="spellEnd"/>
            <w:r w:rsidRPr="00074F53">
              <w:rPr>
                <w:b/>
              </w:rPr>
              <w:t xml:space="preserve"> </w:t>
            </w:r>
            <w:proofErr w:type="spellStart"/>
            <w:r w:rsidRPr="00074F53">
              <w:rPr>
                <w:b/>
              </w:rPr>
              <w:t>tirgus</w:t>
            </w:r>
            <w:proofErr w:type="spellEnd"/>
            <w:r w:rsidRPr="00074F53">
              <w:rPr>
                <w:b/>
              </w:rPr>
              <w:t xml:space="preserve"> </w:t>
            </w:r>
            <w:proofErr w:type="spellStart"/>
            <w:r w:rsidRPr="00074F53">
              <w:rPr>
                <w:b/>
              </w:rPr>
              <w:t>uzraudzības</w:t>
            </w:r>
            <w:proofErr w:type="spellEnd"/>
            <w:r w:rsidRPr="00074F53">
              <w:rPr>
                <w:b/>
              </w:rPr>
              <w:t xml:space="preserve"> </w:t>
            </w:r>
            <w:proofErr w:type="spellStart"/>
            <w:r w:rsidRPr="00074F53">
              <w:rPr>
                <w:b/>
              </w:rPr>
              <w:t>mehānismi</w:t>
            </w:r>
            <w:proofErr w:type="spellEnd"/>
            <w:r w:rsidRPr="00074F53">
              <w:t xml:space="preserve"> - </w:t>
            </w:r>
            <w:proofErr w:type="spellStart"/>
            <w:r w:rsidRPr="00074F53">
              <w:t>grāmatvedības</w:t>
            </w:r>
            <w:proofErr w:type="spellEnd"/>
            <w:r w:rsidRPr="00074F53">
              <w:t xml:space="preserve"> </w:t>
            </w:r>
            <w:proofErr w:type="spellStart"/>
            <w:r w:rsidRPr="00074F53">
              <w:t>periodā</w:t>
            </w:r>
            <w:proofErr w:type="spellEnd"/>
            <w:r w:rsidRPr="00074F53">
              <w:t xml:space="preserve"> </w:t>
            </w:r>
            <w:proofErr w:type="spellStart"/>
            <w:r w:rsidRPr="00074F53">
              <w:t>ir</w:t>
            </w:r>
            <w:proofErr w:type="spellEnd"/>
            <w:r w:rsidRPr="00074F53">
              <w:t xml:space="preserve"> </w:t>
            </w:r>
            <w:proofErr w:type="spellStart"/>
            <w:r w:rsidRPr="00074F53">
              <w:t>nodrošināta</w:t>
            </w:r>
            <w:proofErr w:type="spellEnd"/>
            <w:r w:rsidRPr="00074F53">
              <w:t xml:space="preserve"> </w:t>
            </w:r>
            <w:proofErr w:type="spellStart"/>
            <w:r w:rsidRPr="00074F53">
              <w:t>veicinošā</w:t>
            </w:r>
            <w:proofErr w:type="spellEnd"/>
            <w:r w:rsidRPr="00074F53">
              <w:t xml:space="preserve"> </w:t>
            </w:r>
            <w:proofErr w:type="spellStart"/>
            <w:r w:rsidRPr="00074F53">
              <w:t>nosacījuma</w:t>
            </w:r>
            <w:proofErr w:type="spellEnd"/>
            <w:r w:rsidRPr="00074F53">
              <w:t xml:space="preserve"> </w:t>
            </w:r>
            <w:proofErr w:type="spellStart"/>
            <w:r w:rsidRPr="00074F53">
              <w:t>izpilde</w:t>
            </w:r>
            <w:proofErr w:type="spellEnd"/>
            <w:r w:rsidRPr="00074F53">
              <w:t>:</w:t>
            </w:r>
          </w:p>
          <w:p w14:paraId="13171A1A" w14:textId="77777777" w:rsidR="007D76A5" w:rsidRPr="00074F53" w:rsidRDefault="007D76A5" w:rsidP="007D76A5">
            <w:pPr>
              <w:keepNext/>
              <w:numPr>
                <w:ilvl w:val="0"/>
                <w:numId w:val="38"/>
              </w:numPr>
              <w:tabs>
                <w:tab w:val="left" w:pos="4252"/>
              </w:tabs>
              <w:spacing w:before="120" w:after="120"/>
              <w:contextualSpacing/>
            </w:pPr>
            <w:proofErr w:type="spellStart"/>
            <w:r w:rsidRPr="00074F53">
              <w:rPr>
                <w:rFonts w:eastAsiaTheme="minorHAnsi"/>
              </w:rPr>
              <w:t>Iepirkumu</w:t>
            </w:r>
            <w:proofErr w:type="spellEnd"/>
            <w:r w:rsidRPr="00074F53">
              <w:rPr>
                <w:rFonts w:eastAsiaTheme="minorHAnsi"/>
              </w:rPr>
              <w:t xml:space="preserve"> </w:t>
            </w:r>
            <w:proofErr w:type="spellStart"/>
            <w:r w:rsidRPr="00074F53">
              <w:rPr>
                <w:rFonts w:eastAsiaTheme="minorHAnsi"/>
              </w:rPr>
              <w:t>uzraudzības</w:t>
            </w:r>
            <w:proofErr w:type="spellEnd"/>
            <w:r w:rsidRPr="00074F53">
              <w:rPr>
                <w:rFonts w:eastAsiaTheme="minorHAnsi"/>
              </w:rPr>
              <w:t xml:space="preserve"> </w:t>
            </w:r>
            <w:proofErr w:type="spellStart"/>
            <w:r w:rsidRPr="00074F53">
              <w:rPr>
                <w:rFonts w:eastAsiaTheme="minorHAnsi"/>
              </w:rPr>
              <w:t>birojs</w:t>
            </w:r>
            <w:proofErr w:type="spellEnd"/>
            <w:r w:rsidRPr="00074F53">
              <w:rPr>
                <w:rFonts w:eastAsiaTheme="minorHAnsi"/>
              </w:rPr>
              <w:t xml:space="preserve"> </w:t>
            </w:r>
            <w:proofErr w:type="spellStart"/>
            <w:r w:rsidRPr="00074F53">
              <w:rPr>
                <w:rFonts w:eastAsiaTheme="minorHAnsi"/>
              </w:rPr>
              <w:t>ir</w:t>
            </w:r>
            <w:proofErr w:type="spellEnd"/>
            <w:r w:rsidRPr="00074F53">
              <w:rPr>
                <w:rFonts w:eastAsiaTheme="minorHAnsi"/>
              </w:rPr>
              <w:t xml:space="preserve"> </w:t>
            </w:r>
            <w:proofErr w:type="spellStart"/>
            <w:r w:rsidRPr="00074F53">
              <w:rPr>
                <w:rFonts w:eastAsiaTheme="minorHAnsi"/>
              </w:rPr>
              <w:t>īstenojis</w:t>
            </w:r>
            <w:proofErr w:type="spellEnd"/>
            <w:r w:rsidRPr="00074F53">
              <w:rPr>
                <w:rFonts w:eastAsiaTheme="minorHAnsi"/>
              </w:rPr>
              <w:t xml:space="preserve"> </w:t>
            </w:r>
            <w:proofErr w:type="spellStart"/>
            <w:r w:rsidRPr="00074F53">
              <w:t>publisko</w:t>
            </w:r>
            <w:proofErr w:type="spellEnd"/>
            <w:r w:rsidRPr="00074F53">
              <w:t xml:space="preserve"> </w:t>
            </w:r>
            <w:proofErr w:type="spellStart"/>
            <w:r w:rsidRPr="00074F53">
              <w:t>iepirkumu</w:t>
            </w:r>
            <w:proofErr w:type="spellEnd"/>
            <w:r w:rsidRPr="00074F53">
              <w:t xml:space="preserve"> </w:t>
            </w:r>
            <w:proofErr w:type="spellStart"/>
            <w:r w:rsidRPr="00074F53">
              <w:t>uzraudzību</w:t>
            </w:r>
            <w:proofErr w:type="spellEnd"/>
            <w:r w:rsidRPr="00074F53">
              <w:t xml:space="preserve"> </w:t>
            </w:r>
            <w:proofErr w:type="spellStart"/>
            <w:r w:rsidRPr="00074F53">
              <w:t>atbilstoši</w:t>
            </w:r>
            <w:proofErr w:type="spellEnd"/>
            <w:r w:rsidRPr="00074F53">
              <w:t xml:space="preserve"> </w:t>
            </w:r>
            <w:proofErr w:type="spellStart"/>
            <w:r w:rsidRPr="00074F53">
              <w:t>Publisko</w:t>
            </w:r>
            <w:proofErr w:type="spellEnd"/>
            <w:r w:rsidRPr="00074F53">
              <w:t xml:space="preserve"> </w:t>
            </w:r>
            <w:proofErr w:type="spellStart"/>
            <w:r w:rsidRPr="00074F53">
              <w:t>iepirkumu</w:t>
            </w:r>
            <w:proofErr w:type="spellEnd"/>
            <w:r w:rsidRPr="00074F53">
              <w:t xml:space="preserve"> </w:t>
            </w:r>
            <w:proofErr w:type="spellStart"/>
            <w:r w:rsidRPr="00074F53">
              <w:t>likumam</w:t>
            </w:r>
            <w:proofErr w:type="spellEnd"/>
            <w:r w:rsidRPr="00074F53">
              <w:t>;</w:t>
            </w:r>
          </w:p>
          <w:p w14:paraId="78510646" w14:textId="77777777" w:rsidR="007D76A5" w:rsidRPr="00074F53" w:rsidRDefault="007D76A5" w:rsidP="007D76A5">
            <w:pPr>
              <w:keepNext/>
              <w:numPr>
                <w:ilvl w:val="0"/>
                <w:numId w:val="38"/>
              </w:numPr>
              <w:tabs>
                <w:tab w:val="left" w:pos="4252"/>
              </w:tabs>
              <w:spacing w:before="120" w:after="120"/>
              <w:contextualSpacing/>
            </w:pPr>
            <w:proofErr w:type="spellStart"/>
            <w:r w:rsidRPr="00074F53">
              <w:rPr>
                <w:rFonts w:eastAsiaTheme="minorHAnsi"/>
              </w:rPr>
              <w:t>vadošā</w:t>
            </w:r>
            <w:proofErr w:type="spellEnd"/>
            <w:r w:rsidRPr="00074F53">
              <w:rPr>
                <w:rFonts w:eastAsiaTheme="minorHAnsi"/>
              </w:rPr>
              <w:t xml:space="preserve"> </w:t>
            </w:r>
            <w:proofErr w:type="spellStart"/>
            <w:r w:rsidRPr="00074F53">
              <w:rPr>
                <w:rFonts w:eastAsiaTheme="minorHAnsi"/>
              </w:rPr>
              <w:t>iestāde</w:t>
            </w:r>
            <w:proofErr w:type="spellEnd"/>
            <w:r w:rsidRPr="00074F53">
              <w:rPr>
                <w:rFonts w:eastAsiaTheme="minorHAnsi"/>
              </w:rPr>
              <w:t xml:space="preserve"> </w:t>
            </w:r>
            <w:proofErr w:type="spellStart"/>
            <w:r w:rsidRPr="00074F53">
              <w:rPr>
                <w:rFonts w:eastAsiaTheme="minorHAnsi"/>
              </w:rPr>
              <w:t>ir</w:t>
            </w:r>
            <w:proofErr w:type="spellEnd"/>
            <w:r w:rsidRPr="00074F53">
              <w:rPr>
                <w:rFonts w:eastAsiaTheme="minorHAnsi"/>
              </w:rPr>
              <w:t xml:space="preserve"> </w:t>
            </w:r>
            <w:proofErr w:type="spellStart"/>
            <w:r w:rsidRPr="00074F53">
              <w:rPr>
                <w:rFonts w:eastAsiaTheme="minorHAnsi"/>
              </w:rPr>
              <w:t>nodrošinājusi</w:t>
            </w:r>
            <w:proofErr w:type="spellEnd"/>
            <w:r w:rsidRPr="00074F53">
              <w:rPr>
                <w:rFonts w:eastAsiaTheme="minorHAnsi"/>
              </w:rPr>
              <w:t xml:space="preserve"> </w:t>
            </w:r>
            <w:proofErr w:type="spellStart"/>
            <w:r w:rsidRPr="00074F53">
              <w:rPr>
                <w:rFonts w:eastAsiaTheme="minorHAnsi"/>
              </w:rPr>
              <w:t>iepirkumu</w:t>
            </w:r>
            <w:proofErr w:type="spellEnd"/>
            <w:r w:rsidRPr="00074F53">
              <w:rPr>
                <w:rFonts w:eastAsiaTheme="minorHAnsi"/>
              </w:rPr>
              <w:t xml:space="preserve"> </w:t>
            </w:r>
            <w:proofErr w:type="spellStart"/>
            <w:r w:rsidRPr="00074F53">
              <w:rPr>
                <w:rFonts w:eastAsiaTheme="minorHAnsi"/>
              </w:rPr>
              <w:t>pirmspārbaužu</w:t>
            </w:r>
            <w:proofErr w:type="spellEnd"/>
            <w:r w:rsidRPr="00074F53">
              <w:rPr>
                <w:rFonts w:eastAsiaTheme="minorHAnsi"/>
              </w:rPr>
              <w:t xml:space="preserve"> </w:t>
            </w:r>
            <w:proofErr w:type="spellStart"/>
            <w:r w:rsidRPr="00074F53">
              <w:rPr>
                <w:rFonts w:eastAsiaTheme="minorHAnsi"/>
              </w:rPr>
              <w:t>veikšanu</w:t>
            </w:r>
            <w:proofErr w:type="spellEnd"/>
            <w:r w:rsidRPr="00074F53">
              <w:rPr>
                <w:rFonts w:eastAsiaTheme="minorHAnsi"/>
              </w:rPr>
              <w:t>.</w:t>
            </w:r>
          </w:p>
          <w:p w14:paraId="576A996C" w14:textId="77777777" w:rsidR="007D76A5" w:rsidRPr="00074F53" w:rsidRDefault="007D76A5" w:rsidP="007D76A5">
            <w:pPr>
              <w:keepNext/>
              <w:tabs>
                <w:tab w:val="left" w:pos="4252"/>
              </w:tabs>
              <w:ind w:left="502"/>
            </w:pPr>
          </w:p>
          <w:p w14:paraId="2F8CB6F3" w14:textId="77777777" w:rsidR="007D76A5" w:rsidRPr="00074F53" w:rsidRDefault="007D76A5" w:rsidP="007D76A5">
            <w:pPr>
              <w:keepNext/>
              <w:numPr>
                <w:ilvl w:val="0"/>
                <w:numId w:val="40"/>
              </w:numPr>
              <w:tabs>
                <w:tab w:val="left" w:pos="4252"/>
              </w:tabs>
              <w:spacing w:before="120" w:after="120"/>
              <w:contextualSpacing/>
            </w:pPr>
            <w:proofErr w:type="spellStart"/>
            <w:r w:rsidRPr="00074F53">
              <w:rPr>
                <w:b/>
              </w:rPr>
              <w:t>Pamattiesību</w:t>
            </w:r>
            <w:proofErr w:type="spellEnd"/>
            <w:r w:rsidRPr="00074F53">
              <w:rPr>
                <w:b/>
              </w:rPr>
              <w:t xml:space="preserve"> </w:t>
            </w:r>
            <w:proofErr w:type="spellStart"/>
            <w:r w:rsidRPr="00074F53">
              <w:rPr>
                <w:b/>
              </w:rPr>
              <w:t>hartas</w:t>
            </w:r>
            <w:proofErr w:type="spellEnd"/>
            <w:r w:rsidRPr="00074F53">
              <w:rPr>
                <w:b/>
              </w:rPr>
              <w:t xml:space="preserve"> </w:t>
            </w:r>
            <w:proofErr w:type="spellStart"/>
            <w:r w:rsidRPr="00074F53">
              <w:rPr>
                <w:b/>
              </w:rPr>
              <w:t>efektīva</w:t>
            </w:r>
            <w:proofErr w:type="spellEnd"/>
            <w:r w:rsidRPr="00074F53">
              <w:rPr>
                <w:b/>
              </w:rPr>
              <w:t xml:space="preserve"> </w:t>
            </w:r>
            <w:proofErr w:type="spellStart"/>
            <w:r w:rsidRPr="00074F53">
              <w:rPr>
                <w:b/>
              </w:rPr>
              <w:t>piemērošana</w:t>
            </w:r>
            <w:proofErr w:type="spellEnd"/>
            <w:r w:rsidRPr="00074F53">
              <w:rPr>
                <w:b/>
              </w:rPr>
              <w:t xml:space="preserve"> un </w:t>
            </w:r>
            <w:proofErr w:type="spellStart"/>
            <w:r w:rsidRPr="00074F53">
              <w:rPr>
                <w:b/>
              </w:rPr>
              <w:t>īstenošana</w:t>
            </w:r>
            <w:proofErr w:type="spellEnd"/>
            <w:r w:rsidRPr="00074F53">
              <w:t xml:space="preserve"> – </w:t>
            </w:r>
            <w:proofErr w:type="spellStart"/>
            <w:r w:rsidRPr="00074F53">
              <w:t>grāmatvedības</w:t>
            </w:r>
            <w:proofErr w:type="spellEnd"/>
            <w:r w:rsidRPr="00074F53">
              <w:t xml:space="preserve"> </w:t>
            </w:r>
            <w:proofErr w:type="spellStart"/>
            <w:r w:rsidRPr="00074F53">
              <w:t>periodā</w:t>
            </w:r>
            <w:proofErr w:type="spellEnd"/>
            <w:r w:rsidRPr="00074F53">
              <w:t xml:space="preserve"> </w:t>
            </w:r>
            <w:proofErr w:type="spellStart"/>
            <w:r w:rsidRPr="00074F53">
              <w:t>ir</w:t>
            </w:r>
            <w:proofErr w:type="spellEnd"/>
            <w:r w:rsidRPr="00074F53">
              <w:t xml:space="preserve"> </w:t>
            </w:r>
            <w:proofErr w:type="spellStart"/>
            <w:r w:rsidRPr="00074F53">
              <w:t>nodrošināta</w:t>
            </w:r>
            <w:proofErr w:type="spellEnd"/>
            <w:r w:rsidRPr="00074F53">
              <w:t xml:space="preserve"> </w:t>
            </w:r>
            <w:proofErr w:type="spellStart"/>
            <w:r w:rsidRPr="00074F53">
              <w:t>veicinošā</w:t>
            </w:r>
            <w:proofErr w:type="spellEnd"/>
            <w:r w:rsidRPr="00074F53">
              <w:t xml:space="preserve"> </w:t>
            </w:r>
            <w:proofErr w:type="spellStart"/>
            <w:r w:rsidRPr="00074F53">
              <w:t>nosacījuma</w:t>
            </w:r>
            <w:proofErr w:type="spellEnd"/>
            <w:r w:rsidRPr="00074F53">
              <w:t xml:space="preserve"> </w:t>
            </w:r>
            <w:proofErr w:type="spellStart"/>
            <w:r w:rsidRPr="00074F53">
              <w:t>izpilde</w:t>
            </w:r>
            <w:proofErr w:type="spellEnd"/>
            <w:r w:rsidRPr="00074F53">
              <w:t>:</w:t>
            </w:r>
          </w:p>
          <w:p w14:paraId="445365A3" w14:textId="77777777" w:rsidR="007D76A5" w:rsidRPr="00074F53" w:rsidRDefault="007D76A5" w:rsidP="007D76A5">
            <w:pPr>
              <w:numPr>
                <w:ilvl w:val="0"/>
                <w:numId w:val="39"/>
              </w:numPr>
              <w:tabs>
                <w:tab w:val="left" w:pos="4252"/>
              </w:tabs>
              <w:spacing w:before="120" w:after="120"/>
              <w:contextualSpacing/>
              <w:rPr>
                <w:rFonts w:eastAsiaTheme="minorHAnsi"/>
              </w:rPr>
            </w:pPr>
            <w:r w:rsidRPr="00074F53">
              <w:rPr>
                <w:rFonts w:eastAsiaTheme="minorHAnsi"/>
              </w:rPr>
              <w:t xml:space="preserve">UK </w:t>
            </w:r>
            <w:proofErr w:type="spellStart"/>
            <w:r w:rsidRPr="00074F53">
              <w:rPr>
                <w:rFonts w:eastAsiaTheme="minorHAnsi"/>
              </w:rPr>
              <w:t>sastāvā</w:t>
            </w:r>
            <w:proofErr w:type="spellEnd"/>
            <w:r w:rsidRPr="00074F53">
              <w:rPr>
                <w:rFonts w:eastAsiaTheme="minorHAnsi"/>
              </w:rPr>
              <w:t xml:space="preserve"> </w:t>
            </w:r>
            <w:proofErr w:type="spellStart"/>
            <w:r w:rsidRPr="00074F53">
              <w:rPr>
                <w:rFonts w:eastAsiaTheme="minorHAnsi"/>
              </w:rPr>
              <w:t>kā</w:t>
            </w:r>
            <w:proofErr w:type="spellEnd"/>
            <w:r w:rsidRPr="00074F53">
              <w:rPr>
                <w:rFonts w:eastAsiaTheme="minorHAnsi"/>
              </w:rPr>
              <w:t xml:space="preserve"> UK </w:t>
            </w:r>
            <w:proofErr w:type="spellStart"/>
            <w:r w:rsidRPr="00074F53">
              <w:rPr>
                <w:rFonts w:eastAsiaTheme="minorHAnsi"/>
              </w:rPr>
              <w:t>loceklis</w:t>
            </w:r>
            <w:proofErr w:type="spellEnd"/>
            <w:r w:rsidRPr="00074F53">
              <w:rPr>
                <w:rFonts w:eastAsiaTheme="minorHAnsi"/>
              </w:rPr>
              <w:t xml:space="preserve"> </w:t>
            </w:r>
            <w:proofErr w:type="spellStart"/>
            <w:r w:rsidRPr="00074F53">
              <w:rPr>
                <w:rFonts w:eastAsiaTheme="minorHAnsi"/>
              </w:rPr>
              <w:t>ar</w:t>
            </w:r>
            <w:proofErr w:type="spellEnd"/>
            <w:r w:rsidRPr="00074F53">
              <w:rPr>
                <w:rFonts w:eastAsiaTheme="minorHAnsi"/>
              </w:rPr>
              <w:t xml:space="preserve"> </w:t>
            </w:r>
            <w:proofErr w:type="spellStart"/>
            <w:r w:rsidRPr="00074F53">
              <w:rPr>
                <w:rFonts w:eastAsiaTheme="minorHAnsi"/>
              </w:rPr>
              <w:t>balsstiesībām</w:t>
            </w:r>
            <w:proofErr w:type="spellEnd"/>
            <w:r w:rsidRPr="00074F53">
              <w:rPr>
                <w:rFonts w:eastAsiaTheme="minorHAnsi"/>
              </w:rPr>
              <w:t xml:space="preserve"> </w:t>
            </w:r>
            <w:proofErr w:type="spellStart"/>
            <w:r w:rsidRPr="00074F53">
              <w:rPr>
                <w:rFonts w:eastAsiaTheme="minorHAnsi"/>
              </w:rPr>
              <w:t>ir</w:t>
            </w:r>
            <w:proofErr w:type="spellEnd"/>
            <w:r w:rsidRPr="00074F53">
              <w:rPr>
                <w:rFonts w:eastAsiaTheme="minorHAnsi"/>
              </w:rPr>
              <w:t xml:space="preserve"> </w:t>
            </w:r>
            <w:proofErr w:type="spellStart"/>
            <w:r w:rsidRPr="00074F53">
              <w:rPr>
                <w:rFonts w:eastAsiaTheme="minorHAnsi"/>
              </w:rPr>
              <w:t>iekļauts</w:t>
            </w:r>
            <w:proofErr w:type="spellEnd"/>
            <w:r w:rsidRPr="00074F53">
              <w:rPr>
                <w:rFonts w:eastAsiaTheme="minorHAnsi"/>
              </w:rPr>
              <w:t xml:space="preserve"> </w:t>
            </w:r>
            <w:proofErr w:type="spellStart"/>
            <w:r w:rsidRPr="00074F53">
              <w:rPr>
                <w:rFonts w:eastAsiaTheme="minorHAnsi"/>
              </w:rPr>
              <w:t>Labklājības</w:t>
            </w:r>
            <w:proofErr w:type="spellEnd"/>
            <w:r w:rsidRPr="00074F53">
              <w:rPr>
                <w:rFonts w:eastAsiaTheme="minorHAnsi"/>
              </w:rPr>
              <w:t xml:space="preserve"> </w:t>
            </w:r>
            <w:proofErr w:type="spellStart"/>
            <w:r w:rsidRPr="00074F53">
              <w:rPr>
                <w:rFonts w:eastAsiaTheme="minorHAnsi"/>
              </w:rPr>
              <w:t>ministrijas</w:t>
            </w:r>
            <w:proofErr w:type="spellEnd"/>
            <w:r w:rsidRPr="00074F53">
              <w:rPr>
                <w:rFonts w:eastAsiaTheme="minorHAnsi"/>
              </w:rPr>
              <w:t xml:space="preserve"> </w:t>
            </w:r>
            <w:proofErr w:type="spellStart"/>
            <w:r w:rsidRPr="00074F53">
              <w:rPr>
                <w:rFonts w:eastAsiaTheme="minorHAnsi"/>
              </w:rPr>
              <w:t>pārstāvis</w:t>
            </w:r>
            <w:proofErr w:type="spellEnd"/>
            <w:r w:rsidRPr="00074F53">
              <w:rPr>
                <w:rFonts w:eastAsiaTheme="minorHAnsi"/>
              </w:rPr>
              <w:t xml:space="preserve">, </w:t>
            </w:r>
            <w:proofErr w:type="spellStart"/>
            <w:r w:rsidRPr="00074F53">
              <w:rPr>
                <w:rFonts w:eastAsiaTheme="minorHAnsi"/>
              </w:rPr>
              <w:t>kurš</w:t>
            </w:r>
            <w:proofErr w:type="spellEnd"/>
            <w:r w:rsidRPr="00074F53">
              <w:rPr>
                <w:rFonts w:eastAsiaTheme="minorHAnsi"/>
              </w:rPr>
              <w:t xml:space="preserve"> </w:t>
            </w:r>
            <w:proofErr w:type="spellStart"/>
            <w:r w:rsidRPr="00074F53">
              <w:rPr>
                <w:rFonts w:eastAsiaTheme="minorHAnsi"/>
              </w:rPr>
              <w:t>ir</w:t>
            </w:r>
            <w:proofErr w:type="spellEnd"/>
            <w:r w:rsidRPr="00074F53">
              <w:rPr>
                <w:rFonts w:eastAsiaTheme="minorHAnsi"/>
              </w:rPr>
              <w:t xml:space="preserve"> </w:t>
            </w:r>
            <w:proofErr w:type="spellStart"/>
            <w:r w:rsidRPr="00074F53">
              <w:rPr>
                <w:rFonts w:eastAsiaTheme="minorHAnsi"/>
              </w:rPr>
              <w:t>atbildīgs</w:t>
            </w:r>
            <w:proofErr w:type="spellEnd"/>
            <w:r w:rsidRPr="00074F53">
              <w:rPr>
                <w:rFonts w:eastAsiaTheme="minorHAnsi"/>
              </w:rPr>
              <w:t xml:space="preserve"> par </w:t>
            </w:r>
            <w:r w:rsidRPr="00074F53">
              <w:rPr>
                <w:rFonts w:eastAsiaTheme="minorHAnsi"/>
                <w:noProof/>
              </w:rPr>
              <w:t xml:space="preserve">Regulas (ES) 2021/1060 </w:t>
            </w:r>
            <w:r w:rsidRPr="00074F53">
              <w:rPr>
                <w:rFonts w:eastAsiaTheme="minorHAnsi"/>
              </w:rPr>
              <w:t xml:space="preserve">9. </w:t>
            </w:r>
            <w:proofErr w:type="spellStart"/>
            <w:r w:rsidRPr="00074F53">
              <w:rPr>
                <w:rFonts w:eastAsiaTheme="minorHAnsi"/>
              </w:rPr>
              <w:t>panta</w:t>
            </w:r>
            <w:proofErr w:type="spellEnd"/>
            <w:r w:rsidRPr="00074F53">
              <w:rPr>
                <w:rFonts w:eastAsiaTheme="minorHAnsi"/>
              </w:rPr>
              <w:t xml:space="preserve"> 1., 2. un 3. </w:t>
            </w:r>
            <w:proofErr w:type="spellStart"/>
            <w:r w:rsidRPr="00074F53">
              <w:rPr>
                <w:rFonts w:eastAsiaTheme="minorHAnsi"/>
              </w:rPr>
              <w:t>punktā</w:t>
            </w:r>
            <w:proofErr w:type="spellEnd"/>
            <w:r w:rsidRPr="00074F53">
              <w:rPr>
                <w:rFonts w:eastAsiaTheme="minorHAnsi"/>
              </w:rPr>
              <w:t xml:space="preserve"> </w:t>
            </w:r>
            <w:proofErr w:type="spellStart"/>
            <w:r w:rsidRPr="00074F53">
              <w:rPr>
                <w:rFonts w:eastAsiaTheme="minorHAnsi"/>
              </w:rPr>
              <w:t>minēto</w:t>
            </w:r>
            <w:proofErr w:type="spellEnd"/>
            <w:r w:rsidRPr="00074F53">
              <w:rPr>
                <w:rFonts w:eastAsiaTheme="minorHAnsi"/>
              </w:rPr>
              <w:t xml:space="preserve"> </w:t>
            </w:r>
            <w:proofErr w:type="spellStart"/>
            <w:r w:rsidRPr="00074F53">
              <w:rPr>
                <w:rFonts w:eastAsiaTheme="minorHAnsi"/>
              </w:rPr>
              <w:t>horizontālo</w:t>
            </w:r>
            <w:proofErr w:type="spellEnd"/>
            <w:r w:rsidRPr="00074F53">
              <w:rPr>
                <w:rFonts w:eastAsiaTheme="minorHAnsi"/>
              </w:rPr>
              <w:t xml:space="preserve"> </w:t>
            </w:r>
            <w:proofErr w:type="spellStart"/>
            <w:r w:rsidRPr="00074F53">
              <w:rPr>
                <w:rFonts w:eastAsiaTheme="minorHAnsi"/>
              </w:rPr>
              <w:t>principu</w:t>
            </w:r>
            <w:proofErr w:type="spellEnd"/>
            <w:r w:rsidRPr="00074F53">
              <w:rPr>
                <w:rFonts w:eastAsiaTheme="minorHAnsi"/>
              </w:rPr>
              <w:t xml:space="preserve"> </w:t>
            </w:r>
            <w:proofErr w:type="spellStart"/>
            <w:r w:rsidRPr="00074F53">
              <w:rPr>
                <w:rFonts w:eastAsiaTheme="minorHAnsi"/>
              </w:rPr>
              <w:t>koordināciju</w:t>
            </w:r>
            <w:proofErr w:type="spellEnd"/>
            <w:r w:rsidRPr="00074F53">
              <w:rPr>
                <w:rFonts w:eastAsiaTheme="minorHAnsi"/>
              </w:rPr>
              <w:t xml:space="preserve">; </w:t>
            </w:r>
          </w:p>
          <w:p w14:paraId="4E6F047E" w14:textId="77777777" w:rsidR="007D76A5" w:rsidRPr="00074F53" w:rsidRDefault="007D76A5" w:rsidP="007D76A5">
            <w:pPr>
              <w:numPr>
                <w:ilvl w:val="0"/>
                <w:numId w:val="39"/>
              </w:numPr>
              <w:tabs>
                <w:tab w:val="left" w:pos="4252"/>
              </w:tabs>
              <w:spacing w:before="120" w:after="120"/>
              <w:contextualSpacing/>
              <w:rPr>
                <w:rFonts w:eastAsiaTheme="minorHAnsi"/>
              </w:rPr>
            </w:pPr>
            <w:proofErr w:type="spellStart"/>
            <w:r w:rsidRPr="00074F53">
              <w:rPr>
                <w:rFonts w:eastAsiaTheme="minorHAnsi"/>
              </w:rPr>
              <w:t>projekta</w:t>
            </w:r>
            <w:proofErr w:type="spellEnd"/>
            <w:r w:rsidRPr="00074F53">
              <w:rPr>
                <w:rFonts w:eastAsiaTheme="minorHAnsi"/>
              </w:rPr>
              <w:t xml:space="preserve"> </w:t>
            </w:r>
            <w:proofErr w:type="spellStart"/>
            <w:r w:rsidRPr="00074F53">
              <w:rPr>
                <w:rFonts w:eastAsiaTheme="minorHAnsi"/>
              </w:rPr>
              <w:t>iesniegumā</w:t>
            </w:r>
            <w:proofErr w:type="spellEnd"/>
            <w:r w:rsidRPr="00074F53">
              <w:rPr>
                <w:rFonts w:eastAsiaTheme="minorHAnsi"/>
              </w:rPr>
              <w:t xml:space="preserve"> un </w:t>
            </w:r>
            <w:proofErr w:type="spellStart"/>
            <w:r w:rsidRPr="00074F53">
              <w:rPr>
                <w:rFonts w:eastAsiaTheme="minorHAnsi"/>
              </w:rPr>
              <w:t>projekta</w:t>
            </w:r>
            <w:proofErr w:type="spellEnd"/>
            <w:r w:rsidRPr="00074F53">
              <w:rPr>
                <w:rFonts w:eastAsiaTheme="minorHAnsi"/>
              </w:rPr>
              <w:t xml:space="preserve"> </w:t>
            </w:r>
            <w:proofErr w:type="spellStart"/>
            <w:r w:rsidRPr="00074F53">
              <w:rPr>
                <w:rFonts w:eastAsiaTheme="minorHAnsi"/>
              </w:rPr>
              <w:t>iesnieguma</w:t>
            </w:r>
            <w:proofErr w:type="spellEnd"/>
            <w:r w:rsidRPr="00074F53">
              <w:rPr>
                <w:rFonts w:eastAsiaTheme="minorHAnsi"/>
              </w:rPr>
              <w:t xml:space="preserve"> </w:t>
            </w:r>
            <w:proofErr w:type="spellStart"/>
            <w:r w:rsidRPr="00074F53">
              <w:rPr>
                <w:rFonts w:eastAsiaTheme="minorHAnsi"/>
              </w:rPr>
              <w:t>vērtēšanas</w:t>
            </w:r>
            <w:proofErr w:type="spellEnd"/>
            <w:r w:rsidRPr="00074F53">
              <w:rPr>
                <w:rFonts w:eastAsiaTheme="minorHAnsi"/>
              </w:rPr>
              <w:t xml:space="preserve"> </w:t>
            </w:r>
            <w:proofErr w:type="spellStart"/>
            <w:r w:rsidRPr="00074F53">
              <w:rPr>
                <w:rFonts w:eastAsiaTheme="minorHAnsi"/>
              </w:rPr>
              <w:t>metodikā</w:t>
            </w:r>
            <w:proofErr w:type="spellEnd"/>
            <w:r w:rsidRPr="00074F53">
              <w:rPr>
                <w:rFonts w:eastAsiaTheme="minorHAnsi"/>
              </w:rPr>
              <w:t xml:space="preserve"> </w:t>
            </w:r>
            <w:proofErr w:type="spellStart"/>
            <w:r w:rsidRPr="00074F53">
              <w:rPr>
                <w:rFonts w:eastAsiaTheme="minorHAnsi"/>
              </w:rPr>
              <w:t>ir</w:t>
            </w:r>
            <w:proofErr w:type="spellEnd"/>
            <w:r w:rsidRPr="00074F53">
              <w:rPr>
                <w:rFonts w:eastAsiaTheme="minorHAnsi"/>
              </w:rPr>
              <w:t xml:space="preserve"> </w:t>
            </w:r>
            <w:proofErr w:type="spellStart"/>
            <w:r w:rsidRPr="00074F53">
              <w:rPr>
                <w:rFonts w:eastAsiaTheme="minorHAnsi"/>
              </w:rPr>
              <w:t>noteikti</w:t>
            </w:r>
            <w:proofErr w:type="spellEnd"/>
            <w:r w:rsidRPr="00074F53">
              <w:rPr>
                <w:rFonts w:eastAsiaTheme="minorHAnsi"/>
              </w:rPr>
              <w:t xml:space="preserve"> </w:t>
            </w:r>
            <w:proofErr w:type="spellStart"/>
            <w:r w:rsidRPr="00074F53">
              <w:rPr>
                <w:rFonts w:eastAsiaTheme="minorHAnsi"/>
              </w:rPr>
              <w:t>Horizontālā</w:t>
            </w:r>
            <w:proofErr w:type="spellEnd"/>
            <w:r w:rsidRPr="00074F53">
              <w:rPr>
                <w:rFonts w:eastAsiaTheme="minorHAnsi"/>
              </w:rPr>
              <w:t xml:space="preserve"> </w:t>
            </w:r>
            <w:proofErr w:type="spellStart"/>
            <w:r w:rsidRPr="00074F53">
              <w:rPr>
                <w:rFonts w:eastAsiaTheme="minorHAnsi"/>
              </w:rPr>
              <w:t>principa</w:t>
            </w:r>
            <w:proofErr w:type="spellEnd"/>
            <w:r w:rsidRPr="00074F53">
              <w:rPr>
                <w:rFonts w:eastAsiaTheme="minorHAnsi"/>
              </w:rPr>
              <w:t xml:space="preserve"> </w:t>
            </w:r>
            <w:proofErr w:type="spellStart"/>
            <w:r w:rsidRPr="00074F53">
              <w:rPr>
                <w:rFonts w:eastAsiaTheme="minorHAnsi"/>
              </w:rPr>
              <w:t>kritēriji</w:t>
            </w:r>
            <w:proofErr w:type="spellEnd"/>
            <w:r w:rsidRPr="00074F53">
              <w:rPr>
                <w:rFonts w:eastAsiaTheme="minorHAnsi"/>
              </w:rPr>
              <w:t>;</w:t>
            </w:r>
          </w:p>
          <w:p w14:paraId="140C2D4B" w14:textId="77777777" w:rsidR="007D76A5" w:rsidRPr="00074F53" w:rsidRDefault="007D76A5" w:rsidP="007D76A5">
            <w:pPr>
              <w:numPr>
                <w:ilvl w:val="0"/>
                <w:numId w:val="39"/>
              </w:numPr>
              <w:tabs>
                <w:tab w:val="left" w:pos="4252"/>
              </w:tabs>
              <w:spacing w:before="120" w:after="120"/>
              <w:contextualSpacing/>
              <w:rPr>
                <w:rFonts w:eastAsiaTheme="minorHAnsi"/>
              </w:rPr>
            </w:pPr>
            <w:proofErr w:type="spellStart"/>
            <w:r w:rsidRPr="00074F53">
              <w:lastRenderedPageBreak/>
              <w:t>izstrādātas</w:t>
            </w:r>
            <w:proofErr w:type="spellEnd"/>
            <w:r w:rsidRPr="00074F53">
              <w:t xml:space="preserve"> </w:t>
            </w:r>
            <w:proofErr w:type="spellStart"/>
            <w:r w:rsidRPr="00074F53">
              <w:t>Vadlīnijas</w:t>
            </w:r>
            <w:proofErr w:type="spellEnd"/>
            <w:r w:rsidRPr="00074F53">
              <w:t xml:space="preserve"> </w:t>
            </w:r>
            <w:proofErr w:type="spellStart"/>
            <w:r w:rsidRPr="00074F53">
              <w:t>horizontālā</w:t>
            </w:r>
            <w:proofErr w:type="spellEnd"/>
            <w:r w:rsidRPr="00074F53">
              <w:t xml:space="preserve"> </w:t>
            </w:r>
            <w:proofErr w:type="spellStart"/>
            <w:r w:rsidRPr="00074F53">
              <w:t>principa</w:t>
            </w:r>
            <w:proofErr w:type="spellEnd"/>
            <w:r w:rsidRPr="00074F53">
              <w:t xml:space="preserve"> “</w:t>
            </w:r>
            <w:proofErr w:type="spellStart"/>
            <w:r w:rsidRPr="00074F53">
              <w:t>Vienlīdzība</w:t>
            </w:r>
            <w:proofErr w:type="spellEnd"/>
            <w:r w:rsidRPr="00074F53">
              <w:t xml:space="preserve">, </w:t>
            </w:r>
            <w:proofErr w:type="spellStart"/>
            <w:r w:rsidRPr="00074F53">
              <w:t>iekļaušana</w:t>
            </w:r>
            <w:proofErr w:type="spellEnd"/>
            <w:r w:rsidRPr="00074F53">
              <w:t xml:space="preserve">, </w:t>
            </w:r>
            <w:proofErr w:type="spellStart"/>
            <w:r w:rsidRPr="00074F53">
              <w:t>nediskriminācija</w:t>
            </w:r>
            <w:proofErr w:type="spellEnd"/>
            <w:r w:rsidRPr="00074F53">
              <w:t xml:space="preserve"> un </w:t>
            </w:r>
            <w:proofErr w:type="spellStart"/>
            <w:r w:rsidRPr="00074F53">
              <w:t>pamattiesību</w:t>
            </w:r>
            <w:proofErr w:type="spellEnd"/>
            <w:r w:rsidRPr="00074F53">
              <w:t xml:space="preserve"> </w:t>
            </w:r>
            <w:proofErr w:type="spellStart"/>
            <w:r w:rsidRPr="00074F53">
              <w:t>ievērošana</w:t>
            </w:r>
            <w:proofErr w:type="spellEnd"/>
            <w:r w:rsidRPr="00074F53">
              <w:t xml:space="preserve">” </w:t>
            </w:r>
            <w:proofErr w:type="spellStart"/>
            <w:r w:rsidRPr="00074F53">
              <w:t>īstenošanai</w:t>
            </w:r>
            <w:proofErr w:type="spellEnd"/>
            <w:r w:rsidRPr="00074F53">
              <w:t xml:space="preserve"> un </w:t>
            </w:r>
            <w:proofErr w:type="spellStart"/>
            <w:r w:rsidRPr="00074F53">
              <w:t>uzraudzībai</w:t>
            </w:r>
            <w:proofErr w:type="spellEnd"/>
            <w:r w:rsidRPr="00074F53">
              <w:t xml:space="preserve"> (IDF, IRPVP, PMIF) 2021-2027 </w:t>
            </w:r>
            <w:r w:rsidRPr="00074F53">
              <w:rPr>
                <w:vertAlign w:val="superscript"/>
              </w:rPr>
              <w:footnoteReference w:id="24"/>
            </w:r>
            <w:r w:rsidRPr="00074F53">
              <w:t xml:space="preserve"> (</w:t>
            </w:r>
            <w:proofErr w:type="spellStart"/>
            <w:r w:rsidRPr="00074F53">
              <w:t>turpmāk</w:t>
            </w:r>
            <w:proofErr w:type="spellEnd"/>
            <w:r w:rsidRPr="00074F53">
              <w:t xml:space="preserve"> – HP </w:t>
            </w:r>
            <w:proofErr w:type="spellStart"/>
            <w:r w:rsidRPr="00074F53">
              <w:t>vadlīnijas</w:t>
            </w:r>
            <w:proofErr w:type="spellEnd"/>
            <w:r w:rsidRPr="00074F53">
              <w:t>);</w:t>
            </w:r>
          </w:p>
          <w:p w14:paraId="32324FB8" w14:textId="77777777" w:rsidR="007D76A5" w:rsidRPr="00074F53" w:rsidRDefault="007D76A5" w:rsidP="007D76A5">
            <w:pPr>
              <w:numPr>
                <w:ilvl w:val="0"/>
                <w:numId w:val="39"/>
              </w:numPr>
              <w:tabs>
                <w:tab w:val="left" w:pos="4252"/>
              </w:tabs>
              <w:spacing w:before="120" w:after="120"/>
              <w:contextualSpacing/>
              <w:rPr>
                <w:rFonts w:eastAsiaTheme="minorHAnsi"/>
              </w:rPr>
            </w:pPr>
            <w:proofErr w:type="spellStart"/>
            <w:r w:rsidRPr="00074F53">
              <w:rPr>
                <w:rFonts w:eastAsiaTheme="minorHAnsi"/>
              </w:rPr>
              <w:t>Ministru</w:t>
            </w:r>
            <w:proofErr w:type="spellEnd"/>
            <w:r w:rsidRPr="00074F53">
              <w:rPr>
                <w:rFonts w:eastAsiaTheme="minorHAnsi"/>
              </w:rPr>
              <w:t xml:space="preserve"> </w:t>
            </w:r>
            <w:proofErr w:type="spellStart"/>
            <w:r w:rsidRPr="00074F53">
              <w:rPr>
                <w:rFonts w:eastAsiaTheme="minorHAnsi"/>
              </w:rPr>
              <w:t>kabineta</w:t>
            </w:r>
            <w:proofErr w:type="spellEnd"/>
            <w:r w:rsidRPr="00074F53">
              <w:rPr>
                <w:rFonts w:eastAsiaTheme="minorHAnsi"/>
              </w:rPr>
              <w:t xml:space="preserve"> 2022. </w:t>
            </w:r>
            <w:proofErr w:type="spellStart"/>
            <w:r w:rsidRPr="00074F53">
              <w:rPr>
                <w:rFonts w:eastAsiaTheme="minorHAnsi"/>
              </w:rPr>
              <w:t>gada</w:t>
            </w:r>
            <w:proofErr w:type="spellEnd"/>
            <w:r w:rsidRPr="00074F53">
              <w:rPr>
                <w:rFonts w:eastAsiaTheme="minorHAnsi"/>
              </w:rPr>
              <w:t xml:space="preserve"> 18. </w:t>
            </w:r>
            <w:proofErr w:type="spellStart"/>
            <w:r w:rsidRPr="00074F53">
              <w:rPr>
                <w:rFonts w:eastAsiaTheme="minorHAnsi"/>
              </w:rPr>
              <w:t>oktobra</w:t>
            </w:r>
            <w:proofErr w:type="spellEnd"/>
            <w:r w:rsidRPr="00074F53">
              <w:rPr>
                <w:rFonts w:eastAsiaTheme="minorHAnsi"/>
              </w:rPr>
              <w:t xml:space="preserve"> </w:t>
            </w:r>
            <w:proofErr w:type="spellStart"/>
            <w:r w:rsidRPr="00074F53">
              <w:rPr>
                <w:rFonts w:eastAsiaTheme="minorHAnsi"/>
              </w:rPr>
              <w:t>noteikumu</w:t>
            </w:r>
            <w:proofErr w:type="spellEnd"/>
            <w:r w:rsidRPr="00074F53">
              <w:rPr>
                <w:rFonts w:eastAsiaTheme="minorHAnsi"/>
              </w:rPr>
              <w:t xml:space="preserve"> Nr. 651</w:t>
            </w:r>
            <w:r w:rsidRPr="00074F53">
              <w:rPr>
                <w:rFonts w:eastAsiaTheme="minorHAnsi"/>
                <w:vertAlign w:val="superscript"/>
              </w:rPr>
              <w:footnoteReference w:id="25"/>
            </w:r>
            <w:r w:rsidRPr="00074F53">
              <w:t xml:space="preserve"> </w:t>
            </w:r>
            <w:r w:rsidRPr="00074F53">
              <w:rPr>
                <w:rFonts w:eastAsiaTheme="minorHAnsi"/>
              </w:rPr>
              <w:t>“</w:t>
            </w:r>
            <w:proofErr w:type="spellStart"/>
            <w:r w:rsidRPr="00074F53">
              <w:rPr>
                <w:rFonts w:eastAsiaTheme="minorHAnsi"/>
              </w:rPr>
              <w:t>Iekšējās</w:t>
            </w:r>
            <w:proofErr w:type="spellEnd"/>
            <w:r w:rsidRPr="00074F53">
              <w:rPr>
                <w:rFonts w:eastAsiaTheme="minorHAnsi"/>
              </w:rPr>
              <w:t xml:space="preserve"> </w:t>
            </w:r>
            <w:proofErr w:type="spellStart"/>
            <w:r w:rsidRPr="00074F53">
              <w:rPr>
                <w:rFonts w:eastAsiaTheme="minorHAnsi"/>
              </w:rPr>
              <w:t>drošības</w:t>
            </w:r>
            <w:proofErr w:type="spellEnd"/>
            <w:r w:rsidRPr="00074F53">
              <w:rPr>
                <w:rFonts w:eastAsiaTheme="minorHAnsi"/>
              </w:rPr>
              <w:t xml:space="preserve"> </w:t>
            </w:r>
            <w:proofErr w:type="spellStart"/>
            <w:r w:rsidRPr="00074F53">
              <w:rPr>
                <w:rFonts w:eastAsiaTheme="minorHAnsi"/>
              </w:rPr>
              <w:t>fonda</w:t>
            </w:r>
            <w:proofErr w:type="spellEnd"/>
            <w:r w:rsidRPr="00074F53">
              <w:rPr>
                <w:rFonts w:eastAsiaTheme="minorHAnsi"/>
              </w:rPr>
              <w:t xml:space="preserve">, </w:t>
            </w:r>
            <w:proofErr w:type="spellStart"/>
            <w:r w:rsidRPr="00074F53">
              <w:rPr>
                <w:rFonts w:eastAsiaTheme="minorHAnsi"/>
              </w:rPr>
              <w:t>Patvēruma</w:t>
            </w:r>
            <w:proofErr w:type="spellEnd"/>
            <w:r w:rsidRPr="00074F53">
              <w:rPr>
                <w:rFonts w:eastAsiaTheme="minorHAnsi"/>
              </w:rPr>
              <w:t xml:space="preserve">, </w:t>
            </w:r>
            <w:proofErr w:type="spellStart"/>
            <w:r w:rsidRPr="00074F53">
              <w:rPr>
                <w:rFonts w:eastAsiaTheme="minorHAnsi"/>
              </w:rPr>
              <w:t>migrācijas</w:t>
            </w:r>
            <w:proofErr w:type="spellEnd"/>
            <w:r w:rsidRPr="00074F53">
              <w:rPr>
                <w:rFonts w:eastAsiaTheme="minorHAnsi"/>
              </w:rPr>
              <w:t xml:space="preserve"> un </w:t>
            </w:r>
            <w:proofErr w:type="spellStart"/>
            <w:r w:rsidRPr="00074F53">
              <w:rPr>
                <w:rFonts w:eastAsiaTheme="minorHAnsi"/>
              </w:rPr>
              <w:t>integrācijas</w:t>
            </w:r>
            <w:proofErr w:type="spellEnd"/>
            <w:r w:rsidRPr="00074F53">
              <w:rPr>
                <w:rFonts w:eastAsiaTheme="minorHAnsi"/>
              </w:rPr>
              <w:t xml:space="preserve"> </w:t>
            </w:r>
            <w:proofErr w:type="spellStart"/>
            <w:r w:rsidRPr="00074F53">
              <w:rPr>
                <w:rFonts w:eastAsiaTheme="minorHAnsi"/>
              </w:rPr>
              <w:t>fonda</w:t>
            </w:r>
            <w:proofErr w:type="spellEnd"/>
            <w:r w:rsidRPr="00074F53">
              <w:rPr>
                <w:rFonts w:eastAsiaTheme="minorHAnsi"/>
              </w:rPr>
              <w:t xml:space="preserve"> un </w:t>
            </w:r>
            <w:proofErr w:type="spellStart"/>
            <w:r w:rsidRPr="00074F53">
              <w:rPr>
                <w:rFonts w:eastAsiaTheme="minorHAnsi"/>
              </w:rPr>
              <w:t>Finansiāla</w:t>
            </w:r>
            <w:proofErr w:type="spellEnd"/>
            <w:r w:rsidRPr="00074F53">
              <w:rPr>
                <w:rFonts w:eastAsiaTheme="minorHAnsi"/>
              </w:rPr>
              <w:t xml:space="preserve"> </w:t>
            </w:r>
            <w:proofErr w:type="spellStart"/>
            <w:r w:rsidRPr="00074F53">
              <w:rPr>
                <w:rFonts w:eastAsiaTheme="minorHAnsi"/>
              </w:rPr>
              <w:t>atbalsta</w:t>
            </w:r>
            <w:proofErr w:type="spellEnd"/>
            <w:r w:rsidRPr="00074F53">
              <w:rPr>
                <w:rFonts w:eastAsiaTheme="minorHAnsi"/>
              </w:rPr>
              <w:t xml:space="preserve"> </w:t>
            </w:r>
            <w:proofErr w:type="spellStart"/>
            <w:r w:rsidRPr="00074F53">
              <w:rPr>
                <w:rFonts w:eastAsiaTheme="minorHAnsi"/>
              </w:rPr>
              <w:t>instrumenta</w:t>
            </w:r>
            <w:proofErr w:type="spellEnd"/>
            <w:r w:rsidRPr="00074F53">
              <w:rPr>
                <w:rFonts w:eastAsiaTheme="minorHAnsi"/>
              </w:rPr>
              <w:t xml:space="preserve"> </w:t>
            </w:r>
            <w:proofErr w:type="spellStart"/>
            <w:r w:rsidRPr="00074F53">
              <w:rPr>
                <w:rFonts w:eastAsiaTheme="minorHAnsi"/>
              </w:rPr>
              <w:t>robežu</w:t>
            </w:r>
            <w:proofErr w:type="spellEnd"/>
            <w:r w:rsidRPr="00074F53">
              <w:rPr>
                <w:rFonts w:eastAsiaTheme="minorHAnsi"/>
              </w:rPr>
              <w:t xml:space="preserve"> </w:t>
            </w:r>
            <w:proofErr w:type="spellStart"/>
            <w:r w:rsidRPr="00074F53">
              <w:rPr>
                <w:rFonts w:eastAsiaTheme="minorHAnsi"/>
              </w:rPr>
              <w:t>pārvaldībai</w:t>
            </w:r>
            <w:proofErr w:type="spellEnd"/>
            <w:r w:rsidRPr="00074F53">
              <w:rPr>
                <w:rFonts w:eastAsiaTheme="minorHAnsi"/>
              </w:rPr>
              <w:t xml:space="preserve"> un </w:t>
            </w:r>
            <w:proofErr w:type="spellStart"/>
            <w:r w:rsidRPr="00074F53">
              <w:rPr>
                <w:rFonts w:eastAsiaTheme="minorHAnsi"/>
              </w:rPr>
              <w:t>vīzu</w:t>
            </w:r>
            <w:proofErr w:type="spellEnd"/>
            <w:r w:rsidRPr="00074F53">
              <w:rPr>
                <w:rFonts w:eastAsiaTheme="minorHAnsi"/>
              </w:rPr>
              <w:t xml:space="preserve"> </w:t>
            </w:r>
            <w:proofErr w:type="spellStart"/>
            <w:r w:rsidRPr="00074F53">
              <w:rPr>
                <w:rFonts w:eastAsiaTheme="minorHAnsi"/>
              </w:rPr>
              <w:t>politikai</w:t>
            </w:r>
            <w:proofErr w:type="spellEnd"/>
            <w:r w:rsidRPr="00074F53">
              <w:rPr>
                <w:rFonts w:eastAsiaTheme="minorHAnsi"/>
              </w:rPr>
              <w:t xml:space="preserve"> 2021.–2027. </w:t>
            </w:r>
            <w:proofErr w:type="spellStart"/>
            <w:r w:rsidRPr="00074F53">
              <w:rPr>
                <w:rFonts w:eastAsiaTheme="minorHAnsi"/>
              </w:rPr>
              <w:t>gada</w:t>
            </w:r>
            <w:proofErr w:type="spellEnd"/>
            <w:r w:rsidRPr="00074F53">
              <w:rPr>
                <w:rFonts w:eastAsiaTheme="minorHAnsi"/>
              </w:rPr>
              <w:t xml:space="preserve"> </w:t>
            </w:r>
            <w:proofErr w:type="spellStart"/>
            <w:r w:rsidRPr="00074F53">
              <w:rPr>
                <w:rFonts w:eastAsiaTheme="minorHAnsi"/>
              </w:rPr>
              <w:t>plānošanas</w:t>
            </w:r>
            <w:proofErr w:type="spellEnd"/>
            <w:r w:rsidRPr="00074F53">
              <w:rPr>
                <w:rFonts w:eastAsiaTheme="minorHAnsi"/>
              </w:rPr>
              <w:t xml:space="preserve"> </w:t>
            </w:r>
            <w:proofErr w:type="spellStart"/>
            <w:r w:rsidRPr="00074F53">
              <w:rPr>
                <w:rFonts w:eastAsiaTheme="minorHAnsi"/>
              </w:rPr>
              <w:t>perioda</w:t>
            </w:r>
            <w:proofErr w:type="spellEnd"/>
            <w:r w:rsidRPr="00074F53">
              <w:rPr>
                <w:rFonts w:eastAsiaTheme="minorHAnsi"/>
              </w:rPr>
              <w:t xml:space="preserve"> </w:t>
            </w:r>
            <w:proofErr w:type="spellStart"/>
            <w:r w:rsidRPr="00074F53">
              <w:rPr>
                <w:rFonts w:eastAsiaTheme="minorHAnsi"/>
              </w:rPr>
              <w:t>īstenošanas</w:t>
            </w:r>
            <w:proofErr w:type="spellEnd"/>
            <w:r w:rsidRPr="00074F53">
              <w:rPr>
                <w:rFonts w:eastAsiaTheme="minorHAnsi"/>
              </w:rPr>
              <w:t xml:space="preserve"> </w:t>
            </w:r>
            <w:proofErr w:type="spellStart"/>
            <w:r w:rsidRPr="00074F53">
              <w:rPr>
                <w:rFonts w:eastAsiaTheme="minorHAnsi"/>
              </w:rPr>
              <w:t>vadības</w:t>
            </w:r>
            <w:proofErr w:type="spellEnd"/>
            <w:r w:rsidRPr="00074F53">
              <w:rPr>
                <w:rFonts w:eastAsiaTheme="minorHAnsi"/>
              </w:rPr>
              <w:t xml:space="preserve"> </w:t>
            </w:r>
            <w:proofErr w:type="spellStart"/>
            <w:r w:rsidRPr="00074F53">
              <w:rPr>
                <w:rFonts w:eastAsiaTheme="minorHAnsi"/>
              </w:rPr>
              <w:t>kārtība</w:t>
            </w:r>
            <w:proofErr w:type="spellEnd"/>
            <w:r w:rsidRPr="00074F53">
              <w:rPr>
                <w:rFonts w:eastAsiaTheme="minorHAnsi"/>
              </w:rPr>
              <w:t>” (</w:t>
            </w:r>
            <w:proofErr w:type="spellStart"/>
            <w:r w:rsidRPr="00074F53">
              <w:rPr>
                <w:rFonts w:eastAsiaTheme="minorHAnsi"/>
              </w:rPr>
              <w:t>turpmāk</w:t>
            </w:r>
            <w:proofErr w:type="spellEnd"/>
            <w:r w:rsidRPr="00074F53">
              <w:rPr>
                <w:rFonts w:eastAsiaTheme="minorHAnsi"/>
              </w:rPr>
              <w:t xml:space="preserve"> – MK </w:t>
            </w:r>
            <w:proofErr w:type="spellStart"/>
            <w:r w:rsidRPr="00074F53">
              <w:rPr>
                <w:rFonts w:eastAsiaTheme="minorHAnsi"/>
              </w:rPr>
              <w:t>noteikumi</w:t>
            </w:r>
            <w:proofErr w:type="spellEnd"/>
            <w:r w:rsidRPr="00074F53">
              <w:rPr>
                <w:rFonts w:eastAsiaTheme="minorHAnsi"/>
              </w:rPr>
              <w:t xml:space="preserve"> Nr. 651)</w:t>
            </w:r>
            <w:r w:rsidRPr="00074F53">
              <w:t xml:space="preserve"> 123. </w:t>
            </w:r>
            <w:proofErr w:type="spellStart"/>
            <w:r w:rsidRPr="00074F53">
              <w:t>punktā</w:t>
            </w:r>
            <w:proofErr w:type="spellEnd"/>
            <w:r w:rsidRPr="00074F53">
              <w:t xml:space="preserve"> </w:t>
            </w:r>
            <w:proofErr w:type="spellStart"/>
            <w:r w:rsidRPr="00074F53">
              <w:t>ir</w:t>
            </w:r>
            <w:proofErr w:type="spellEnd"/>
            <w:r w:rsidRPr="00074F53">
              <w:t xml:space="preserve"> </w:t>
            </w:r>
            <w:proofErr w:type="spellStart"/>
            <w:r w:rsidRPr="00074F53">
              <w:t>noteikta</w:t>
            </w:r>
            <w:proofErr w:type="spellEnd"/>
            <w:r w:rsidRPr="00074F53">
              <w:t xml:space="preserve"> </w:t>
            </w:r>
            <w:proofErr w:type="spellStart"/>
            <w:r w:rsidRPr="00074F53">
              <w:t>kārtība</w:t>
            </w:r>
            <w:proofErr w:type="spellEnd"/>
            <w:r w:rsidRPr="00074F53">
              <w:t xml:space="preserve">, </w:t>
            </w:r>
            <w:proofErr w:type="spellStart"/>
            <w:r w:rsidRPr="00074F53">
              <w:t>kādā</w:t>
            </w:r>
            <w:proofErr w:type="spellEnd"/>
            <w:r w:rsidRPr="00074F53">
              <w:t xml:space="preserve"> Fonda </w:t>
            </w:r>
            <w:proofErr w:type="spellStart"/>
            <w:r w:rsidRPr="00074F53">
              <w:t>vadībā</w:t>
            </w:r>
            <w:proofErr w:type="spellEnd"/>
            <w:r w:rsidRPr="00074F53">
              <w:t xml:space="preserve"> un </w:t>
            </w:r>
            <w:proofErr w:type="spellStart"/>
            <w:r w:rsidRPr="00074F53">
              <w:t>īstenošanā</w:t>
            </w:r>
            <w:proofErr w:type="spellEnd"/>
            <w:r w:rsidRPr="00074F53">
              <w:t xml:space="preserve"> </w:t>
            </w:r>
            <w:proofErr w:type="spellStart"/>
            <w:r w:rsidRPr="00074F53">
              <w:t>iesaistītās</w:t>
            </w:r>
            <w:proofErr w:type="spellEnd"/>
            <w:r w:rsidRPr="00074F53">
              <w:t xml:space="preserve"> </w:t>
            </w:r>
            <w:proofErr w:type="spellStart"/>
            <w:r w:rsidRPr="00074F53">
              <w:t>institūcijas</w:t>
            </w:r>
            <w:proofErr w:type="spellEnd"/>
            <w:r w:rsidRPr="00074F53">
              <w:t xml:space="preserve">, </w:t>
            </w:r>
            <w:proofErr w:type="spellStart"/>
            <w:r w:rsidRPr="00074F53">
              <w:t>konstatējot</w:t>
            </w:r>
            <w:proofErr w:type="spellEnd"/>
            <w:r w:rsidRPr="00074F53">
              <w:t xml:space="preserve"> </w:t>
            </w:r>
            <w:proofErr w:type="spellStart"/>
            <w:r w:rsidRPr="00074F53">
              <w:t>horizontālo</w:t>
            </w:r>
            <w:proofErr w:type="spellEnd"/>
            <w:r w:rsidRPr="00074F53">
              <w:t xml:space="preserve"> </w:t>
            </w:r>
            <w:proofErr w:type="spellStart"/>
            <w:r w:rsidRPr="00074F53">
              <w:t>principu</w:t>
            </w:r>
            <w:proofErr w:type="spellEnd"/>
            <w:r w:rsidRPr="00074F53">
              <w:t xml:space="preserve"> </w:t>
            </w:r>
            <w:proofErr w:type="spellStart"/>
            <w:r w:rsidRPr="00074F53">
              <w:t>pārkāpumus</w:t>
            </w:r>
            <w:proofErr w:type="spellEnd"/>
            <w:r w:rsidRPr="00074F53">
              <w:t xml:space="preserve"> </w:t>
            </w:r>
            <w:proofErr w:type="spellStart"/>
            <w:r w:rsidRPr="00074F53">
              <w:t>vai</w:t>
            </w:r>
            <w:proofErr w:type="spellEnd"/>
            <w:r w:rsidRPr="00074F53">
              <w:t xml:space="preserve"> </w:t>
            </w:r>
            <w:proofErr w:type="spellStart"/>
            <w:r w:rsidRPr="00074F53">
              <w:t>saņemot</w:t>
            </w:r>
            <w:proofErr w:type="spellEnd"/>
            <w:r w:rsidRPr="00074F53">
              <w:t xml:space="preserve"> </w:t>
            </w:r>
            <w:proofErr w:type="spellStart"/>
            <w:r w:rsidRPr="00074F53">
              <w:t>sūdzības</w:t>
            </w:r>
            <w:proofErr w:type="spellEnd"/>
            <w:r w:rsidRPr="00074F53">
              <w:t xml:space="preserve"> par ES fondu </w:t>
            </w:r>
            <w:proofErr w:type="spellStart"/>
            <w:r w:rsidRPr="00074F53">
              <w:t>atbalstīto</w:t>
            </w:r>
            <w:proofErr w:type="spellEnd"/>
            <w:r w:rsidRPr="00074F53">
              <w:t xml:space="preserve"> </w:t>
            </w:r>
            <w:proofErr w:type="spellStart"/>
            <w:r w:rsidRPr="00074F53">
              <w:t>darbību</w:t>
            </w:r>
            <w:proofErr w:type="spellEnd"/>
            <w:r w:rsidRPr="00074F53">
              <w:t xml:space="preserve"> </w:t>
            </w:r>
            <w:proofErr w:type="spellStart"/>
            <w:r w:rsidRPr="00074F53">
              <w:t>neatbilstību</w:t>
            </w:r>
            <w:proofErr w:type="spellEnd"/>
            <w:r w:rsidRPr="00074F53">
              <w:t xml:space="preserve"> ES </w:t>
            </w:r>
            <w:proofErr w:type="spellStart"/>
            <w:r w:rsidRPr="00074F53">
              <w:t>Pamattiesību</w:t>
            </w:r>
            <w:proofErr w:type="spellEnd"/>
            <w:r w:rsidRPr="00074F53">
              <w:t xml:space="preserve"> </w:t>
            </w:r>
            <w:proofErr w:type="spellStart"/>
            <w:r w:rsidRPr="00074F53">
              <w:t>hartai</w:t>
            </w:r>
            <w:proofErr w:type="spellEnd"/>
            <w:r w:rsidRPr="00074F53">
              <w:t xml:space="preserve"> (</w:t>
            </w:r>
            <w:proofErr w:type="spellStart"/>
            <w:r w:rsidRPr="00074F53">
              <w:t>vienlīdzība</w:t>
            </w:r>
            <w:proofErr w:type="spellEnd"/>
            <w:r w:rsidRPr="00074F53">
              <w:t xml:space="preserve">, </w:t>
            </w:r>
            <w:proofErr w:type="spellStart"/>
            <w:r w:rsidRPr="00074F53">
              <w:t>nediskriminācija</w:t>
            </w:r>
            <w:proofErr w:type="spellEnd"/>
            <w:r w:rsidRPr="00074F53">
              <w:t xml:space="preserve">, </w:t>
            </w:r>
            <w:proofErr w:type="spellStart"/>
            <w:r w:rsidRPr="00074F53">
              <w:t>iekļaušana</w:t>
            </w:r>
            <w:proofErr w:type="spellEnd"/>
            <w:r w:rsidRPr="00074F53">
              <w:t xml:space="preserve"> un </w:t>
            </w:r>
            <w:proofErr w:type="spellStart"/>
            <w:r w:rsidRPr="00074F53">
              <w:t>pamattiesību</w:t>
            </w:r>
            <w:proofErr w:type="spellEnd"/>
            <w:r w:rsidRPr="00074F53">
              <w:t xml:space="preserve"> </w:t>
            </w:r>
            <w:proofErr w:type="spellStart"/>
            <w:r w:rsidRPr="00074F53">
              <w:t>ievērošana</w:t>
            </w:r>
            <w:proofErr w:type="spellEnd"/>
            <w:r w:rsidRPr="00074F53">
              <w:t xml:space="preserve">) un ANO </w:t>
            </w:r>
            <w:proofErr w:type="spellStart"/>
            <w:r w:rsidRPr="00074F53">
              <w:t>Konvencijā</w:t>
            </w:r>
            <w:proofErr w:type="spellEnd"/>
            <w:r w:rsidRPr="00074F53">
              <w:t xml:space="preserve"> par </w:t>
            </w:r>
            <w:proofErr w:type="spellStart"/>
            <w:r w:rsidRPr="00074F53">
              <w:t>personu</w:t>
            </w:r>
            <w:proofErr w:type="spellEnd"/>
            <w:r w:rsidRPr="00074F53">
              <w:t xml:space="preserve"> </w:t>
            </w:r>
            <w:proofErr w:type="spellStart"/>
            <w:r w:rsidRPr="00074F53">
              <w:t>ar</w:t>
            </w:r>
            <w:proofErr w:type="spellEnd"/>
            <w:r w:rsidRPr="00074F53">
              <w:t xml:space="preserve"> </w:t>
            </w:r>
            <w:proofErr w:type="spellStart"/>
            <w:r w:rsidRPr="00074F53">
              <w:t>invaliditāti</w:t>
            </w:r>
            <w:proofErr w:type="spellEnd"/>
            <w:r w:rsidRPr="00074F53">
              <w:t xml:space="preserve"> </w:t>
            </w:r>
            <w:proofErr w:type="spellStart"/>
            <w:r w:rsidRPr="00074F53">
              <w:t>tiesībām</w:t>
            </w:r>
            <w:proofErr w:type="spellEnd"/>
            <w:r w:rsidRPr="00074F53">
              <w:t xml:space="preserve"> </w:t>
            </w:r>
            <w:proofErr w:type="spellStart"/>
            <w:r w:rsidRPr="00074F53">
              <w:t>ietverto</w:t>
            </w:r>
            <w:proofErr w:type="spellEnd"/>
            <w:r w:rsidRPr="00074F53">
              <w:t xml:space="preserve"> </w:t>
            </w:r>
            <w:proofErr w:type="spellStart"/>
            <w:r w:rsidRPr="00074F53">
              <w:t>vienlīdzīgo</w:t>
            </w:r>
            <w:proofErr w:type="spellEnd"/>
            <w:r w:rsidRPr="00074F53">
              <w:t xml:space="preserve"> </w:t>
            </w:r>
            <w:proofErr w:type="spellStart"/>
            <w:r w:rsidRPr="00074F53">
              <w:t>iespēju</w:t>
            </w:r>
            <w:proofErr w:type="spellEnd"/>
            <w:r w:rsidRPr="00074F53">
              <w:t xml:space="preserve"> </w:t>
            </w:r>
            <w:proofErr w:type="spellStart"/>
            <w:r w:rsidRPr="00074F53">
              <w:t>principiem</w:t>
            </w:r>
            <w:proofErr w:type="spellEnd"/>
            <w:r w:rsidRPr="00074F53">
              <w:t xml:space="preserve">, </w:t>
            </w:r>
            <w:proofErr w:type="spellStart"/>
            <w:r w:rsidRPr="00074F53">
              <w:t>piecu</w:t>
            </w:r>
            <w:proofErr w:type="spellEnd"/>
            <w:r w:rsidRPr="00074F53">
              <w:t xml:space="preserve"> </w:t>
            </w:r>
            <w:proofErr w:type="spellStart"/>
            <w:r w:rsidRPr="00074F53">
              <w:t>darbdienu</w:t>
            </w:r>
            <w:proofErr w:type="spellEnd"/>
            <w:r w:rsidRPr="00074F53">
              <w:t xml:space="preserve"> </w:t>
            </w:r>
            <w:proofErr w:type="spellStart"/>
            <w:r w:rsidRPr="00074F53">
              <w:t>laikā</w:t>
            </w:r>
            <w:proofErr w:type="spellEnd"/>
            <w:r w:rsidRPr="00074F53">
              <w:t xml:space="preserve"> </w:t>
            </w:r>
            <w:proofErr w:type="spellStart"/>
            <w:r w:rsidRPr="00074F53">
              <w:t>ziņo</w:t>
            </w:r>
            <w:proofErr w:type="spellEnd"/>
            <w:r w:rsidRPr="00074F53">
              <w:t xml:space="preserve"> </w:t>
            </w:r>
            <w:proofErr w:type="spellStart"/>
            <w:r w:rsidRPr="00074F53">
              <w:t>Iekšlietu</w:t>
            </w:r>
            <w:proofErr w:type="spellEnd"/>
            <w:r w:rsidRPr="00074F53">
              <w:t xml:space="preserve"> </w:t>
            </w:r>
            <w:proofErr w:type="spellStart"/>
            <w:r w:rsidRPr="00074F53">
              <w:t>ministrijai</w:t>
            </w:r>
            <w:proofErr w:type="spellEnd"/>
            <w:r w:rsidRPr="00074F53">
              <w:t xml:space="preserve"> un </w:t>
            </w:r>
            <w:proofErr w:type="spellStart"/>
            <w:r w:rsidRPr="00074F53">
              <w:t>kārtība</w:t>
            </w:r>
            <w:proofErr w:type="spellEnd"/>
            <w:r w:rsidRPr="00074F53">
              <w:t xml:space="preserve">, </w:t>
            </w:r>
            <w:proofErr w:type="spellStart"/>
            <w:r w:rsidRPr="00074F53">
              <w:t>kādā</w:t>
            </w:r>
            <w:proofErr w:type="spellEnd"/>
            <w:r w:rsidRPr="00074F53">
              <w:t xml:space="preserve"> </w:t>
            </w:r>
            <w:proofErr w:type="spellStart"/>
            <w:r w:rsidRPr="00074F53">
              <w:t>sūdzības</w:t>
            </w:r>
            <w:proofErr w:type="spellEnd"/>
            <w:r w:rsidRPr="00074F53">
              <w:t xml:space="preserve"> </w:t>
            </w:r>
            <w:proofErr w:type="spellStart"/>
            <w:r w:rsidRPr="00074F53">
              <w:t>tiek</w:t>
            </w:r>
            <w:proofErr w:type="spellEnd"/>
            <w:r w:rsidRPr="00074F53">
              <w:t xml:space="preserve"> </w:t>
            </w:r>
            <w:proofErr w:type="spellStart"/>
            <w:r w:rsidRPr="00074F53">
              <w:t>izskatītas</w:t>
            </w:r>
            <w:proofErr w:type="spellEnd"/>
            <w:r w:rsidRPr="00074F53">
              <w:t xml:space="preserve">. </w:t>
            </w:r>
            <w:proofErr w:type="spellStart"/>
            <w:r w:rsidRPr="00074F53">
              <w:t>Papildus</w:t>
            </w:r>
            <w:proofErr w:type="spellEnd"/>
            <w:r w:rsidRPr="00074F53">
              <w:t xml:space="preserve"> </w:t>
            </w:r>
            <w:proofErr w:type="spellStart"/>
            <w:r w:rsidRPr="00074F53">
              <w:t>jebkurai</w:t>
            </w:r>
            <w:proofErr w:type="spellEnd"/>
            <w:r w:rsidRPr="00074F53">
              <w:t xml:space="preserve"> </w:t>
            </w:r>
            <w:proofErr w:type="spellStart"/>
            <w:r w:rsidRPr="00074F53">
              <w:t>personai</w:t>
            </w:r>
            <w:proofErr w:type="spellEnd"/>
            <w:r w:rsidRPr="00074F53">
              <w:t xml:space="preserve"> </w:t>
            </w:r>
            <w:proofErr w:type="spellStart"/>
            <w:r w:rsidRPr="00074F53">
              <w:t>ir</w:t>
            </w:r>
            <w:proofErr w:type="spellEnd"/>
            <w:r w:rsidRPr="00074F53">
              <w:t xml:space="preserve"> </w:t>
            </w:r>
            <w:proofErr w:type="spellStart"/>
            <w:r w:rsidRPr="00074F53">
              <w:t>tiesības</w:t>
            </w:r>
            <w:proofErr w:type="spellEnd"/>
            <w:r w:rsidRPr="00074F53">
              <w:t xml:space="preserve"> </w:t>
            </w:r>
            <w:proofErr w:type="spellStart"/>
            <w:r w:rsidRPr="00074F53">
              <w:t>ar</w:t>
            </w:r>
            <w:proofErr w:type="spellEnd"/>
            <w:r w:rsidRPr="00074F53">
              <w:t xml:space="preserve"> </w:t>
            </w:r>
            <w:proofErr w:type="spellStart"/>
            <w:r w:rsidRPr="00074F53">
              <w:t>iesniegumu</w:t>
            </w:r>
            <w:proofErr w:type="spellEnd"/>
            <w:r w:rsidRPr="00074F53">
              <w:t xml:space="preserve"> </w:t>
            </w:r>
            <w:proofErr w:type="spellStart"/>
            <w:r w:rsidRPr="00074F53">
              <w:t>vērsties</w:t>
            </w:r>
            <w:proofErr w:type="spellEnd"/>
            <w:r w:rsidRPr="00074F53">
              <w:t xml:space="preserve"> </w:t>
            </w:r>
            <w:proofErr w:type="spellStart"/>
            <w:r w:rsidRPr="00074F53">
              <w:t>kompetentajās</w:t>
            </w:r>
            <w:proofErr w:type="spellEnd"/>
            <w:r w:rsidRPr="00074F53">
              <w:t xml:space="preserve"> </w:t>
            </w:r>
            <w:proofErr w:type="spellStart"/>
            <w:r w:rsidRPr="00074F53">
              <w:t>institūcijās</w:t>
            </w:r>
            <w:proofErr w:type="spellEnd"/>
            <w:r w:rsidRPr="00074F53">
              <w:t xml:space="preserve"> par </w:t>
            </w:r>
            <w:proofErr w:type="spellStart"/>
            <w:r w:rsidRPr="00074F53">
              <w:t>ar</w:t>
            </w:r>
            <w:proofErr w:type="spellEnd"/>
            <w:r w:rsidRPr="00074F53">
              <w:t xml:space="preserve"> </w:t>
            </w:r>
            <w:proofErr w:type="spellStart"/>
            <w:r w:rsidRPr="00074F53">
              <w:t>projektu</w:t>
            </w:r>
            <w:proofErr w:type="spellEnd"/>
            <w:r w:rsidRPr="00074F53">
              <w:t xml:space="preserve"> </w:t>
            </w:r>
            <w:proofErr w:type="spellStart"/>
            <w:r w:rsidRPr="00074F53">
              <w:t>īstenošanu</w:t>
            </w:r>
            <w:proofErr w:type="spellEnd"/>
            <w:r w:rsidRPr="00074F53">
              <w:t xml:space="preserve"> </w:t>
            </w:r>
            <w:proofErr w:type="spellStart"/>
            <w:r w:rsidRPr="00074F53">
              <w:t>saistītu</w:t>
            </w:r>
            <w:proofErr w:type="spellEnd"/>
            <w:r w:rsidRPr="00074F53">
              <w:t xml:space="preserve"> </w:t>
            </w:r>
            <w:proofErr w:type="spellStart"/>
            <w:r w:rsidRPr="00074F53">
              <w:t>vienlīdzīgu</w:t>
            </w:r>
            <w:proofErr w:type="spellEnd"/>
            <w:r w:rsidRPr="00074F53">
              <w:t xml:space="preserve"> </w:t>
            </w:r>
            <w:proofErr w:type="spellStart"/>
            <w:r w:rsidRPr="00074F53">
              <w:t>iespēju</w:t>
            </w:r>
            <w:proofErr w:type="spellEnd"/>
            <w:r w:rsidRPr="00074F53">
              <w:t xml:space="preserve"> </w:t>
            </w:r>
            <w:proofErr w:type="spellStart"/>
            <w:r w:rsidRPr="00074F53">
              <w:t>neievērošanu</w:t>
            </w:r>
            <w:proofErr w:type="spellEnd"/>
            <w:r w:rsidRPr="00074F53">
              <w:t xml:space="preserve">, t.sk., pie </w:t>
            </w:r>
            <w:proofErr w:type="spellStart"/>
            <w:r w:rsidRPr="00074F53">
              <w:t>tiesībsarga</w:t>
            </w:r>
            <w:proofErr w:type="spellEnd"/>
            <w:r w:rsidRPr="00074F53">
              <w:t>.</w:t>
            </w:r>
          </w:p>
          <w:p w14:paraId="4F290588" w14:textId="77777777" w:rsidR="007D76A5" w:rsidRPr="00074F53" w:rsidRDefault="007D76A5" w:rsidP="007D76A5">
            <w:pPr>
              <w:contextualSpacing/>
              <w:rPr>
                <w:rFonts w:eastAsiaTheme="minorHAnsi"/>
              </w:rPr>
            </w:pPr>
          </w:p>
          <w:p w14:paraId="73C61B61" w14:textId="77777777" w:rsidR="007D76A5" w:rsidRPr="00074F53" w:rsidRDefault="007D76A5" w:rsidP="007D76A5">
            <w:pPr>
              <w:numPr>
                <w:ilvl w:val="0"/>
                <w:numId w:val="40"/>
              </w:numPr>
              <w:tabs>
                <w:tab w:val="left" w:pos="4252"/>
              </w:tabs>
              <w:spacing w:before="120" w:after="120"/>
              <w:contextualSpacing/>
            </w:pPr>
            <w:r w:rsidRPr="00074F53">
              <w:rPr>
                <w:b/>
              </w:rPr>
              <w:t xml:space="preserve">ANO </w:t>
            </w:r>
            <w:proofErr w:type="spellStart"/>
            <w:r w:rsidRPr="00074F53">
              <w:rPr>
                <w:b/>
              </w:rPr>
              <w:t>Konvencijas</w:t>
            </w:r>
            <w:proofErr w:type="spellEnd"/>
            <w:r w:rsidRPr="00074F53">
              <w:rPr>
                <w:b/>
              </w:rPr>
              <w:t xml:space="preserve"> par </w:t>
            </w:r>
            <w:proofErr w:type="spellStart"/>
            <w:r w:rsidRPr="00074F53">
              <w:rPr>
                <w:b/>
              </w:rPr>
              <w:t>personu</w:t>
            </w:r>
            <w:proofErr w:type="spellEnd"/>
            <w:r w:rsidRPr="00074F53">
              <w:rPr>
                <w:b/>
              </w:rPr>
              <w:t xml:space="preserve"> </w:t>
            </w:r>
            <w:proofErr w:type="spellStart"/>
            <w:r w:rsidRPr="00074F53">
              <w:rPr>
                <w:b/>
              </w:rPr>
              <w:t>ar</w:t>
            </w:r>
            <w:proofErr w:type="spellEnd"/>
            <w:r w:rsidRPr="00074F53">
              <w:rPr>
                <w:b/>
              </w:rPr>
              <w:t xml:space="preserve"> </w:t>
            </w:r>
            <w:proofErr w:type="spellStart"/>
            <w:r w:rsidRPr="00074F53">
              <w:rPr>
                <w:b/>
              </w:rPr>
              <w:t>invaliditāti</w:t>
            </w:r>
            <w:proofErr w:type="spellEnd"/>
            <w:r w:rsidRPr="00074F53">
              <w:rPr>
                <w:b/>
              </w:rPr>
              <w:t xml:space="preserve"> </w:t>
            </w:r>
            <w:proofErr w:type="spellStart"/>
            <w:r w:rsidRPr="00074F53">
              <w:rPr>
                <w:b/>
              </w:rPr>
              <w:t>tiesībām</w:t>
            </w:r>
            <w:proofErr w:type="spellEnd"/>
            <w:r w:rsidRPr="00074F53">
              <w:rPr>
                <w:b/>
              </w:rPr>
              <w:t xml:space="preserve"> (UNCRPD) </w:t>
            </w:r>
            <w:proofErr w:type="spellStart"/>
            <w:r w:rsidRPr="00074F53">
              <w:rPr>
                <w:b/>
              </w:rPr>
              <w:t>īstenošana</w:t>
            </w:r>
            <w:proofErr w:type="spellEnd"/>
            <w:r w:rsidRPr="00074F53">
              <w:rPr>
                <w:b/>
              </w:rPr>
              <w:t xml:space="preserve"> un </w:t>
            </w:r>
            <w:proofErr w:type="spellStart"/>
            <w:r w:rsidRPr="00074F53">
              <w:rPr>
                <w:b/>
              </w:rPr>
              <w:t>piemērošana</w:t>
            </w:r>
            <w:proofErr w:type="spellEnd"/>
            <w:r w:rsidRPr="00074F53">
              <w:rPr>
                <w:b/>
              </w:rPr>
              <w:t xml:space="preserve"> </w:t>
            </w:r>
            <w:proofErr w:type="spellStart"/>
            <w:r w:rsidRPr="00074F53">
              <w:rPr>
                <w:b/>
              </w:rPr>
              <w:t>atbilstoši</w:t>
            </w:r>
            <w:proofErr w:type="spellEnd"/>
            <w:r w:rsidRPr="00074F53">
              <w:rPr>
                <w:b/>
              </w:rPr>
              <w:t xml:space="preserve"> </w:t>
            </w:r>
            <w:proofErr w:type="spellStart"/>
            <w:r w:rsidRPr="00074F53">
              <w:rPr>
                <w:b/>
              </w:rPr>
              <w:t>Padomes</w:t>
            </w:r>
            <w:proofErr w:type="spellEnd"/>
            <w:r w:rsidRPr="00074F53">
              <w:rPr>
                <w:b/>
              </w:rPr>
              <w:t xml:space="preserve"> </w:t>
            </w:r>
            <w:proofErr w:type="spellStart"/>
            <w:r w:rsidRPr="00074F53">
              <w:rPr>
                <w:b/>
              </w:rPr>
              <w:t>Lēmumam</w:t>
            </w:r>
            <w:proofErr w:type="spellEnd"/>
            <w:r w:rsidRPr="00074F53">
              <w:rPr>
                <w:b/>
              </w:rPr>
              <w:t xml:space="preserve"> Nr. 2010/48/EK</w:t>
            </w:r>
            <w:r w:rsidRPr="00074F53">
              <w:t xml:space="preserve"> –</w:t>
            </w:r>
            <w:r w:rsidRPr="00074F53">
              <w:rPr>
                <w:rFonts w:eastAsiaTheme="minorHAnsi"/>
                <w:i/>
              </w:rPr>
              <w:t xml:space="preserve"> </w:t>
            </w:r>
            <w:proofErr w:type="spellStart"/>
            <w:r w:rsidRPr="00074F53">
              <w:t>grāmatvedības</w:t>
            </w:r>
            <w:proofErr w:type="spellEnd"/>
            <w:r w:rsidRPr="00074F53">
              <w:t xml:space="preserve"> </w:t>
            </w:r>
            <w:proofErr w:type="spellStart"/>
            <w:r w:rsidRPr="00074F53">
              <w:t>periodā</w:t>
            </w:r>
            <w:proofErr w:type="spellEnd"/>
            <w:r w:rsidRPr="00074F53">
              <w:t xml:space="preserve"> </w:t>
            </w:r>
            <w:proofErr w:type="spellStart"/>
            <w:r w:rsidRPr="00074F53">
              <w:t>ir</w:t>
            </w:r>
            <w:proofErr w:type="spellEnd"/>
            <w:r w:rsidRPr="00074F53">
              <w:t xml:space="preserve"> </w:t>
            </w:r>
            <w:proofErr w:type="spellStart"/>
            <w:r w:rsidRPr="00074F53">
              <w:t>nodrošināta</w:t>
            </w:r>
            <w:proofErr w:type="spellEnd"/>
            <w:r w:rsidRPr="00074F53">
              <w:t xml:space="preserve"> </w:t>
            </w:r>
            <w:proofErr w:type="spellStart"/>
            <w:r w:rsidRPr="00074F53">
              <w:t>veicinošā</w:t>
            </w:r>
            <w:proofErr w:type="spellEnd"/>
            <w:r w:rsidRPr="00074F53">
              <w:t xml:space="preserve"> </w:t>
            </w:r>
            <w:proofErr w:type="spellStart"/>
            <w:r w:rsidRPr="00074F53">
              <w:t>nosacījuma</w:t>
            </w:r>
            <w:proofErr w:type="spellEnd"/>
            <w:r w:rsidRPr="00074F53">
              <w:t xml:space="preserve"> </w:t>
            </w:r>
            <w:proofErr w:type="spellStart"/>
            <w:r w:rsidRPr="00074F53">
              <w:t>izpilde</w:t>
            </w:r>
            <w:proofErr w:type="spellEnd"/>
            <w:r w:rsidRPr="00074F53">
              <w:t>:</w:t>
            </w:r>
          </w:p>
          <w:p w14:paraId="12154470" w14:textId="77777777" w:rsidR="007D76A5" w:rsidRPr="00074F53" w:rsidRDefault="007D76A5" w:rsidP="007D76A5">
            <w:pPr>
              <w:tabs>
                <w:tab w:val="left" w:pos="4252"/>
              </w:tabs>
              <w:spacing w:before="120" w:after="120"/>
              <w:ind w:left="720"/>
              <w:contextualSpacing/>
            </w:pPr>
          </w:p>
          <w:p w14:paraId="54EF3B40" w14:textId="77777777" w:rsidR="007D76A5" w:rsidRPr="00074F53" w:rsidRDefault="007D76A5" w:rsidP="007D76A5">
            <w:pPr>
              <w:keepNext/>
              <w:numPr>
                <w:ilvl w:val="0"/>
                <w:numId w:val="39"/>
              </w:numPr>
              <w:tabs>
                <w:tab w:val="left" w:pos="4252"/>
              </w:tabs>
              <w:spacing w:before="120" w:after="120"/>
              <w:contextualSpacing/>
            </w:pPr>
            <w:proofErr w:type="spellStart"/>
            <w:r w:rsidRPr="00074F53">
              <w:t>Ar</w:t>
            </w:r>
            <w:proofErr w:type="spellEnd"/>
            <w:r w:rsidRPr="00074F53">
              <w:t xml:space="preserve"> </w:t>
            </w:r>
            <w:proofErr w:type="spellStart"/>
            <w:r w:rsidRPr="00074F53">
              <w:t>Ministru</w:t>
            </w:r>
            <w:proofErr w:type="spellEnd"/>
            <w:r w:rsidRPr="00074F53">
              <w:t xml:space="preserve"> </w:t>
            </w:r>
            <w:proofErr w:type="spellStart"/>
            <w:r w:rsidRPr="00074F53">
              <w:t>kabineta</w:t>
            </w:r>
            <w:proofErr w:type="spellEnd"/>
            <w:r w:rsidRPr="00074F53">
              <w:t xml:space="preserve"> 2024. </w:t>
            </w:r>
            <w:proofErr w:type="spellStart"/>
            <w:r w:rsidRPr="00074F53">
              <w:t>gada</w:t>
            </w:r>
            <w:proofErr w:type="spellEnd"/>
            <w:r w:rsidRPr="00074F53">
              <w:t xml:space="preserve"> 21. </w:t>
            </w:r>
            <w:proofErr w:type="spellStart"/>
            <w:r w:rsidRPr="00074F53">
              <w:t>maija</w:t>
            </w:r>
            <w:proofErr w:type="spellEnd"/>
            <w:r w:rsidRPr="00074F53">
              <w:t xml:space="preserve"> </w:t>
            </w:r>
            <w:proofErr w:type="spellStart"/>
            <w:r w:rsidRPr="00074F53">
              <w:t>rīkojumu</w:t>
            </w:r>
            <w:proofErr w:type="spellEnd"/>
            <w:r w:rsidRPr="00074F53">
              <w:t xml:space="preserve"> Nr. 396 “</w:t>
            </w:r>
            <w:proofErr w:type="spellStart"/>
            <w:r w:rsidRPr="00074F53">
              <w:t>Plāns</w:t>
            </w:r>
            <w:proofErr w:type="spellEnd"/>
            <w:r w:rsidRPr="00074F53">
              <w:t xml:space="preserve"> </w:t>
            </w:r>
            <w:proofErr w:type="spellStart"/>
            <w:r w:rsidRPr="00074F53">
              <w:t>personu</w:t>
            </w:r>
            <w:proofErr w:type="spellEnd"/>
            <w:r w:rsidRPr="00074F53">
              <w:t xml:space="preserve"> </w:t>
            </w:r>
            <w:proofErr w:type="spellStart"/>
            <w:r w:rsidRPr="00074F53">
              <w:t>ar</w:t>
            </w:r>
            <w:proofErr w:type="spellEnd"/>
            <w:r w:rsidRPr="00074F53">
              <w:t xml:space="preserve"> </w:t>
            </w:r>
            <w:proofErr w:type="spellStart"/>
            <w:r w:rsidRPr="00074F53">
              <w:t>invaliditāti</w:t>
            </w:r>
            <w:proofErr w:type="spellEnd"/>
            <w:r w:rsidRPr="00074F53">
              <w:t xml:space="preserve"> </w:t>
            </w:r>
            <w:proofErr w:type="spellStart"/>
            <w:r w:rsidRPr="00074F53">
              <w:t>vienlīdzīgu</w:t>
            </w:r>
            <w:proofErr w:type="spellEnd"/>
            <w:r w:rsidRPr="00074F53">
              <w:t xml:space="preserve"> </w:t>
            </w:r>
            <w:proofErr w:type="spellStart"/>
            <w:r w:rsidRPr="00074F53">
              <w:t>iespēju</w:t>
            </w:r>
            <w:proofErr w:type="spellEnd"/>
            <w:r w:rsidRPr="00074F53">
              <w:t xml:space="preserve"> </w:t>
            </w:r>
            <w:proofErr w:type="spellStart"/>
            <w:r w:rsidRPr="00074F53">
              <w:t>veicināšanai</w:t>
            </w:r>
            <w:proofErr w:type="spellEnd"/>
            <w:r w:rsidRPr="00074F53">
              <w:t xml:space="preserve"> 2024.–2027. </w:t>
            </w:r>
            <w:proofErr w:type="spellStart"/>
            <w:r w:rsidRPr="00074F53">
              <w:t>gadam</w:t>
            </w:r>
            <w:proofErr w:type="spellEnd"/>
            <w:r w:rsidRPr="00074F53">
              <w:t xml:space="preserve">” </w:t>
            </w:r>
            <w:proofErr w:type="spellStart"/>
            <w:r w:rsidRPr="00074F53">
              <w:t>ir</w:t>
            </w:r>
            <w:proofErr w:type="spellEnd"/>
            <w:r w:rsidRPr="00074F53">
              <w:t xml:space="preserve"> </w:t>
            </w:r>
            <w:proofErr w:type="spellStart"/>
            <w:r w:rsidRPr="00074F53">
              <w:t>apstiprināts</w:t>
            </w:r>
            <w:proofErr w:type="spellEnd"/>
            <w:r w:rsidRPr="00074F53">
              <w:rPr>
                <w:rFonts w:eastAsiaTheme="minorHAnsi"/>
              </w:rPr>
              <w:t xml:space="preserve"> </w:t>
            </w:r>
            <w:proofErr w:type="spellStart"/>
            <w:r w:rsidRPr="00074F53">
              <w:rPr>
                <w:rFonts w:eastAsiaTheme="minorHAnsi"/>
              </w:rPr>
              <w:t>Plāns</w:t>
            </w:r>
            <w:proofErr w:type="spellEnd"/>
            <w:r w:rsidRPr="00074F53">
              <w:rPr>
                <w:rFonts w:eastAsiaTheme="minorHAnsi"/>
              </w:rPr>
              <w:t xml:space="preserve"> </w:t>
            </w:r>
            <w:proofErr w:type="spellStart"/>
            <w:r w:rsidRPr="00074F53">
              <w:rPr>
                <w:rFonts w:eastAsiaTheme="minorHAnsi"/>
              </w:rPr>
              <w:t>personu</w:t>
            </w:r>
            <w:proofErr w:type="spellEnd"/>
            <w:r w:rsidRPr="00074F53">
              <w:rPr>
                <w:rFonts w:eastAsiaTheme="minorHAnsi"/>
              </w:rPr>
              <w:t xml:space="preserve"> </w:t>
            </w:r>
            <w:proofErr w:type="spellStart"/>
            <w:r w:rsidRPr="00074F53">
              <w:rPr>
                <w:rFonts w:eastAsiaTheme="minorHAnsi"/>
              </w:rPr>
              <w:t>ar</w:t>
            </w:r>
            <w:proofErr w:type="spellEnd"/>
            <w:r w:rsidRPr="00074F53">
              <w:rPr>
                <w:rFonts w:eastAsiaTheme="minorHAnsi"/>
              </w:rPr>
              <w:t xml:space="preserve"> </w:t>
            </w:r>
            <w:proofErr w:type="spellStart"/>
            <w:r w:rsidRPr="00074F53">
              <w:rPr>
                <w:rFonts w:eastAsiaTheme="minorHAnsi"/>
              </w:rPr>
              <w:t>invaliditāti</w:t>
            </w:r>
            <w:proofErr w:type="spellEnd"/>
            <w:r w:rsidRPr="00074F53">
              <w:rPr>
                <w:rFonts w:eastAsiaTheme="minorHAnsi"/>
              </w:rPr>
              <w:t xml:space="preserve"> </w:t>
            </w:r>
            <w:proofErr w:type="spellStart"/>
            <w:r w:rsidRPr="00074F53">
              <w:rPr>
                <w:rFonts w:eastAsiaTheme="minorHAnsi"/>
              </w:rPr>
              <w:t>iespēju</w:t>
            </w:r>
            <w:proofErr w:type="spellEnd"/>
            <w:r w:rsidRPr="00074F53">
              <w:rPr>
                <w:rFonts w:eastAsiaTheme="minorHAnsi"/>
              </w:rPr>
              <w:t xml:space="preserve"> </w:t>
            </w:r>
            <w:proofErr w:type="spellStart"/>
            <w:r w:rsidRPr="00074F53">
              <w:rPr>
                <w:rFonts w:eastAsiaTheme="minorHAnsi"/>
              </w:rPr>
              <w:t>veicināšanai</w:t>
            </w:r>
            <w:proofErr w:type="spellEnd"/>
            <w:r w:rsidRPr="00074F53">
              <w:rPr>
                <w:rFonts w:eastAsiaTheme="minorHAnsi"/>
              </w:rPr>
              <w:t xml:space="preserve"> 2024-2027</w:t>
            </w:r>
            <w:r w:rsidRPr="00074F53">
              <w:rPr>
                <w:rFonts w:eastAsiaTheme="minorHAnsi"/>
                <w:vertAlign w:val="superscript"/>
              </w:rPr>
              <w:footnoteReference w:id="26"/>
            </w:r>
            <w:r w:rsidRPr="00074F53">
              <w:rPr>
                <w:rFonts w:eastAsiaTheme="minorHAnsi"/>
              </w:rPr>
              <w:t xml:space="preserve"> (</w:t>
            </w:r>
            <w:proofErr w:type="spellStart"/>
            <w:r w:rsidRPr="00074F53">
              <w:rPr>
                <w:rFonts w:eastAsiaTheme="minorHAnsi"/>
              </w:rPr>
              <w:t>turpmāk</w:t>
            </w:r>
            <w:proofErr w:type="spellEnd"/>
            <w:r w:rsidRPr="00074F53">
              <w:rPr>
                <w:rFonts w:eastAsiaTheme="minorHAnsi"/>
              </w:rPr>
              <w:t xml:space="preserve"> – </w:t>
            </w:r>
            <w:proofErr w:type="spellStart"/>
            <w:r w:rsidRPr="00074F53">
              <w:rPr>
                <w:rFonts w:eastAsiaTheme="minorHAnsi"/>
              </w:rPr>
              <w:t>Plāns</w:t>
            </w:r>
            <w:proofErr w:type="spellEnd"/>
            <w:r w:rsidRPr="00074F53">
              <w:rPr>
                <w:rFonts w:eastAsiaTheme="minorHAnsi"/>
              </w:rPr>
              <w:t xml:space="preserve">), kas </w:t>
            </w:r>
            <w:proofErr w:type="spellStart"/>
            <w:r w:rsidRPr="00074F53">
              <w:rPr>
                <w:rFonts w:eastAsiaTheme="minorHAnsi"/>
              </w:rPr>
              <w:t>ir</w:t>
            </w:r>
            <w:proofErr w:type="spellEnd"/>
            <w:r w:rsidRPr="00074F53">
              <w:rPr>
                <w:rFonts w:eastAsiaTheme="minorHAnsi"/>
              </w:rPr>
              <w:t xml:space="preserve"> </w:t>
            </w:r>
            <w:proofErr w:type="spellStart"/>
            <w:r w:rsidRPr="00074F53">
              <w:rPr>
                <w:rFonts w:eastAsiaTheme="minorHAnsi"/>
              </w:rPr>
              <w:t>izstrādāts</w:t>
            </w:r>
            <w:proofErr w:type="spellEnd"/>
            <w:r w:rsidRPr="00074F53">
              <w:rPr>
                <w:rFonts w:eastAsiaTheme="minorHAnsi"/>
              </w:rPr>
              <w:t xml:space="preserve">, </w:t>
            </w:r>
            <w:proofErr w:type="spellStart"/>
            <w:r w:rsidRPr="00074F53">
              <w:rPr>
                <w:rFonts w:eastAsiaTheme="minorHAnsi"/>
              </w:rPr>
              <w:t>pamatojoties</w:t>
            </w:r>
            <w:proofErr w:type="spellEnd"/>
            <w:r w:rsidRPr="00074F53">
              <w:rPr>
                <w:rFonts w:eastAsiaTheme="minorHAnsi"/>
              </w:rPr>
              <w:t xml:space="preserve"> </w:t>
            </w:r>
            <w:proofErr w:type="spellStart"/>
            <w:r w:rsidRPr="00074F53">
              <w:rPr>
                <w:rFonts w:eastAsiaTheme="minorHAnsi"/>
              </w:rPr>
              <w:t>uz</w:t>
            </w:r>
            <w:proofErr w:type="spellEnd"/>
            <w:r w:rsidRPr="00074F53">
              <w:rPr>
                <w:rFonts w:eastAsiaTheme="minorHAnsi"/>
              </w:rPr>
              <w:t xml:space="preserve"> SADTPP</w:t>
            </w:r>
            <w:r w:rsidRPr="00074F53">
              <w:rPr>
                <w:rFonts w:eastAsiaTheme="minorHAnsi"/>
                <w:vertAlign w:val="superscript"/>
              </w:rPr>
              <w:footnoteReference w:id="27"/>
            </w:r>
            <w:r w:rsidRPr="00074F53">
              <w:rPr>
                <w:rFonts w:eastAsiaTheme="minorHAnsi"/>
              </w:rPr>
              <w:t>, UNCRPD</w:t>
            </w:r>
            <w:r w:rsidRPr="00074F53">
              <w:rPr>
                <w:rFonts w:eastAsiaTheme="minorHAnsi"/>
                <w:vertAlign w:val="superscript"/>
              </w:rPr>
              <w:footnoteReference w:id="28"/>
            </w:r>
            <w:r w:rsidRPr="00074F53">
              <w:rPr>
                <w:rFonts w:eastAsiaTheme="minorHAnsi"/>
              </w:rPr>
              <w:t xml:space="preserve"> un </w:t>
            </w:r>
            <w:proofErr w:type="spellStart"/>
            <w:r w:rsidRPr="00074F53">
              <w:rPr>
                <w:rFonts w:eastAsiaTheme="minorHAnsi"/>
              </w:rPr>
              <w:t>izvirza</w:t>
            </w:r>
            <w:proofErr w:type="spellEnd"/>
            <w:r w:rsidRPr="00074F53">
              <w:rPr>
                <w:rFonts w:eastAsiaTheme="minorHAnsi"/>
              </w:rPr>
              <w:t xml:space="preserve"> </w:t>
            </w:r>
            <w:proofErr w:type="spellStart"/>
            <w:r w:rsidRPr="00074F53">
              <w:rPr>
                <w:rFonts w:eastAsiaTheme="minorHAnsi"/>
              </w:rPr>
              <w:t>rādītājus</w:t>
            </w:r>
            <w:proofErr w:type="spellEnd"/>
            <w:r w:rsidRPr="00074F53">
              <w:rPr>
                <w:rFonts w:eastAsiaTheme="minorHAnsi"/>
              </w:rPr>
              <w:t xml:space="preserve"> un </w:t>
            </w:r>
            <w:proofErr w:type="spellStart"/>
            <w:r w:rsidRPr="00074F53">
              <w:rPr>
                <w:rFonts w:eastAsiaTheme="minorHAnsi"/>
              </w:rPr>
              <w:t>turpina</w:t>
            </w:r>
            <w:proofErr w:type="spellEnd"/>
            <w:r w:rsidRPr="00074F53">
              <w:rPr>
                <w:rFonts w:eastAsiaTheme="minorHAnsi"/>
              </w:rPr>
              <w:t xml:space="preserve"> </w:t>
            </w:r>
            <w:proofErr w:type="spellStart"/>
            <w:r w:rsidRPr="00074F53">
              <w:rPr>
                <w:rFonts w:eastAsiaTheme="minorHAnsi"/>
              </w:rPr>
              <w:t>Plāna</w:t>
            </w:r>
            <w:proofErr w:type="spellEnd"/>
            <w:r w:rsidRPr="00074F53">
              <w:rPr>
                <w:rFonts w:eastAsiaTheme="minorHAnsi"/>
              </w:rPr>
              <w:t xml:space="preserve"> 2021-2023 </w:t>
            </w:r>
            <w:proofErr w:type="spellStart"/>
            <w:r w:rsidRPr="00074F53">
              <w:rPr>
                <w:rFonts w:eastAsiaTheme="minorHAnsi"/>
              </w:rPr>
              <w:t>pasākumu</w:t>
            </w:r>
            <w:proofErr w:type="spellEnd"/>
            <w:r w:rsidRPr="00074F53">
              <w:rPr>
                <w:rFonts w:eastAsiaTheme="minorHAnsi"/>
              </w:rPr>
              <w:t xml:space="preserve"> </w:t>
            </w:r>
            <w:proofErr w:type="spellStart"/>
            <w:r w:rsidRPr="00074F53">
              <w:rPr>
                <w:rFonts w:eastAsiaTheme="minorHAnsi"/>
              </w:rPr>
              <w:t>īstenošanu</w:t>
            </w:r>
            <w:proofErr w:type="spellEnd"/>
            <w:r w:rsidRPr="00074F53">
              <w:rPr>
                <w:rFonts w:eastAsiaTheme="minorHAnsi"/>
              </w:rPr>
              <w:t xml:space="preserve">, </w:t>
            </w:r>
            <w:proofErr w:type="spellStart"/>
            <w:r w:rsidRPr="00074F53">
              <w:rPr>
                <w:rFonts w:eastAsiaTheme="minorHAnsi"/>
              </w:rPr>
              <w:t>saglabājot</w:t>
            </w:r>
            <w:proofErr w:type="spellEnd"/>
            <w:r w:rsidRPr="00074F53">
              <w:rPr>
                <w:rFonts w:eastAsiaTheme="minorHAnsi"/>
              </w:rPr>
              <w:t xml:space="preserve"> </w:t>
            </w:r>
            <w:proofErr w:type="spellStart"/>
            <w:r w:rsidRPr="00074F53">
              <w:rPr>
                <w:rFonts w:eastAsiaTheme="minorHAnsi"/>
              </w:rPr>
              <w:t>piecus</w:t>
            </w:r>
            <w:proofErr w:type="spellEnd"/>
            <w:r w:rsidRPr="00074F53">
              <w:rPr>
                <w:rFonts w:eastAsiaTheme="minorHAnsi"/>
              </w:rPr>
              <w:t xml:space="preserve"> </w:t>
            </w:r>
            <w:proofErr w:type="spellStart"/>
            <w:r w:rsidRPr="00074F53">
              <w:rPr>
                <w:rFonts w:eastAsiaTheme="minorHAnsi"/>
              </w:rPr>
              <w:t>rīcības</w:t>
            </w:r>
            <w:proofErr w:type="spellEnd"/>
            <w:r w:rsidRPr="00074F53">
              <w:rPr>
                <w:rFonts w:eastAsiaTheme="minorHAnsi"/>
              </w:rPr>
              <w:t xml:space="preserve"> </w:t>
            </w:r>
            <w:proofErr w:type="spellStart"/>
            <w:r w:rsidRPr="00074F53">
              <w:rPr>
                <w:rFonts w:eastAsiaTheme="minorHAnsi"/>
              </w:rPr>
              <w:t>virzienus</w:t>
            </w:r>
            <w:proofErr w:type="spellEnd"/>
            <w:r w:rsidRPr="00074F53">
              <w:rPr>
                <w:rFonts w:eastAsiaTheme="minorHAnsi"/>
              </w:rPr>
              <w:t xml:space="preserve"> – </w:t>
            </w:r>
            <w:proofErr w:type="spellStart"/>
            <w:r w:rsidRPr="00074F53">
              <w:rPr>
                <w:rFonts w:eastAsiaTheme="minorHAnsi"/>
              </w:rPr>
              <w:t>invaliditātes</w:t>
            </w:r>
            <w:proofErr w:type="spellEnd"/>
            <w:r w:rsidRPr="00074F53">
              <w:rPr>
                <w:rFonts w:eastAsiaTheme="minorHAnsi"/>
              </w:rPr>
              <w:t xml:space="preserve"> </w:t>
            </w:r>
            <w:proofErr w:type="spellStart"/>
            <w:r w:rsidRPr="00074F53">
              <w:rPr>
                <w:rFonts w:eastAsiaTheme="minorHAnsi"/>
              </w:rPr>
              <w:t>noteikšanas</w:t>
            </w:r>
            <w:proofErr w:type="spellEnd"/>
            <w:r w:rsidRPr="00074F53">
              <w:rPr>
                <w:rFonts w:eastAsiaTheme="minorHAnsi"/>
              </w:rPr>
              <w:t xml:space="preserve"> </w:t>
            </w:r>
            <w:proofErr w:type="spellStart"/>
            <w:r w:rsidRPr="00074F53">
              <w:rPr>
                <w:rFonts w:eastAsiaTheme="minorHAnsi"/>
              </w:rPr>
              <w:t>sistēmas</w:t>
            </w:r>
            <w:proofErr w:type="spellEnd"/>
            <w:r w:rsidRPr="00074F53">
              <w:rPr>
                <w:rFonts w:eastAsiaTheme="minorHAnsi"/>
              </w:rPr>
              <w:t xml:space="preserve"> </w:t>
            </w:r>
            <w:proofErr w:type="spellStart"/>
            <w:r w:rsidRPr="00074F53">
              <w:rPr>
                <w:rFonts w:eastAsiaTheme="minorHAnsi"/>
              </w:rPr>
              <w:t>pilnveidošana</w:t>
            </w:r>
            <w:proofErr w:type="spellEnd"/>
            <w:r w:rsidRPr="00074F53">
              <w:rPr>
                <w:rFonts w:eastAsiaTheme="minorHAnsi"/>
              </w:rPr>
              <w:t xml:space="preserve">, </w:t>
            </w:r>
            <w:proofErr w:type="spellStart"/>
            <w:r w:rsidRPr="00074F53">
              <w:rPr>
                <w:rFonts w:eastAsiaTheme="minorHAnsi"/>
              </w:rPr>
              <w:t>atbalsta</w:t>
            </w:r>
            <w:proofErr w:type="spellEnd"/>
            <w:r w:rsidRPr="00074F53">
              <w:rPr>
                <w:rFonts w:eastAsiaTheme="minorHAnsi"/>
              </w:rPr>
              <w:t xml:space="preserve"> </w:t>
            </w:r>
            <w:proofErr w:type="spellStart"/>
            <w:r w:rsidRPr="00074F53">
              <w:rPr>
                <w:rFonts w:eastAsiaTheme="minorHAnsi"/>
              </w:rPr>
              <w:t>pakalpojumu</w:t>
            </w:r>
            <w:proofErr w:type="spellEnd"/>
            <w:r w:rsidRPr="00074F53">
              <w:rPr>
                <w:rFonts w:eastAsiaTheme="minorHAnsi"/>
              </w:rPr>
              <w:t xml:space="preserve"> </w:t>
            </w:r>
            <w:proofErr w:type="spellStart"/>
            <w:r w:rsidRPr="00074F53">
              <w:rPr>
                <w:rFonts w:eastAsiaTheme="minorHAnsi"/>
              </w:rPr>
              <w:t>attīstība</w:t>
            </w:r>
            <w:proofErr w:type="spellEnd"/>
            <w:r w:rsidRPr="00074F53">
              <w:rPr>
                <w:rFonts w:eastAsiaTheme="minorHAnsi"/>
              </w:rPr>
              <w:t xml:space="preserve">, </w:t>
            </w:r>
            <w:proofErr w:type="spellStart"/>
            <w:r w:rsidRPr="00074F53">
              <w:rPr>
                <w:rFonts w:eastAsiaTheme="minorHAnsi"/>
              </w:rPr>
              <w:t>nodarbinātības</w:t>
            </w:r>
            <w:proofErr w:type="spellEnd"/>
            <w:r w:rsidRPr="00074F53">
              <w:rPr>
                <w:rFonts w:eastAsiaTheme="minorHAnsi"/>
              </w:rPr>
              <w:t xml:space="preserve"> </w:t>
            </w:r>
            <w:proofErr w:type="spellStart"/>
            <w:r w:rsidRPr="00074F53">
              <w:rPr>
                <w:rFonts w:eastAsiaTheme="minorHAnsi"/>
              </w:rPr>
              <w:t>veicināšana</w:t>
            </w:r>
            <w:proofErr w:type="spellEnd"/>
            <w:r w:rsidRPr="00074F53">
              <w:rPr>
                <w:rFonts w:eastAsiaTheme="minorHAnsi"/>
              </w:rPr>
              <w:t xml:space="preserve">, </w:t>
            </w:r>
            <w:proofErr w:type="spellStart"/>
            <w:r w:rsidRPr="00074F53">
              <w:rPr>
                <w:rFonts w:eastAsiaTheme="minorHAnsi"/>
              </w:rPr>
              <w:t>piekļūstamības</w:t>
            </w:r>
            <w:proofErr w:type="spellEnd"/>
            <w:r w:rsidRPr="00074F53">
              <w:rPr>
                <w:rFonts w:eastAsiaTheme="minorHAnsi"/>
              </w:rPr>
              <w:t xml:space="preserve"> un </w:t>
            </w:r>
            <w:proofErr w:type="spellStart"/>
            <w:r w:rsidRPr="00074F53">
              <w:rPr>
                <w:rFonts w:eastAsiaTheme="minorHAnsi"/>
              </w:rPr>
              <w:t>sabiedrības</w:t>
            </w:r>
            <w:proofErr w:type="spellEnd"/>
            <w:r w:rsidRPr="00074F53">
              <w:rPr>
                <w:rFonts w:eastAsiaTheme="minorHAnsi"/>
              </w:rPr>
              <w:t xml:space="preserve"> </w:t>
            </w:r>
            <w:proofErr w:type="spellStart"/>
            <w:r w:rsidRPr="00074F53">
              <w:rPr>
                <w:rFonts w:eastAsiaTheme="minorHAnsi"/>
              </w:rPr>
              <w:t>izpratnes</w:t>
            </w:r>
            <w:proofErr w:type="spellEnd"/>
            <w:r w:rsidRPr="00074F53">
              <w:rPr>
                <w:rFonts w:eastAsiaTheme="minorHAnsi"/>
              </w:rPr>
              <w:t xml:space="preserve"> </w:t>
            </w:r>
            <w:proofErr w:type="spellStart"/>
            <w:r w:rsidRPr="00074F53">
              <w:rPr>
                <w:rFonts w:eastAsiaTheme="minorHAnsi"/>
              </w:rPr>
              <w:t>veicināšana</w:t>
            </w:r>
            <w:proofErr w:type="spellEnd"/>
            <w:r w:rsidRPr="00074F53">
              <w:rPr>
                <w:rFonts w:eastAsiaTheme="minorHAnsi"/>
              </w:rPr>
              <w:t xml:space="preserve">. </w:t>
            </w:r>
            <w:proofErr w:type="spellStart"/>
            <w:r w:rsidRPr="00074F53">
              <w:rPr>
                <w:rFonts w:eastAsiaTheme="minorHAnsi"/>
              </w:rPr>
              <w:t>Plāns</w:t>
            </w:r>
            <w:proofErr w:type="spellEnd"/>
            <w:r w:rsidRPr="00074F53">
              <w:rPr>
                <w:rFonts w:eastAsiaTheme="minorHAnsi"/>
              </w:rPr>
              <w:t xml:space="preserve"> </w:t>
            </w:r>
            <w:proofErr w:type="spellStart"/>
            <w:r w:rsidRPr="00074F53">
              <w:rPr>
                <w:rFonts w:eastAsiaTheme="minorHAnsi"/>
              </w:rPr>
              <w:t>turpina</w:t>
            </w:r>
            <w:proofErr w:type="spellEnd"/>
            <w:r w:rsidRPr="00074F53">
              <w:rPr>
                <w:rFonts w:eastAsiaTheme="minorHAnsi"/>
              </w:rPr>
              <w:t xml:space="preserve"> </w:t>
            </w:r>
            <w:proofErr w:type="spellStart"/>
            <w:r w:rsidRPr="00074F53">
              <w:rPr>
                <w:rFonts w:eastAsiaTheme="minorHAnsi"/>
              </w:rPr>
              <w:t>pasākumus</w:t>
            </w:r>
            <w:proofErr w:type="spellEnd"/>
            <w:r w:rsidRPr="00074F53">
              <w:rPr>
                <w:rFonts w:eastAsiaTheme="minorHAnsi"/>
              </w:rPr>
              <w:t xml:space="preserve"> vides, </w:t>
            </w:r>
            <w:proofErr w:type="spellStart"/>
            <w:r w:rsidRPr="00074F53">
              <w:rPr>
                <w:rFonts w:eastAsiaTheme="minorHAnsi"/>
              </w:rPr>
              <w:t>informācijas</w:t>
            </w:r>
            <w:proofErr w:type="spellEnd"/>
            <w:r w:rsidRPr="00074F53">
              <w:rPr>
                <w:rFonts w:eastAsiaTheme="minorHAnsi"/>
              </w:rPr>
              <w:t xml:space="preserve"> un </w:t>
            </w:r>
            <w:proofErr w:type="spellStart"/>
            <w:r w:rsidRPr="00074F53">
              <w:rPr>
                <w:rFonts w:eastAsiaTheme="minorHAnsi"/>
              </w:rPr>
              <w:t>pakalpojumu</w:t>
            </w:r>
            <w:proofErr w:type="spellEnd"/>
            <w:r w:rsidRPr="00074F53">
              <w:rPr>
                <w:rFonts w:eastAsiaTheme="minorHAnsi"/>
              </w:rPr>
              <w:t xml:space="preserve"> </w:t>
            </w:r>
            <w:proofErr w:type="spellStart"/>
            <w:r w:rsidRPr="00074F53">
              <w:rPr>
                <w:rFonts w:eastAsiaTheme="minorHAnsi"/>
              </w:rPr>
              <w:t>piekļūstamības</w:t>
            </w:r>
            <w:proofErr w:type="spellEnd"/>
            <w:r w:rsidRPr="00074F53">
              <w:rPr>
                <w:rFonts w:eastAsiaTheme="minorHAnsi"/>
              </w:rPr>
              <w:t xml:space="preserve"> </w:t>
            </w:r>
            <w:proofErr w:type="spellStart"/>
            <w:r w:rsidRPr="00074F53">
              <w:rPr>
                <w:rFonts w:eastAsiaTheme="minorHAnsi"/>
              </w:rPr>
              <w:t>sekmēšanai</w:t>
            </w:r>
            <w:proofErr w:type="spellEnd"/>
            <w:r w:rsidRPr="00074F53">
              <w:rPr>
                <w:rFonts w:eastAsiaTheme="minorHAnsi"/>
              </w:rPr>
              <w:t xml:space="preserve"> </w:t>
            </w:r>
            <w:proofErr w:type="gramStart"/>
            <w:r w:rsidRPr="00074F53">
              <w:rPr>
                <w:rFonts w:eastAsiaTheme="minorHAnsi"/>
              </w:rPr>
              <w:t xml:space="preserve">un  </w:t>
            </w:r>
            <w:proofErr w:type="spellStart"/>
            <w:r w:rsidRPr="00074F53">
              <w:rPr>
                <w:rFonts w:eastAsiaTheme="minorHAnsi"/>
              </w:rPr>
              <w:t>iekļaujošas</w:t>
            </w:r>
            <w:proofErr w:type="spellEnd"/>
            <w:proofErr w:type="gramEnd"/>
            <w:r w:rsidRPr="00074F53">
              <w:rPr>
                <w:rFonts w:eastAsiaTheme="minorHAnsi"/>
              </w:rPr>
              <w:t xml:space="preserve"> </w:t>
            </w:r>
            <w:proofErr w:type="spellStart"/>
            <w:r w:rsidRPr="00074F53">
              <w:rPr>
                <w:rFonts w:eastAsiaTheme="minorHAnsi"/>
              </w:rPr>
              <w:t>sabiedrības</w:t>
            </w:r>
            <w:proofErr w:type="spellEnd"/>
            <w:r w:rsidRPr="00074F53">
              <w:rPr>
                <w:rFonts w:eastAsiaTheme="minorHAnsi"/>
              </w:rPr>
              <w:t xml:space="preserve"> </w:t>
            </w:r>
            <w:proofErr w:type="spellStart"/>
            <w:r w:rsidRPr="00074F53">
              <w:rPr>
                <w:rFonts w:eastAsiaTheme="minorHAnsi"/>
              </w:rPr>
              <w:t>veidošanai</w:t>
            </w:r>
            <w:proofErr w:type="spellEnd"/>
            <w:r w:rsidRPr="00074F53">
              <w:rPr>
                <w:rFonts w:eastAsiaTheme="minorHAnsi"/>
              </w:rPr>
              <w:t xml:space="preserve">, kas tika </w:t>
            </w:r>
            <w:proofErr w:type="spellStart"/>
            <w:r w:rsidRPr="00074F53">
              <w:rPr>
                <w:rFonts w:eastAsiaTheme="minorHAnsi"/>
              </w:rPr>
              <w:t>uzsākti</w:t>
            </w:r>
            <w:proofErr w:type="spellEnd"/>
            <w:r w:rsidRPr="00074F53">
              <w:rPr>
                <w:rFonts w:eastAsiaTheme="minorHAnsi"/>
              </w:rPr>
              <w:t xml:space="preserve"> </w:t>
            </w:r>
            <w:proofErr w:type="spellStart"/>
            <w:r w:rsidRPr="00074F53">
              <w:rPr>
                <w:rFonts w:eastAsiaTheme="minorHAnsi"/>
              </w:rPr>
              <w:t>Plānā</w:t>
            </w:r>
            <w:proofErr w:type="spellEnd"/>
            <w:r w:rsidRPr="00074F53">
              <w:rPr>
                <w:rFonts w:eastAsiaTheme="minorHAnsi"/>
              </w:rPr>
              <w:t xml:space="preserve"> 2021-2023, un </w:t>
            </w:r>
            <w:proofErr w:type="spellStart"/>
            <w:r w:rsidRPr="00074F53">
              <w:rPr>
                <w:rFonts w:eastAsiaTheme="minorHAnsi"/>
              </w:rPr>
              <w:t>paredz</w:t>
            </w:r>
            <w:proofErr w:type="spellEnd"/>
            <w:r w:rsidRPr="00074F53">
              <w:rPr>
                <w:rFonts w:eastAsiaTheme="minorHAnsi"/>
              </w:rPr>
              <w:t xml:space="preserve"> </w:t>
            </w:r>
            <w:proofErr w:type="spellStart"/>
            <w:r w:rsidRPr="00074F53">
              <w:rPr>
                <w:rFonts w:eastAsiaTheme="minorHAnsi"/>
              </w:rPr>
              <w:t>veicināt</w:t>
            </w:r>
            <w:proofErr w:type="spellEnd"/>
            <w:r w:rsidRPr="00074F53">
              <w:rPr>
                <w:rFonts w:eastAsiaTheme="minorHAnsi"/>
              </w:rPr>
              <w:t xml:space="preserve"> </w:t>
            </w:r>
            <w:proofErr w:type="spellStart"/>
            <w:r w:rsidRPr="00074F53">
              <w:rPr>
                <w:rFonts w:eastAsiaTheme="minorHAnsi"/>
              </w:rPr>
              <w:t>kultūras</w:t>
            </w:r>
            <w:proofErr w:type="spellEnd"/>
            <w:r w:rsidRPr="00074F53">
              <w:rPr>
                <w:rFonts w:eastAsiaTheme="minorHAnsi"/>
              </w:rPr>
              <w:t xml:space="preserve"> </w:t>
            </w:r>
            <w:proofErr w:type="spellStart"/>
            <w:r w:rsidRPr="00074F53">
              <w:rPr>
                <w:rFonts w:eastAsiaTheme="minorHAnsi"/>
              </w:rPr>
              <w:t>dzīves</w:t>
            </w:r>
            <w:proofErr w:type="spellEnd"/>
            <w:r w:rsidRPr="00074F53">
              <w:rPr>
                <w:rFonts w:eastAsiaTheme="minorHAnsi"/>
              </w:rPr>
              <w:t xml:space="preserve">, </w:t>
            </w:r>
            <w:proofErr w:type="spellStart"/>
            <w:r w:rsidRPr="00074F53">
              <w:rPr>
                <w:rFonts w:eastAsiaTheme="minorHAnsi"/>
              </w:rPr>
              <w:t>elektronisko</w:t>
            </w:r>
            <w:proofErr w:type="spellEnd"/>
            <w:r w:rsidRPr="00074F53">
              <w:rPr>
                <w:rFonts w:eastAsiaTheme="minorHAnsi"/>
              </w:rPr>
              <w:t xml:space="preserve"> </w:t>
            </w:r>
            <w:proofErr w:type="spellStart"/>
            <w:r w:rsidRPr="00074F53">
              <w:rPr>
                <w:rFonts w:eastAsiaTheme="minorHAnsi"/>
              </w:rPr>
              <w:t>plašsaziņas</w:t>
            </w:r>
            <w:proofErr w:type="spellEnd"/>
            <w:r w:rsidRPr="00074F53">
              <w:rPr>
                <w:rFonts w:eastAsiaTheme="minorHAnsi"/>
              </w:rPr>
              <w:t xml:space="preserve"> </w:t>
            </w:r>
            <w:proofErr w:type="spellStart"/>
            <w:r w:rsidRPr="00074F53">
              <w:rPr>
                <w:rFonts w:eastAsiaTheme="minorHAnsi"/>
              </w:rPr>
              <w:t>līdzekļu</w:t>
            </w:r>
            <w:proofErr w:type="spellEnd"/>
            <w:r w:rsidRPr="00074F53">
              <w:rPr>
                <w:rFonts w:eastAsiaTheme="minorHAnsi"/>
              </w:rPr>
              <w:t xml:space="preserve">, </w:t>
            </w:r>
            <w:proofErr w:type="spellStart"/>
            <w:r w:rsidRPr="00074F53">
              <w:rPr>
                <w:rFonts w:eastAsiaTheme="minorHAnsi"/>
              </w:rPr>
              <w:t>multimediālā</w:t>
            </w:r>
            <w:proofErr w:type="spellEnd"/>
            <w:r w:rsidRPr="00074F53">
              <w:rPr>
                <w:rFonts w:eastAsiaTheme="minorHAnsi"/>
              </w:rPr>
              <w:t xml:space="preserve"> </w:t>
            </w:r>
            <w:proofErr w:type="spellStart"/>
            <w:r w:rsidRPr="00074F53">
              <w:rPr>
                <w:rFonts w:eastAsiaTheme="minorHAnsi"/>
              </w:rPr>
              <w:t>satura</w:t>
            </w:r>
            <w:proofErr w:type="spellEnd"/>
            <w:r w:rsidRPr="00074F53">
              <w:rPr>
                <w:rFonts w:eastAsiaTheme="minorHAnsi"/>
              </w:rPr>
              <w:t xml:space="preserve"> </w:t>
            </w:r>
            <w:proofErr w:type="spellStart"/>
            <w:r w:rsidRPr="00074F53">
              <w:rPr>
                <w:rFonts w:eastAsiaTheme="minorHAnsi"/>
              </w:rPr>
              <w:t>piekļūstamību</w:t>
            </w:r>
            <w:proofErr w:type="spellEnd"/>
            <w:r w:rsidRPr="00074F53">
              <w:rPr>
                <w:rFonts w:eastAsiaTheme="minorHAnsi"/>
              </w:rPr>
              <w:t xml:space="preserve"> </w:t>
            </w:r>
            <w:proofErr w:type="spellStart"/>
            <w:r w:rsidRPr="00074F53">
              <w:rPr>
                <w:rFonts w:eastAsiaTheme="minorHAnsi"/>
              </w:rPr>
              <w:t>personām</w:t>
            </w:r>
            <w:proofErr w:type="spellEnd"/>
            <w:r w:rsidRPr="00074F53">
              <w:rPr>
                <w:rFonts w:eastAsiaTheme="minorHAnsi"/>
              </w:rPr>
              <w:t xml:space="preserve"> </w:t>
            </w:r>
            <w:proofErr w:type="spellStart"/>
            <w:r w:rsidRPr="00074F53">
              <w:rPr>
                <w:rFonts w:eastAsiaTheme="minorHAnsi"/>
              </w:rPr>
              <w:t>ar</w:t>
            </w:r>
            <w:proofErr w:type="spellEnd"/>
            <w:r w:rsidRPr="00074F53">
              <w:rPr>
                <w:rFonts w:eastAsiaTheme="minorHAnsi"/>
              </w:rPr>
              <w:t xml:space="preserve"> </w:t>
            </w:r>
            <w:proofErr w:type="spellStart"/>
            <w:r w:rsidRPr="00074F53">
              <w:rPr>
                <w:rFonts w:eastAsiaTheme="minorHAnsi"/>
              </w:rPr>
              <w:t>invaliditāti</w:t>
            </w:r>
            <w:proofErr w:type="spellEnd"/>
            <w:r w:rsidRPr="00074F53">
              <w:rPr>
                <w:rFonts w:eastAsiaTheme="minorHAnsi"/>
              </w:rPr>
              <w:t xml:space="preserve"> un </w:t>
            </w:r>
            <w:proofErr w:type="spellStart"/>
            <w:r w:rsidRPr="00074F53">
              <w:rPr>
                <w:rFonts w:eastAsiaTheme="minorHAnsi"/>
              </w:rPr>
              <w:t>funkcionāliem</w:t>
            </w:r>
            <w:proofErr w:type="spellEnd"/>
            <w:r w:rsidRPr="00074F53">
              <w:rPr>
                <w:rFonts w:eastAsiaTheme="minorHAnsi"/>
              </w:rPr>
              <w:t xml:space="preserve"> </w:t>
            </w:r>
            <w:proofErr w:type="spellStart"/>
            <w:r w:rsidRPr="00074F53">
              <w:rPr>
                <w:rFonts w:eastAsiaTheme="minorHAnsi"/>
              </w:rPr>
              <w:t>traucējumiem</w:t>
            </w:r>
            <w:proofErr w:type="spellEnd"/>
            <w:r w:rsidRPr="00074F53">
              <w:rPr>
                <w:rFonts w:eastAsiaTheme="minorHAnsi"/>
              </w:rPr>
              <w:t>;</w:t>
            </w:r>
          </w:p>
          <w:p w14:paraId="78C0F9C9" w14:textId="07843A55" w:rsidR="007D76A5" w:rsidRPr="00074F53" w:rsidRDefault="007D76A5" w:rsidP="007D76A5">
            <w:pPr>
              <w:keepNext/>
              <w:numPr>
                <w:ilvl w:val="0"/>
                <w:numId w:val="39"/>
              </w:numPr>
              <w:tabs>
                <w:tab w:val="left" w:pos="4252"/>
              </w:tabs>
              <w:spacing w:before="120" w:after="120"/>
              <w:contextualSpacing/>
            </w:pPr>
            <w:proofErr w:type="spellStart"/>
            <w:r w:rsidRPr="00074F53">
              <w:rPr>
                <w:rFonts w:eastAsiaTheme="minorHAnsi"/>
              </w:rPr>
              <w:t>piekļūstamības</w:t>
            </w:r>
            <w:proofErr w:type="spellEnd"/>
            <w:r w:rsidRPr="00074F53">
              <w:rPr>
                <w:rFonts w:eastAsiaTheme="minorHAnsi"/>
              </w:rPr>
              <w:t xml:space="preserve"> </w:t>
            </w:r>
            <w:proofErr w:type="spellStart"/>
            <w:r w:rsidRPr="00074F53">
              <w:rPr>
                <w:rFonts w:eastAsiaTheme="minorHAnsi"/>
              </w:rPr>
              <w:t>prasības</w:t>
            </w:r>
            <w:proofErr w:type="spellEnd"/>
            <w:r w:rsidRPr="00074F53">
              <w:rPr>
                <w:rFonts w:eastAsiaTheme="minorHAnsi"/>
              </w:rPr>
              <w:t xml:space="preserve"> </w:t>
            </w:r>
            <w:proofErr w:type="spellStart"/>
            <w:r w:rsidRPr="00074F53">
              <w:rPr>
                <w:rFonts w:eastAsiaTheme="minorHAnsi"/>
              </w:rPr>
              <w:t>ir</w:t>
            </w:r>
            <w:proofErr w:type="spellEnd"/>
            <w:r w:rsidRPr="00074F53">
              <w:rPr>
                <w:rFonts w:eastAsiaTheme="minorHAnsi"/>
              </w:rPr>
              <w:t xml:space="preserve"> </w:t>
            </w:r>
            <w:proofErr w:type="spellStart"/>
            <w:r w:rsidRPr="00074F53">
              <w:rPr>
                <w:rFonts w:eastAsiaTheme="minorHAnsi"/>
              </w:rPr>
              <w:t>noteiktas</w:t>
            </w:r>
            <w:proofErr w:type="spellEnd"/>
            <w:r w:rsidRPr="00074F53">
              <w:rPr>
                <w:rFonts w:eastAsiaTheme="minorHAnsi"/>
              </w:rPr>
              <w:t xml:space="preserve"> </w:t>
            </w:r>
            <w:proofErr w:type="spellStart"/>
            <w:r w:rsidRPr="00074F53">
              <w:rPr>
                <w:rFonts w:eastAsiaTheme="minorHAnsi"/>
              </w:rPr>
              <w:t>Latvijas</w:t>
            </w:r>
            <w:proofErr w:type="spellEnd"/>
            <w:r w:rsidRPr="00074F53">
              <w:rPr>
                <w:rFonts w:eastAsiaTheme="minorHAnsi"/>
              </w:rPr>
              <w:t xml:space="preserve"> </w:t>
            </w:r>
            <w:proofErr w:type="spellStart"/>
            <w:r w:rsidRPr="00074F53">
              <w:rPr>
                <w:rFonts w:eastAsiaTheme="minorHAnsi"/>
              </w:rPr>
              <w:t>normatīvajos</w:t>
            </w:r>
            <w:proofErr w:type="spellEnd"/>
            <w:r w:rsidRPr="00074F53">
              <w:rPr>
                <w:rFonts w:eastAsiaTheme="minorHAnsi"/>
              </w:rPr>
              <w:t xml:space="preserve"> </w:t>
            </w:r>
            <w:proofErr w:type="spellStart"/>
            <w:r w:rsidRPr="00074F53">
              <w:rPr>
                <w:rFonts w:eastAsiaTheme="minorHAnsi"/>
              </w:rPr>
              <w:t>aktos</w:t>
            </w:r>
            <w:proofErr w:type="spellEnd"/>
            <w:r w:rsidRPr="00074F53">
              <w:rPr>
                <w:rFonts w:eastAsiaTheme="minorHAnsi"/>
              </w:rPr>
              <w:t xml:space="preserve">, </w:t>
            </w:r>
            <w:proofErr w:type="spellStart"/>
            <w:r w:rsidRPr="00074F53">
              <w:rPr>
                <w:rFonts w:eastAsiaTheme="minorHAnsi"/>
              </w:rPr>
              <w:t>vadlīnijās</w:t>
            </w:r>
            <w:proofErr w:type="spellEnd"/>
            <w:r w:rsidRPr="00074F53">
              <w:rPr>
                <w:rFonts w:eastAsiaTheme="minorHAnsi"/>
              </w:rPr>
              <w:t xml:space="preserve"> un </w:t>
            </w:r>
            <w:proofErr w:type="spellStart"/>
            <w:r w:rsidRPr="00074F53">
              <w:rPr>
                <w:rFonts w:eastAsiaTheme="minorHAnsi"/>
              </w:rPr>
              <w:t>standartos</w:t>
            </w:r>
            <w:proofErr w:type="spellEnd"/>
            <w:r w:rsidRPr="00074F53">
              <w:rPr>
                <w:rFonts w:eastAsiaTheme="minorHAnsi"/>
              </w:rPr>
              <w:t xml:space="preserve">. Par </w:t>
            </w:r>
            <w:proofErr w:type="spellStart"/>
            <w:r w:rsidRPr="00074F53">
              <w:rPr>
                <w:rFonts w:eastAsiaTheme="minorHAnsi"/>
              </w:rPr>
              <w:t>būvniecības</w:t>
            </w:r>
            <w:proofErr w:type="spellEnd"/>
            <w:r w:rsidRPr="00074F53">
              <w:rPr>
                <w:rFonts w:eastAsiaTheme="minorHAnsi"/>
              </w:rPr>
              <w:t xml:space="preserve"> </w:t>
            </w:r>
            <w:proofErr w:type="spellStart"/>
            <w:r w:rsidRPr="00074F53">
              <w:rPr>
                <w:rFonts w:eastAsiaTheme="minorHAnsi"/>
              </w:rPr>
              <w:t>politiku</w:t>
            </w:r>
            <w:proofErr w:type="spellEnd"/>
            <w:r w:rsidRPr="00074F53">
              <w:rPr>
                <w:rFonts w:eastAsiaTheme="minorHAnsi"/>
              </w:rPr>
              <w:t xml:space="preserve"> </w:t>
            </w:r>
            <w:proofErr w:type="spellStart"/>
            <w:r w:rsidRPr="00074F53">
              <w:rPr>
                <w:rFonts w:eastAsiaTheme="minorHAnsi"/>
              </w:rPr>
              <w:t>valstī</w:t>
            </w:r>
            <w:proofErr w:type="spellEnd"/>
            <w:r w:rsidRPr="00074F53">
              <w:rPr>
                <w:rFonts w:eastAsiaTheme="minorHAnsi"/>
              </w:rPr>
              <w:t xml:space="preserve"> </w:t>
            </w:r>
            <w:proofErr w:type="spellStart"/>
            <w:r w:rsidRPr="00074F53">
              <w:rPr>
                <w:rFonts w:eastAsiaTheme="minorHAnsi"/>
              </w:rPr>
              <w:t>ir</w:t>
            </w:r>
            <w:proofErr w:type="spellEnd"/>
            <w:r w:rsidRPr="00074F53">
              <w:rPr>
                <w:rFonts w:eastAsiaTheme="minorHAnsi"/>
              </w:rPr>
              <w:t xml:space="preserve"> </w:t>
            </w:r>
            <w:proofErr w:type="spellStart"/>
            <w:r w:rsidRPr="00074F53">
              <w:rPr>
                <w:rFonts w:eastAsiaTheme="minorHAnsi"/>
              </w:rPr>
              <w:t>atbildīga</w:t>
            </w:r>
            <w:proofErr w:type="spellEnd"/>
            <w:r w:rsidRPr="00074F53">
              <w:rPr>
                <w:rFonts w:eastAsiaTheme="minorHAnsi"/>
              </w:rPr>
              <w:t xml:space="preserve"> EM, </w:t>
            </w:r>
            <w:proofErr w:type="spellStart"/>
            <w:r w:rsidRPr="00074F53">
              <w:rPr>
                <w:rFonts w:eastAsiaTheme="minorHAnsi"/>
              </w:rPr>
              <w:t>taču</w:t>
            </w:r>
            <w:proofErr w:type="spellEnd"/>
            <w:r w:rsidRPr="00074F53">
              <w:rPr>
                <w:rFonts w:eastAsiaTheme="minorHAnsi"/>
              </w:rPr>
              <w:t xml:space="preserve"> LM </w:t>
            </w:r>
            <w:proofErr w:type="spellStart"/>
            <w:r w:rsidRPr="00074F53">
              <w:rPr>
                <w:rFonts w:eastAsiaTheme="minorHAnsi"/>
              </w:rPr>
              <w:t>kā</w:t>
            </w:r>
            <w:proofErr w:type="spellEnd"/>
            <w:r w:rsidRPr="00074F53">
              <w:rPr>
                <w:rFonts w:eastAsiaTheme="minorHAnsi"/>
              </w:rPr>
              <w:t xml:space="preserve"> </w:t>
            </w:r>
            <w:proofErr w:type="spellStart"/>
            <w:r w:rsidRPr="00074F53">
              <w:rPr>
                <w:rFonts w:eastAsiaTheme="minorHAnsi"/>
              </w:rPr>
              <w:t>atbildīgā</w:t>
            </w:r>
            <w:proofErr w:type="spellEnd"/>
            <w:r w:rsidRPr="00074F53">
              <w:rPr>
                <w:rFonts w:eastAsiaTheme="minorHAnsi"/>
              </w:rPr>
              <w:t xml:space="preserve"> par </w:t>
            </w:r>
            <w:proofErr w:type="spellStart"/>
            <w:r w:rsidRPr="00074F53">
              <w:rPr>
                <w:rFonts w:eastAsiaTheme="minorHAnsi"/>
              </w:rPr>
              <w:t>invaliditātes</w:t>
            </w:r>
            <w:proofErr w:type="spellEnd"/>
            <w:r w:rsidRPr="00074F53">
              <w:rPr>
                <w:rFonts w:eastAsiaTheme="minorHAnsi"/>
              </w:rPr>
              <w:t xml:space="preserve"> </w:t>
            </w:r>
            <w:proofErr w:type="spellStart"/>
            <w:r w:rsidRPr="00074F53">
              <w:rPr>
                <w:rFonts w:eastAsiaTheme="minorHAnsi"/>
              </w:rPr>
              <w:t>politiku</w:t>
            </w:r>
            <w:proofErr w:type="spellEnd"/>
            <w:r w:rsidRPr="00074F53">
              <w:rPr>
                <w:rFonts w:eastAsiaTheme="minorHAnsi"/>
              </w:rPr>
              <w:t xml:space="preserve"> </w:t>
            </w:r>
            <w:proofErr w:type="spellStart"/>
            <w:r w:rsidRPr="00074F53">
              <w:rPr>
                <w:rFonts w:eastAsiaTheme="minorHAnsi"/>
              </w:rPr>
              <w:t>izstrādā</w:t>
            </w:r>
            <w:proofErr w:type="spellEnd"/>
            <w:r w:rsidRPr="00074F53">
              <w:rPr>
                <w:rFonts w:eastAsiaTheme="minorHAnsi"/>
              </w:rPr>
              <w:t xml:space="preserve"> </w:t>
            </w:r>
            <w:proofErr w:type="spellStart"/>
            <w:r w:rsidRPr="00074F53">
              <w:rPr>
                <w:rFonts w:eastAsiaTheme="minorHAnsi"/>
              </w:rPr>
              <w:t>ieteikumus</w:t>
            </w:r>
            <w:proofErr w:type="spellEnd"/>
            <w:r w:rsidRPr="00074F53">
              <w:rPr>
                <w:rFonts w:eastAsiaTheme="minorHAnsi"/>
              </w:rPr>
              <w:t xml:space="preserve"> </w:t>
            </w:r>
            <w:proofErr w:type="spellStart"/>
            <w:r w:rsidRPr="00074F53">
              <w:rPr>
                <w:rFonts w:eastAsiaTheme="minorHAnsi"/>
              </w:rPr>
              <w:t>valsts</w:t>
            </w:r>
            <w:proofErr w:type="spellEnd"/>
            <w:r w:rsidRPr="00074F53">
              <w:rPr>
                <w:rFonts w:eastAsiaTheme="minorHAnsi"/>
              </w:rPr>
              <w:t xml:space="preserve"> un </w:t>
            </w:r>
            <w:proofErr w:type="spellStart"/>
            <w:r w:rsidRPr="00074F53">
              <w:rPr>
                <w:rFonts w:eastAsiaTheme="minorHAnsi"/>
              </w:rPr>
              <w:t>pašvaldību</w:t>
            </w:r>
            <w:proofErr w:type="spellEnd"/>
            <w:r w:rsidRPr="00074F53">
              <w:rPr>
                <w:rFonts w:eastAsiaTheme="minorHAnsi"/>
              </w:rPr>
              <w:t xml:space="preserve"> </w:t>
            </w:r>
            <w:proofErr w:type="spellStart"/>
            <w:r w:rsidRPr="00074F53">
              <w:rPr>
                <w:rFonts w:eastAsiaTheme="minorHAnsi"/>
              </w:rPr>
              <w:t>iestādēm</w:t>
            </w:r>
            <w:proofErr w:type="spellEnd"/>
            <w:r w:rsidRPr="00074F53">
              <w:rPr>
                <w:rFonts w:eastAsiaTheme="minorHAnsi"/>
              </w:rPr>
              <w:t xml:space="preserve"> par </w:t>
            </w:r>
            <w:proofErr w:type="spellStart"/>
            <w:r w:rsidRPr="00074F53">
              <w:rPr>
                <w:rFonts w:eastAsiaTheme="minorHAnsi"/>
              </w:rPr>
              <w:t>piekļūstamas</w:t>
            </w:r>
            <w:proofErr w:type="spellEnd"/>
            <w:r w:rsidRPr="00074F53">
              <w:rPr>
                <w:rFonts w:eastAsiaTheme="minorHAnsi"/>
              </w:rPr>
              <w:t xml:space="preserve"> un </w:t>
            </w:r>
            <w:proofErr w:type="spellStart"/>
            <w:r w:rsidRPr="00074F53">
              <w:rPr>
                <w:rFonts w:eastAsiaTheme="minorHAnsi"/>
              </w:rPr>
              <w:t>iekļaujošas</w:t>
            </w:r>
            <w:proofErr w:type="spellEnd"/>
            <w:r w:rsidRPr="00074F53">
              <w:rPr>
                <w:rFonts w:eastAsiaTheme="minorHAnsi"/>
              </w:rPr>
              <w:t xml:space="preserve"> vides </w:t>
            </w:r>
            <w:proofErr w:type="spellStart"/>
            <w:r w:rsidRPr="00074F53">
              <w:rPr>
                <w:rFonts w:eastAsiaTheme="minorHAnsi"/>
              </w:rPr>
              <w:t>veidošanu</w:t>
            </w:r>
            <w:proofErr w:type="spellEnd"/>
            <w:r w:rsidRPr="00074F53">
              <w:rPr>
                <w:rFonts w:eastAsiaTheme="minorHAnsi"/>
              </w:rPr>
              <w:t xml:space="preserve">. LM </w:t>
            </w:r>
            <w:proofErr w:type="spellStart"/>
            <w:r w:rsidRPr="00074F53">
              <w:rPr>
                <w:rFonts w:eastAsiaTheme="minorHAnsi"/>
              </w:rPr>
              <w:t>publicē</w:t>
            </w:r>
            <w:proofErr w:type="spellEnd"/>
            <w:r w:rsidRPr="00074F53">
              <w:rPr>
                <w:rFonts w:eastAsiaTheme="minorHAnsi"/>
              </w:rPr>
              <w:t xml:space="preserve"> </w:t>
            </w:r>
            <w:proofErr w:type="spellStart"/>
            <w:r w:rsidRPr="00074F53">
              <w:rPr>
                <w:rFonts w:eastAsiaTheme="minorHAnsi"/>
              </w:rPr>
              <w:t>informatīvus</w:t>
            </w:r>
            <w:proofErr w:type="spellEnd"/>
            <w:r w:rsidRPr="00074F53">
              <w:rPr>
                <w:rFonts w:eastAsiaTheme="minorHAnsi"/>
              </w:rPr>
              <w:t xml:space="preserve"> </w:t>
            </w:r>
            <w:proofErr w:type="spellStart"/>
            <w:r w:rsidRPr="00074F53">
              <w:rPr>
                <w:rFonts w:eastAsiaTheme="minorHAnsi"/>
              </w:rPr>
              <w:t>materiālus</w:t>
            </w:r>
            <w:proofErr w:type="spellEnd"/>
            <w:r w:rsidRPr="00074F53">
              <w:rPr>
                <w:rFonts w:eastAsiaTheme="minorHAnsi"/>
              </w:rPr>
              <w:t xml:space="preserve"> ES fondu </w:t>
            </w:r>
            <w:proofErr w:type="spellStart"/>
            <w:r w:rsidRPr="00074F53">
              <w:rPr>
                <w:rFonts w:eastAsiaTheme="minorHAnsi"/>
              </w:rPr>
              <w:t>finansējuma</w:t>
            </w:r>
            <w:proofErr w:type="spellEnd"/>
            <w:r w:rsidRPr="00074F53">
              <w:rPr>
                <w:rFonts w:eastAsiaTheme="minorHAnsi"/>
              </w:rPr>
              <w:t xml:space="preserve"> </w:t>
            </w:r>
            <w:proofErr w:type="spellStart"/>
            <w:r w:rsidRPr="00074F53">
              <w:rPr>
                <w:rFonts w:eastAsiaTheme="minorHAnsi"/>
              </w:rPr>
              <w:t>saņēmējiem</w:t>
            </w:r>
            <w:proofErr w:type="spellEnd"/>
            <w:r w:rsidRPr="00074F53">
              <w:rPr>
                <w:rFonts w:eastAsiaTheme="minorHAnsi"/>
              </w:rPr>
              <w:t xml:space="preserve"> par vides un </w:t>
            </w:r>
            <w:proofErr w:type="spellStart"/>
            <w:r w:rsidRPr="00074F53">
              <w:rPr>
                <w:rFonts w:eastAsiaTheme="minorHAnsi"/>
              </w:rPr>
              <w:t>informācijas</w:t>
            </w:r>
            <w:proofErr w:type="spellEnd"/>
            <w:r w:rsidRPr="00074F53">
              <w:rPr>
                <w:rFonts w:eastAsiaTheme="minorHAnsi"/>
              </w:rPr>
              <w:t xml:space="preserve"> </w:t>
            </w:r>
            <w:proofErr w:type="spellStart"/>
            <w:r w:rsidRPr="00074F53">
              <w:rPr>
                <w:rFonts w:eastAsiaTheme="minorHAnsi"/>
              </w:rPr>
              <w:t>piekļūstamību</w:t>
            </w:r>
            <w:proofErr w:type="spellEnd"/>
            <w:r w:rsidRPr="00074F53">
              <w:rPr>
                <w:rFonts w:eastAsiaTheme="minorHAnsi"/>
              </w:rPr>
              <w:t xml:space="preserve"> (</w:t>
            </w:r>
            <w:proofErr w:type="spellStart"/>
            <w:r w:rsidRPr="00074F53">
              <w:rPr>
                <w:rFonts w:eastAsiaTheme="minorHAnsi"/>
              </w:rPr>
              <w:t>pieejams</w:t>
            </w:r>
            <w:proofErr w:type="spellEnd"/>
            <w:r w:rsidRPr="00074F53">
              <w:rPr>
                <w:rFonts w:eastAsiaTheme="minorHAnsi"/>
              </w:rPr>
              <w:t xml:space="preserve"> </w:t>
            </w:r>
            <w:proofErr w:type="spellStart"/>
            <w:r w:rsidRPr="00074F53">
              <w:rPr>
                <w:rFonts w:eastAsiaTheme="minorHAnsi"/>
              </w:rPr>
              <w:t>šeit</w:t>
            </w:r>
            <w:proofErr w:type="spellEnd"/>
            <w:r w:rsidRPr="00074F53">
              <w:rPr>
                <w:rFonts w:eastAsiaTheme="minorHAnsi"/>
              </w:rPr>
              <w:t xml:space="preserve">: </w:t>
            </w:r>
            <w:hyperlink r:id="rId12" w:history="1">
              <w:r w:rsidR="00DB557B" w:rsidRPr="00F45230">
                <w:rPr>
                  <w:rStyle w:val="Hyperlink"/>
                </w:rPr>
                <w:t>https://www.lm.gov.lv/lv/vides-un-informacijas-pieklustamiba</w:t>
              </w:r>
            </w:hyperlink>
            <w:hyperlink w:history="1"/>
            <w:r w:rsidRPr="00074F53">
              <w:rPr>
                <w:rFonts w:eastAsiaTheme="minorHAnsi"/>
              </w:rPr>
              <w:t>);</w:t>
            </w:r>
          </w:p>
          <w:p w14:paraId="1E3B97AC" w14:textId="77777777" w:rsidR="007D76A5" w:rsidRPr="00074F53" w:rsidRDefault="007D76A5" w:rsidP="007D76A5">
            <w:pPr>
              <w:keepNext/>
              <w:numPr>
                <w:ilvl w:val="0"/>
                <w:numId w:val="39"/>
              </w:numPr>
              <w:tabs>
                <w:tab w:val="left" w:pos="4252"/>
              </w:tabs>
              <w:spacing w:before="120" w:after="120"/>
              <w:contextualSpacing/>
            </w:pPr>
            <w:r w:rsidRPr="00074F53">
              <w:rPr>
                <w:rFonts w:eastAsiaTheme="minorHAnsi"/>
              </w:rPr>
              <w:t xml:space="preserve">MK </w:t>
            </w:r>
            <w:proofErr w:type="spellStart"/>
            <w:r w:rsidRPr="00074F53">
              <w:rPr>
                <w:rFonts w:eastAsiaTheme="minorHAnsi"/>
              </w:rPr>
              <w:t>noteikumu</w:t>
            </w:r>
            <w:proofErr w:type="spellEnd"/>
            <w:r w:rsidRPr="00074F53">
              <w:rPr>
                <w:rFonts w:eastAsiaTheme="minorHAnsi"/>
              </w:rPr>
              <w:t xml:space="preserve"> Nr. 651 123. </w:t>
            </w:r>
            <w:proofErr w:type="spellStart"/>
            <w:r w:rsidRPr="00074F53">
              <w:rPr>
                <w:rFonts w:eastAsiaTheme="minorHAnsi"/>
              </w:rPr>
              <w:t>punktā</w:t>
            </w:r>
            <w:proofErr w:type="spellEnd"/>
            <w:r w:rsidRPr="00074F53">
              <w:rPr>
                <w:rFonts w:eastAsiaTheme="minorHAnsi"/>
              </w:rPr>
              <w:t xml:space="preserve"> </w:t>
            </w:r>
            <w:proofErr w:type="spellStart"/>
            <w:r w:rsidRPr="00074F53">
              <w:rPr>
                <w:rFonts w:eastAsiaTheme="minorHAnsi"/>
              </w:rPr>
              <w:t>ir</w:t>
            </w:r>
            <w:proofErr w:type="spellEnd"/>
            <w:r w:rsidRPr="00074F53">
              <w:rPr>
                <w:rFonts w:eastAsiaTheme="minorHAnsi"/>
              </w:rPr>
              <w:t xml:space="preserve"> </w:t>
            </w:r>
            <w:proofErr w:type="spellStart"/>
            <w:r w:rsidRPr="00074F53">
              <w:rPr>
                <w:rFonts w:eastAsiaTheme="minorHAnsi"/>
              </w:rPr>
              <w:t>noteikta</w:t>
            </w:r>
            <w:proofErr w:type="spellEnd"/>
            <w:r w:rsidRPr="00074F53">
              <w:rPr>
                <w:rFonts w:eastAsiaTheme="minorHAnsi"/>
              </w:rPr>
              <w:t xml:space="preserve"> </w:t>
            </w:r>
            <w:proofErr w:type="spellStart"/>
            <w:r w:rsidRPr="00074F53">
              <w:rPr>
                <w:rFonts w:eastAsiaTheme="minorHAnsi"/>
              </w:rPr>
              <w:t>kārtība</w:t>
            </w:r>
            <w:proofErr w:type="spellEnd"/>
            <w:r w:rsidRPr="00074F53">
              <w:rPr>
                <w:rFonts w:eastAsiaTheme="minorHAnsi"/>
              </w:rPr>
              <w:t xml:space="preserve">, </w:t>
            </w:r>
            <w:proofErr w:type="spellStart"/>
            <w:r w:rsidRPr="00074F53">
              <w:rPr>
                <w:rFonts w:eastAsiaTheme="minorHAnsi"/>
              </w:rPr>
              <w:t>kādā</w:t>
            </w:r>
            <w:proofErr w:type="spellEnd"/>
            <w:r w:rsidRPr="00074F53">
              <w:rPr>
                <w:rFonts w:eastAsiaTheme="minorHAnsi"/>
              </w:rPr>
              <w:t xml:space="preserve"> Fonda </w:t>
            </w:r>
            <w:proofErr w:type="spellStart"/>
            <w:r w:rsidRPr="00074F53">
              <w:rPr>
                <w:rFonts w:eastAsiaTheme="minorHAnsi"/>
              </w:rPr>
              <w:t>vadībā</w:t>
            </w:r>
            <w:proofErr w:type="spellEnd"/>
            <w:r w:rsidRPr="00074F53">
              <w:rPr>
                <w:rFonts w:eastAsiaTheme="minorHAnsi"/>
              </w:rPr>
              <w:t xml:space="preserve"> un </w:t>
            </w:r>
            <w:proofErr w:type="spellStart"/>
            <w:r w:rsidRPr="00074F53">
              <w:rPr>
                <w:rFonts w:eastAsiaTheme="minorHAnsi"/>
              </w:rPr>
              <w:t>īstenošanā</w:t>
            </w:r>
            <w:proofErr w:type="spellEnd"/>
            <w:r w:rsidRPr="00074F53">
              <w:rPr>
                <w:rFonts w:eastAsiaTheme="minorHAnsi"/>
              </w:rPr>
              <w:t xml:space="preserve"> </w:t>
            </w:r>
            <w:proofErr w:type="spellStart"/>
            <w:r w:rsidRPr="00074F53">
              <w:rPr>
                <w:rFonts w:eastAsiaTheme="minorHAnsi"/>
              </w:rPr>
              <w:t>iesaistītās</w:t>
            </w:r>
            <w:proofErr w:type="spellEnd"/>
            <w:r w:rsidRPr="00074F53">
              <w:rPr>
                <w:rFonts w:eastAsiaTheme="minorHAnsi"/>
              </w:rPr>
              <w:t xml:space="preserve"> </w:t>
            </w:r>
            <w:proofErr w:type="spellStart"/>
            <w:r w:rsidRPr="00074F53">
              <w:rPr>
                <w:rFonts w:eastAsiaTheme="minorHAnsi"/>
              </w:rPr>
              <w:t>institūcijas</w:t>
            </w:r>
            <w:proofErr w:type="spellEnd"/>
            <w:r w:rsidRPr="00074F53">
              <w:rPr>
                <w:rFonts w:eastAsiaTheme="minorHAnsi"/>
              </w:rPr>
              <w:t xml:space="preserve">, </w:t>
            </w:r>
            <w:proofErr w:type="spellStart"/>
            <w:r w:rsidRPr="00074F53">
              <w:rPr>
                <w:rFonts w:eastAsiaTheme="minorHAnsi"/>
              </w:rPr>
              <w:t>konstatējot</w:t>
            </w:r>
            <w:proofErr w:type="spellEnd"/>
            <w:r w:rsidRPr="00074F53">
              <w:rPr>
                <w:rFonts w:eastAsiaTheme="minorHAnsi"/>
              </w:rPr>
              <w:t xml:space="preserve"> </w:t>
            </w:r>
            <w:proofErr w:type="spellStart"/>
            <w:r w:rsidRPr="00074F53">
              <w:rPr>
                <w:rFonts w:eastAsiaTheme="minorHAnsi"/>
              </w:rPr>
              <w:t>horizontālo</w:t>
            </w:r>
            <w:proofErr w:type="spellEnd"/>
            <w:r w:rsidRPr="00074F53">
              <w:rPr>
                <w:rFonts w:eastAsiaTheme="minorHAnsi"/>
              </w:rPr>
              <w:t xml:space="preserve"> </w:t>
            </w:r>
            <w:proofErr w:type="spellStart"/>
            <w:r w:rsidRPr="00074F53">
              <w:rPr>
                <w:rFonts w:eastAsiaTheme="minorHAnsi"/>
              </w:rPr>
              <w:t>principu</w:t>
            </w:r>
            <w:proofErr w:type="spellEnd"/>
            <w:r w:rsidRPr="00074F53">
              <w:rPr>
                <w:rFonts w:eastAsiaTheme="minorHAnsi"/>
              </w:rPr>
              <w:t xml:space="preserve"> </w:t>
            </w:r>
            <w:proofErr w:type="spellStart"/>
            <w:r w:rsidRPr="00074F53">
              <w:rPr>
                <w:rFonts w:eastAsiaTheme="minorHAnsi"/>
              </w:rPr>
              <w:t>pārkāpumus</w:t>
            </w:r>
            <w:proofErr w:type="spellEnd"/>
            <w:r w:rsidRPr="00074F53">
              <w:rPr>
                <w:rFonts w:eastAsiaTheme="minorHAnsi"/>
              </w:rPr>
              <w:t xml:space="preserve"> </w:t>
            </w:r>
            <w:proofErr w:type="spellStart"/>
            <w:r w:rsidRPr="00074F53">
              <w:rPr>
                <w:rFonts w:eastAsiaTheme="minorHAnsi"/>
              </w:rPr>
              <w:t>vai</w:t>
            </w:r>
            <w:proofErr w:type="spellEnd"/>
            <w:r w:rsidRPr="00074F53">
              <w:rPr>
                <w:rFonts w:eastAsiaTheme="minorHAnsi"/>
              </w:rPr>
              <w:t xml:space="preserve"> </w:t>
            </w:r>
            <w:proofErr w:type="spellStart"/>
            <w:r w:rsidRPr="00074F53">
              <w:rPr>
                <w:rFonts w:eastAsiaTheme="minorHAnsi"/>
              </w:rPr>
              <w:t>saņemot</w:t>
            </w:r>
            <w:proofErr w:type="spellEnd"/>
            <w:r w:rsidRPr="00074F53">
              <w:rPr>
                <w:rFonts w:eastAsiaTheme="minorHAnsi"/>
              </w:rPr>
              <w:t xml:space="preserve"> </w:t>
            </w:r>
            <w:proofErr w:type="spellStart"/>
            <w:r w:rsidRPr="00074F53">
              <w:rPr>
                <w:rFonts w:eastAsiaTheme="minorHAnsi"/>
              </w:rPr>
              <w:t>sūdzības</w:t>
            </w:r>
            <w:proofErr w:type="spellEnd"/>
            <w:r w:rsidRPr="00074F53">
              <w:rPr>
                <w:rFonts w:eastAsiaTheme="minorHAnsi"/>
              </w:rPr>
              <w:t xml:space="preserve"> par ES fondu </w:t>
            </w:r>
            <w:proofErr w:type="spellStart"/>
            <w:r w:rsidRPr="00074F53">
              <w:rPr>
                <w:rFonts w:eastAsiaTheme="minorHAnsi"/>
              </w:rPr>
              <w:t>atbalstīto</w:t>
            </w:r>
            <w:proofErr w:type="spellEnd"/>
            <w:r w:rsidRPr="00074F53">
              <w:rPr>
                <w:rFonts w:eastAsiaTheme="minorHAnsi"/>
              </w:rPr>
              <w:t xml:space="preserve"> </w:t>
            </w:r>
            <w:proofErr w:type="spellStart"/>
            <w:r w:rsidRPr="00074F53">
              <w:rPr>
                <w:rFonts w:eastAsiaTheme="minorHAnsi"/>
              </w:rPr>
              <w:t>darbību</w:t>
            </w:r>
            <w:proofErr w:type="spellEnd"/>
            <w:r w:rsidRPr="00074F53">
              <w:rPr>
                <w:rFonts w:eastAsiaTheme="minorHAnsi"/>
              </w:rPr>
              <w:t xml:space="preserve"> </w:t>
            </w:r>
            <w:proofErr w:type="spellStart"/>
            <w:r w:rsidRPr="00074F53">
              <w:rPr>
                <w:rFonts w:eastAsiaTheme="minorHAnsi"/>
              </w:rPr>
              <w:t>neatbilstību</w:t>
            </w:r>
            <w:proofErr w:type="spellEnd"/>
            <w:r w:rsidRPr="00074F53">
              <w:rPr>
                <w:rFonts w:eastAsiaTheme="minorHAnsi"/>
              </w:rPr>
              <w:t xml:space="preserve"> ES </w:t>
            </w:r>
            <w:proofErr w:type="spellStart"/>
            <w:r w:rsidRPr="00074F53">
              <w:rPr>
                <w:rFonts w:eastAsiaTheme="minorHAnsi"/>
              </w:rPr>
              <w:t>Pamattiesību</w:t>
            </w:r>
            <w:proofErr w:type="spellEnd"/>
            <w:r w:rsidRPr="00074F53">
              <w:rPr>
                <w:rFonts w:eastAsiaTheme="minorHAnsi"/>
              </w:rPr>
              <w:t xml:space="preserve"> </w:t>
            </w:r>
            <w:proofErr w:type="spellStart"/>
            <w:r w:rsidRPr="00074F53">
              <w:rPr>
                <w:rFonts w:eastAsiaTheme="minorHAnsi"/>
              </w:rPr>
              <w:t>hartai</w:t>
            </w:r>
            <w:proofErr w:type="spellEnd"/>
            <w:r w:rsidRPr="00074F53">
              <w:rPr>
                <w:rFonts w:eastAsiaTheme="minorHAnsi"/>
              </w:rPr>
              <w:t xml:space="preserve"> (</w:t>
            </w:r>
            <w:proofErr w:type="spellStart"/>
            <w:r w:rsidRPr="00074F53">
              <w:rPr>
                <w:rFonts w:eastAsiaTheme="minorHAnsi"/>
              </w:rPr>
              <w:t>vienlīdzība</w:t>
            </w:r>
            <w:proofErr w:type="spellEnd"/>
            <w:r w:rsidRPr="00074F53">
              <w:rPr>
                <w:rFonts w:eastAsiaTheme="minorHAnsi"/>
              </w:rPr>
              <w:t xml:space="preserve">, </w:t>
            </w:r>
            <w:proofErr w:type="spellStart"/>
            <w:r w:rsidRPr="00074F53">
              <w:rPr>
                <w:rFonts w:eastAsiaTheme="minorHAnsi"/>
              </w:rPr>
              <w:t>nediskriminācija</w:t>
            </w:r>
            <w:proofErr w:type="spellEnd"/>
            <w:r w:rsidRPr="00074F53">
              <w:rPr>
                <w:rFonts w:eastAsiaTheme="minorHAnsi"/>
              </w:rPr>
              <w:t xml:space="preserve">, </w:t>
            </w:r>
            <w:proofErr w:type="spellStart"/>
            <w:r w:rsidRPr="00074F53">
              <w:rPr>
                <w:rFonts w:eastAsiaTheme="minorHAnsi"/>
              </w:rPr>
              <w:t>iekļaušana</w:t>
            </w:r>
            <w:proofErr w:type="spellEnd"/>
            <w:r w:rsidRPr="00074F53">
              <w:rPr>
                <w:rFonts w:eastAsiaTheme="minorHAnsi"/>
              </w:rPr>
              <w:t xml:space="preserve"> un </w:t>
            </w:r>
            <w:proofErr w:type="spellStart"/>
            <w:r w:rsidRPr="00074F53">
              <w:rPr>
                <w:rFonts w:eastAsiaTheme="minorHAnsi"/>
              </w:rPr>
              <w:t>pamattiesību</w:t>
            </w:r>
            <w:proofErr w:type="spellEnd"/>
            <w:r w:rsidRPr="00074F53">
              <w:rPr>
                <w:rFonts w:eastAsiaTheme="minorHAnsi"/>
              </w:rPr>
              <w:t xml:space="preserve"> </w:t>
            </w:r>
            <w:proofErr w:type="spellStart"/>
            <w:r w:rsidRPr="00074F53">
              <w:rPr>
                <w:rFonts w:eastAsiaTheme="minorHAnsi"/>
              </w:rPr>
              <w:t>ievērošana</w:t>
            </w:r>
            <w:proofErr w:type="spellEnd"/>
            <w:r w:rsidRPr="00074F53">
              <w:rPr>
                <w:rFonts w:eastAsiaTheme="minorHAnsi"/>
              </w:rPr>
              <w:t xml:space="preserve">) un ANO </w:t>
            </w:r>
            <w:proofErr w:type="spellStart"/>
            <w:r w:rsidRPr="00074F53">
              <w:rPr>
                <w:rFonts w:eastAsiaTheme="minorHAnsi"/>
              </w:rPr>
              <w:t>Konvencijā</w:t>
            </w:r>
            <w:proofErr w:type="spellEnd"/>
            <w:r w:rsidRPr="00074F53">
              <w:rPr>
                <w:rFonts w:eastAsiaTheme="minorHAnsi"/>
              </w:rPr>
              <w:t xml:space="preserve"> par </w:t>
            </w:r>
            <w:proofErr w:type="spellStart"/>
            <w:r w:rsidRPr="00074F53">
              <w:rPr>
                <w:rFonts w:eastAsiaTheme="minorHAnsi"/>
              </w:rPr>
              <w:t>personu</w:t>
            </w:r>
            <w:proofErr w:type="spellEnd"/>
            <w:r w:rsidRPr="00074F53">
              <w:rPr>
                <w:rFonts w:eastAsiaTheme="minorHAnsi"/>
              </w:rPr>
              <w:t xml:space="preserve"> </w:t>
            </w:r>
            <w:proofErr w:type="spellStart"/>
            <w:r w:rsidRPr="00074F53">
              <w:rPr>
                <w:rFonts w:eastAsiaTheme="minorHAnsi"/>
              </w:rPr>
              <w:t>ar</w:t>
            </w:r>
            <w:proofErr w:type="spellEnd"/>
            <w:r w:rsidRPr="00074F53">
              <w:rPr>
                <w:rFonts w:eastAsiaTheme="minorHAnsi"/>
              </w:rPr>
              <w:t xml:space="preserve"> </w:t>
            </w:r>
            <w:proofErr w:type="spellStart"/>
            <w:r w:rsidRPr="00074F53">
              <w:rPr>
                <w:rFonts w:eastAsiaTheme="minorHAnsi"/>
              </w:rPr>
              <w:t>invaliditāti</w:t>
            </w:r>
            <w:proofErr w:type="spellEnd"/>
            <w:r w:rsidRPr="00074F53">
              <w:rPr>
                <w:rFonts w:eastAsiaTheme="minorHAnsi"/>
              </w:rPr>
              <w:t xml:space="preserve"> </w:t>
            </w:r>
            <w:proofErr w:type="spellStart"/>
            <w:r w:rsidRPr="00074F53">
              <w:rPr>
                <w:rFonts w:eastAsiaTheme="minorHAnsi"/>
              </w:rPr>
              <w:t>tiesībām</w:t>
            </w:r>
            <w:proofErr w:type="spellEnd"/>
            <w:r w:rsidRPr="00074F53">
              <w:rPr>
                <w:rFonts w:eastAsiaTheme="minorHAnsi"/>
              </w:rPr>
              <w:t xml:space="preserve"> </w:t>
            </w:r>
            <w:proofErr w:type="spellStart"/>
            <w:r w:rsidRPr="00074F53">
              <w:rPr>
                <w:rFonts w:eastAsiaTheme="minorHAnsi"/>
              </w:rPr>
              <w:t>ietverto</w:t>
            </w:r>
            <w:proofErr w:type="spellEnd"/>
            <w:r w:rsidRPr="00074F53">
              <w:rPr>
                <w:rFonts w:eastAsiaTheme="minorHAnsi"/>
              </w:rPr>
              <w:t xml:space="preserve"> </w:t>
            </w:r>
            <w:proofErr w:type="spellStart"/>
            <w:r w:rsidRPr="00074F53">
              <w:rPr>
                <w:rFonts w:eastAsiaTheme="minorHAnsi"/>
              </w:rPr>
              <w:t>vienlīdzīgo</w:t>
            </w:r>
            <w:proofErr w:type="spellEnd"/>
            <w:r w:rsidRPr="00074F53">
              <w:rPr>
                <w:rFonts w:eastAsiaTheme="minorHAnsi"/>
              </w:rPr>
              <w:t xml:space="preserve"> </w:t>
            </w:r>
            <w:proofErr w:type="spellStart"/>
            <w:r w:rsidRPr="00074F53">
              <w:rPr>
                <w:rFonts w:eastAsiaTheme="minorHAnsi"/>
              </w:rPr>
              <w:t>iespēju</w:t>
            </w:r>
            <w:proofErr w:type="spellEnd"/>
            <w:r w:rsidRPr="00074F53">
              <w:rPr>
                <w:rFonts w:eastAsiaTheme="minorHAnsi"/>
              </w:rPr>
              <w:t xml:space="preserve"> </w:t>
            </w:r>
            <w:proofErr w:type="spellStart"/>
            <w:r w:rsidRPr="00074F53">
              <w:rPr>
                <w:rFonts w:eastAsiaTheme="minorHAnsi"/>
              </w:rPr>
              <w:t>principiem</w:t>
            </w:r>
            <w:proofErr w:type="spellEnd"/>
            <w:r w:rsidRPr="00074F53">
              <w:rPr>
                <w:rFonts w:eastAsiaTheme="minorHAnsi"/>
              </w:rPr>
              <w:t xml:space="preserve">. </w:t>
            </w:r>
            <w:proofErr w:type="spellStart"/>
            <w:r w:rsidRPr="00074F53">
              <w:rPr>
                <w:rFonts w:eastAsiaTheme="minorHAnsi"/>
              </w:rPr>
              <w:t>Papildus</w:t>
            </w:r>
            <w:proofErr w:type="spellEnd"/>
            <w:r w:rsidRPr="00074F53">
              <w:rPr>
                <w:rFonts w:eastAsiaTheme="minorHAnsi"/>
              </w:rPr>
              <w:t xml:space="preserve"> </w:t>
            </w:r>
            <w:proofErr w:type="spellStart"/>
            <w:r w:rsidRPr="00074F53">
              <w:rPr>
                <w:rFonts w:eastAsiaTheme="minorHAnsi"/>
              </w:rPr>
              <w:t>jebkurai</w:t>
            </w:r>
            <w:proofErr w:type="spellEnd"/>
            <w:r w:rsidRPr="00074F53">
              <w:rPr>
                <w:rFonts w:eastAsiaTheme="minorHAnsi"/>
              </w:rPr>
              <w:t xml:space="preserve"> </w:t>
            </w:r>
            <w:proofErr w:type="spellStart"/>
            <w:r w:rsidRPr="00074F53">
              <w:rPr>
                <w:rFonts w:eastAsiaTheme="minorHAnsi"/>
              </w:rPr>
              <w:t>personai</w:t>
            </w:r>
            <w:proofErr w:type="spellEnd"/>
            <w:r w:rsidRPr="00074F53">
              <w:rPr>
                <w:rFonts w:eastAsiaTheme="minorHAnsi"/>
              </w:rPr>
              <w:t xml:space="preserve"> </w:t>
            </w:r>
            <w:proofErr w:type="spellStart"/>
            <w:r w:rsidRPr="00074F53">
              <w:rPr>
                <w:rFonts w:eastAsiaTheme="minorHAnsi"/>
              </w:rPr>
              <w:t>ir</w:t>
            </w:r>
            <w:proofErr w:type="spellEnd"/>
            <w:r w:rsidRPr="00074F53">
              <w:rPr>
                <w:rFonts w:eastAsiaTheme="minorHAnsi"/>
              </w:rPr>
              <w:t xml:space="preserve"> </w:t>
            </w:r>
            <w:proofErr w:type="spellStart"/>
            <w:r w:rsidRPr="00074F53">
              <w:rPr>
                <w:rFonts w:eastAsiaTheme="minorHAnsi"/>
              </w:rPr>
              <w:t>tiesības</w:t>
            </w:r>
            <w:proofErr w:type="spellEnd"/>
            <w:r w:rsidRPr="00074F53">
              <w:rPr>
                <w:rFonts w:eastAsiaTheme="minorHAnsi"/>
              </w:rPr>
              <w:t xml:space="preserve"> </w:t>
            </w:r>
            <w:proofErr w:type="spellStart"/>
            <w:r w:rsidRPr="00074F53">
              <w:rPr>
                <w:rFonts w:eastAsiaTheme="minorHAnsi"/>
              </w:rPr>
              <w:t>ar</w:t>
            </w:r>
            <w:proofErr w:type="spellEnd"/>
            <w:r w:rsidRPr="00074F53">
              <w:rPr>
                <w:rFonts w:eastAsiaTheme="minorHAnsi"/>
              </w:rPr>
              <w:t xml:space="preserve"> </w:t>
            </w:r>
            <w:proofErr w:type="spellStart"/>
            <w:r w:rsidRPr="00074F53">
              <w:rPr>
                <w:rFonts w:eastAsiaTheme="minorHAnsi"/>
              </w:rPr>
              <w:t>iesniegumu</w:t>
            </w:r>
            <w:proofErr w:type="spellEnd"/>
            <w:r w:rsidRPr="00074F53">
              <w:rPr>
                <w:rFonts w:eastAsiaTheme="minorHAnsi"/>
              </w:rPr>
              <w:t xml:space="preserve"> </w:t>
            </w:r>
            <w:proofErr w:type="spellStart"/>
            <w:r w:rsidRPr="00074F53">
              <w:rPr>
                <w:rFonts w:eastAsiaTheme="minorHAnsi"/>
              </w:rPr>
              <w:t>vērsties</w:t>
            </w:r>
            <w:proofErr w:type="spellEnd"/>
            <w:r w:rsidRPr="00074F53">
              <w:rPr>
                <w:rFonts w:eastAsiaTheme="minorHAnsi"/>
              </w:rPr>
              <w:t xml:space="preserve"> </w:t>
            </w:r>
            <w:proofErr w:type="spellStart"/>
            <w:r w:rsidRPr="00074F53">
              <w:rPr>
                <w:rFonts w:eastAsiaTheme="minorHAnsi"/>
              </w:rPr>
              <w:t>kompetentajās</w:t>
            </w:r>
            <w:proofErr w:type="spellEnd"/>
            <w:r w:rsidRPr="00074F53">
              <w:rPr>
                <w:rFonts w:eastAsiaTheme="minorHAnsi"/>
              </w:rPr>
              <w:t xml:space="preserve"> </w:t>
            </w:r>
            <w:proofErr w:type="spellStart"/>
            <w:r w:rsidRPr="00074F53">
              <w:rPr>
                <w:rFonts w:eastAsiaTheme="minorHAnsi"/>
              </w:rPr>
              <w:t>institūcijās</w:t>
            </w:r>
            <w:proofErr w:type="spellEnd"/>
            <w:r w:rsidRPr="00074F53">
              <w:rPr>
                <w:rFonts w:eastAsiaTheme="minorHAnsi"/>
              </w:rPr>
              <w:t xml:space="preserve"> par </w:t>
            </w:r>
            <w:proofErr w:type="spellStart"/>
            <w:r w:rsidRPr="00074F53">
              <w:rPr>
                <w:rFonts w:eastAsiaTheme="minorHAnsi"/>
              </w:rPr>
              <w:t>ar</w:t>
            </w:r>
            <w:proofErr w:type="spellEnd"/>
            <w:r w:rsidRPr="00074F53">
              <w:rPr>
                <w:rFonts w:eastAsiaTheme="minorHAnsi"/>
              </w:rPr>
              <w:t xml:space="preserve"> </w:t>
            </w:r>
            <w:proofErr w:type="spellStart"/>
            <w:r w:rsidRPr="00074F53">
              <w:rPr>
                <w:rFonts w:eastAsiaTheme="minorHAnsi"/>
              </w:rPr>
              <w:t>projektu</w:t>
            </w:r>
            <w:proofErr w:type="spellEnd"/>
            <w:r w:rsidRPr="00074F53">
              <w:rPr>
                <w:rFonts w:eastAsiaTheme="minorHAnsi"/>
              </w:rPr>
              <w:t xml:space="preserve"> </w:t>
            </w:r>
            <w:proofErr w:type="spellStart"/>
            <w:r w:rsidRPr="00074F53">
              <w:rPr>
                <w:rFonts w:eastAsiaTheme="minorHAnsi"/>
              </w:rPr>
              <w:t>īstenošanu</w:t>
            </w:r>
            <w:proofErr w:type="spellEnd"/>
            <w:r w:rsidRPr="00074F53">
              <w:rPr>
                <w:rFonts w:eastAsiaTheme="minorHAnsi"/>
              </w:rPr>
              <w:t xml:space="preserve"> </w:t>
            </w:r>
            <w:proofErr w:type="spellStart"/>
            <w:r w:rsidRPr="00074F53">
              <w:rPr>
                <w:rFonts w:eastAsiaTheme="minorHAnsi"/>
              </w:rPr>
              <w:t>saistītu</w:t>
            </w:r>
            <w:proofErr w:type="spellEnd"/>
            <w:r w:rsidRPr="00074F53">
              <w:rPr>
                <w:rFonts w:eastAsiaTheme="minorHAnsi"/>
              </w:rPr>
              <w:t xml:space="preserve"> </w:t>
            </w:r>
            <w:proofErr w:type="spellStart"/>
            <w:r w:rsidRPr="00074F53">
              <w:rPr>
                <w:rFonts w:eastAsiaTheme="minorHAnsi"/>
              </w:rPr>
              <w:t>vienlīdzīgu</w:t>
            </w:r>
            <w:proofErr w:type="spellEnd"/>
            <w:r w:rsidRPr="00074F53">
              <w:rPr>
                <w:rFonts w:eastAsiaTheme="minorHAnsi"/>
              </w:rPr>
              <w:t xml:space="preserve"> </w:t>
            </w:r>
            <w:proofErr w:type="spellStart"/>
            <w:r w:rsidRPr="00074F53">
              <w:rPr>
                <w:rFonts w:eastAsiaTheme="minorHAnsi"/>
              </w:rPr>
              <w:t>iespēju</w:t>
            </w:r>
            <w:proofErr w:type="spellEnd"/>
            <w:r w:rsidRPr="00074F53">
              <w:rPr>
                <w:rFonts w:eastAsiaTheme="minorHAnsi"/>
              </w:rPr>
              <w:t xml:space="preserve"> </w:t>
            </w:r>
            <w:proofErr w:type="spellStart"/>
            <w:r w:rsidRPr="00074F53">
              <w:rPr>
                <w:rFonts w:eastAsiaTheme="minorHAnsi"/>
              </w:rPr>
              <w:t>neievērošanu</w:t>
            </w:r>
            <w:proofErr w:type="spellEnd"/>
            <w:r w:rsidRPr="00074F53">
              <w:rPr>
                <w:rFonts w:eastAsiaTheme="minorHAnsi"/>
              </w:rPr>
              <w:t xml:space="preserve">, t.sk., pie </w:t>
            </w:r>
            <w:proofErr w:type="spellStart"/>
            <w:r w:rsidRPr="00074F53">
              <w:rPr>
                <w:rFonts w:eastAsiaTheme="minorHAnsi"/>
              </w:rPr>
              <w:t>tiesībsarga</w:t>
            </w:r>
            <w:proofErr w:type="spellEnd"/>
            <w:r w:rsidRPr="00074F53">
              <w:rPr>
                <w:rFonts w:eastAsiaTheme="minorHAnsi"/>
              </w:rPr>
              <w:t xml:space="preserve">. </w:t>
            </w:r>
          </w:p>
          <w:p w14:paraId="6F365A81" w14:textId="77777777" w:rsidR="007D76A5" w:rsidRPr="00074F53" w:rsidRDefault="007D76A5" w:rsidP="007D76A5">
            <w:pPr>
              <w:rPr>
                <w:rFonts w:eastAsiaTheme="minorHAnsi"/>
              </w:rPr>
            </w:pPr>
          </w:p>
          <w:p w14:paraId="55D6193B" w14:textId="133AE979" w:rsidR="008A5DA7" w:rsidRPr="00074F53" w:rsidRDefault="007D76A5" w:rsidP="007D76A5">
            <w:pPr>
              <w:jc w:val="left"/>
              <w:rPr>
                <w:i/>
                <w:lang w:val="lv-LV"/>
              </w:rPr>
            </w:pPr>
            <w:proofErr w:type="spellStart"/>
            <w:r w:rsidRPr="00074F53">
              <w:rPr>
                <w:rFonts w:eastAsiaTheme="minorHAnsi"/>
              </w:rPr>
              <w:t>Grāmatvedības</w:t>
            </w:r>
            <w:proofErr w:type="spellEnd"/>
            <w:r w:rsidRPr="00074F53">
              <w:rPr>
                <w:rFonts w:eastAsiaTheme="minorHAnsi"/>
              </w:rPr>
              <w:t xml:space="preserve"> </w:t>
            </w:r>
            <w:proofErr w:type="spellStart"/>
            <w:r w:rsidRPr="00074F53">
              <w:rPr>
                <w:rFonts w:eastAsiaTheme="minorHAnsi"/>
              </w:rPr>
              <w:t>periodā</w:t>
            </w:r>
            <w:proofErr w:type="spellEnd"/>
            <w:r w:rsidRPr="00074F53">
              <w:rPr>
                <w:rFonts w:eastAsiaTheme="minorHAnsi"/>
              </w:rPr>
              <w:t xml:space="preserve"> </w:t>
            </w:r>
            <w:proofErr w:type="spellStart"/>
            <w:r w:rsidRPr="00074F53">
              <w:rPr>
                <w:rFonts w:eastAsiaTheme="minorHAnsi"/>
              </w:rPr>
              <w:t>iesniegumi</w:t>
            </w:r>
            <w:proofErr w:type="spellEnd"/>
            <w:r w:rsidRPr="00074F53">
              <w:rPr>
                <w:rFonts w:eastAsiaTheme="minorHAnsi"/>
              </w:rPr>
              <w:t xml:space="preserve"> par </w:t>
            </w:r>
            <w:proofErr w:type="spellStart"/>
            <w:r w:rsidRPr="00074F53">
              <w:rPr>
                <w:rFonts w:eastAsiaTheme="minorHAnsi"/>
              </w:rPr>
              <w:t>pārkāpumiem</w:t>
            </w:r>
            <w:proofErr w:type="spellEnd"/>
            <w:r w:rsidRPr="00074F53">
              <w:rPr>
                <w:rFonts w:eastAsiaTheme="minorHAnsi"/>
              </w:rPr>
              <w:t xml:space="preserve"> nav </w:t>
            </w:r>
            <w:proofErr w:type="spellStart"/>
            <w:r w:rsidRPr="00074F53">
              <w:rPr>
                <w:rFonts w:eastAsiaTheme="minorHAnsi"/>
              </w:rPr>
              <w:t>saņemti</w:t>
            </w:r>
            <w:proofErr w:type="spellEnd"/>
            <w:r w:rsidRPr="00074F53">
              <w:rPr>
                <w:rFonts w:eastAsiaTheme="minorHAnsi"/>
              </w:rPr>
              <w:t>.</w:t>
            </w:r>
          </w:p>
        </w:tc>
      </w:tr>
    </w:tbl>
    <w:p w14:paraId="48A787C3" w14:textId="0E81C64B" w:rsidR="006A41E2" w:rsidRPr="00074F53" w:rsidRDefault="00B32C89" w:rsidP="00B32C89">
      <w:pPr>
        <w:pStyle w:val="ManualHeading2"/>
        <w:rPr>
          <w:noProof/>
          <w:lang w:val="lv-LV"/>
        </w:rPr>
      </w:pPr>
      <w:r w:rsidRPr="00074F53">
        <w:rPr>
          <w:lang w:val="lv-LV"/>
        </w:rPr>
        <w:lastRenderedPageBreak/>
        <w:t>5.2.</w:t>
      </w:r>
      <w:r w:rsidRPr="00074F53">
        <w:rPr>
          <w:lang w:val="lv-LV"/>
        </w:rPr>
        <w:tab/>
      </w:r>
      <w:r w:rsidR="0001528B" w:rsidRPr="00074F53">
        <w:rPr>
          <w:noProof/>
          <w:lang w:val="lv-LV"/>
        </w:rPr>
        <w:t>Horizontālo principu ievērošana – Regulas (ES) 2021/1060 9. pants</w:t>
      </w:r>
    </w:p>
    <w:p w14:paraId="5E1027CB" w14:textId="6DF7C6C8" w:rsidR="006A41E2" w:rsidRPr="00074F53" w:rsidRDefault="001B037F" w:rsidP="006A41E2">
      <w:pPr>
        <w:rPr>
          <w:noProof/>
          <w:lang w:val="lv-LV"/>
        </w:rPr>
      </w:pPr>
      <w:r w:rsidRPr="00074F53">
        <w:rPr>
          <w:noProof/>
          <w:lang w:val="lv-LV"/>
        </w:rPr>
        <w:t xml:space="preserve">Aprakstiet, kā grāmatvedības </w:t>
      </w:r>
      <w:r w:rsidR="0059347E">
        <w:rPr>
          <w:noProof/>
          <w:lang w:val="lv-LV"/>
        </w:rPr>
        <w:t>periodā</w:t>
      </w:r>
      <w:r w:rsidRPr="00074F53">
        <w:rPr>
          <w:noProof/>
          <w:lang w:val="lv-LV"/>
        </w:rPr>
        <w:t xml:space="preserve"> nodrošinājāt atbilstību Kopīgo noteikumu regulā noteiktajiem horizontālajiem principiem, jo īpaši vīriešu un sieviešu līdztiesībai un dzimumu līdztiesības aspekta integrēšanai, kā arī dzimuma, rases vai etniskās izcelsmes, ticības vai pārliecības, invaliditātes, vecuma vai seksuālās orientācijas dēļ iespējamas diskriminācijas novēršanai.</w:t>
      </w:r>
    </w:p>
    <w:tbl>
      <w:tblPr>
        <w:tblStyle w:val="TableGrid"/>
        <w:tblW w:w="0" w:type="auto"/>
        <w:tblLook w:val="04A0" w:firstRow="1" w:lastRow="0" w:firstColumn="1" w:lastColumn="0" w:noHBand="0" w:noVBand="1"/>
      </w:tblPr>
      <w:tblGrid>
        <w:gridCol w:w="9063"/>
      </w:tblGrid>
      <w:tr w:rsidR="003A3A17" w:rsidRPr="001501F7" w14:paraId="485927BB" w14:textId="77777777" w:rsidTr="00E45665">
        <w:tc>
          <w:tcPr>
            <w:tcW w:w="9289" w:type="dxa"/>
          </w:tcPr>
          <w:p w14:paraId="3C9C1FA2" w14:textId="77777777" w:rsidR="005A34FA" w:rsidRPr="00074F53" w:rsidRDefault="005A34FA" w:rsidP="005A34FA">
            <w:pPr>
              <w:pStyle w:val="Personnequisigne"/>
              <w:rPr>
                <w:noProof/>
                <w:lang w:val="lv-LV"/>
              </w:rPr>
            </w:pPr>
            <w:r w:rsidRPr="00074F53">
              <w:rPr>
                <w:noProof/>
                <w:lang w:val="lv-LV"/>
              </w:rPr>
              <w:t>Šeit ierakstiet tekstu. Ne vairāk kā 5000 rakstzīmes.</w:t>
            </w:r>
          </w:p>
          <w:p w14:paraId="7F52046E" w14:textId="77777777" w:rsidR="00550BFC" w:rsidRPr="00074F53" w:rsidRDefault="007C6174" w:rsidP="00550BFC">
            <w:pPr>
              <w:keepNext/>
              <w:tabs>
                <w:tab w:val="left" w:pos="1380"/>
                <w:tab w:val="left" w:pos="4252"/>
              </w:tabs>
              <w:spacing w:before="120"/>
              <w:ind w:firstLine="709"/>
              <w:contextualSpacing/>
              <w:rPr>
                <w:rFonts w:eastAsia="Calibri"/>
                <w:lang w:val="lv-LV"/>
              </w:rPr>
            </w:pPr>
            <w:r w:rsidRPr="00074F53">
              <w:rPr>
                <w:lang w:val="lv-LV"/>
              </w:rPr>
              <w:t xml:space="preserve"> </w:t>
            </w:r>
            <w:r w:rsidR="00550BFC" w:rsidRPr="00074F53">
              <w:rPr>
                <w:rFonts w:eastAsia="Calibri"/>
                <w:lang w:val="lv-LV"/>
              </w:rPr>
              <w:t>Saskaņā ar MK noteikumiem Nr. 651</w:t>
            </w:r>
            <w:r w:rsidR="00550BFC" w:rsidRPr="00074F53">
              <w:rPr>
                <w:rFonts w:eastAsia="Calibri"/>
                <w:vertAlign w:val="superscript"/>
              </w:rPr>
              <w:footnoteReference w:id="29"/>
            </w:r>
            <w:r w:rsidR="00550BFC" w:rsidRPr="00074F53">
              <w:rPr>
                <w:rFonts w:eastAsia="Calibri"/>
                <w:lang w:val="lv-LV"/>
              </w:rPr>
              <w:t xml:space="preserve"> Latvijā ir noteiktas atbildīgās institūcijas par horizontālo principu koordināciju ES iekšlietu fondu ietvaros: Labklājības ministrija par regulas Nr. 2021/1060 9. panta 1., 2. un 3. punktu, aptverot tādas jomas kā pamattiesību ievērošana, vīriešu un sieviešu līdztiesības veicināšana, diskriminācijas novēršana dzimuma, rases vai etniskās izcelsmes, reliģijas vai pārliecības, invaliditātes, vecuma vai dzimumorientācijas dēļ, bet Iekšlietu ministrija un Kultūras ministrija par regulas Nr. 2021/1060 9. panta 4. punktu”. </w:t>
            </w:r>
          </w:p>
          <w:p w14:paraId="0880E7ED" w14:textId="77777777" w:rsidR="00550BFC" w:rsidRPr="00074F53" w:rsidRDefault="00550BFC" w:rsidP="00550BFC">
            <w:pPr>
              <w:keepNext/>
              <w:tabs>
                <w:tab w:val="left" w:pos="4252"/>
              </w:tabs>
              <w:ind w:firstLine="709"/>
              <w:contextualSpacing/>
              <w:rPr>
                <w:rFonts w:eastAsia="Calibri"/>
                <w:lang w:val="lv-LV"/>
              </w:rPr>
            </w:pPr>
            <w:r w:rsidRPr="00074F53">
              <w:rPr>
                <w:rFonts w:eastAsia="Calibri"/>
                <w:lang w:val="lv-LV"/>
              </w:rPr>
              <w:t xml:space="preserve">Lai sniegtu atbalstu horizontālo principu ievērošanas uzraudzībai, Labklājības ministrija ir izstrādājusi HP vadlīnijas.  </w:t>
            </w:r>
          </w:p>
          <w:p w14:paraId="544E1B3B" w14:textId="77777777" w:rsidR="00550BFC" w:rsidRPr="00074F53" w:rsidRDefault="00550BFC" w:rsidP="00550BFC">
            <w:pPr>
              <w:keepNext/>
              <w:tabs>
                <w:tab w:val="left" w:pos="4252"/>
              </w:tabs>
              <w:ind w:firstLine="709"/>
              <w:contextualSpacing/>
              <w:rPr>
                <w:rFonts w:eastAsia="Calibri"/>
                <w:lang w:val="lv-LV"/>
              </w:rPr>
            </w:pPr>
            <w:r w:rsidRPr="00074F53">
              <w:rPr>
                <w:rFonts w:eastAsia="Calibri"/>
                <w:lang w:val="lv-LV"/>
              </w:rPr>
              <w:t>Visiem projektiem ar tiešu ietekmi un netiešu ietekmi uz horizontālo principu tiek īstenotas vispārīgas un specifiskas darbības, kas nodrošina diskriminācijas novēršanu un veicina vienlīdzīgas iespējas, kā arī noteikti horizontālā principa sasniedzamie rādītāji. Savukārt projektiem, kuru īstenotajām darbībām nav ietekmes uz horizontālo principu tiek paredzēta vismaz viena vispārīgā darbība. Vadlīnijās ir noteikta projektu iesniegumu vērtēšanas sistēma, kas tiek arī pielietota, kā arī sniegti skaidrojumi par projektu ietekmes uz horizontālo principu novērtēšanai un vispārīgo un specifisko darbību piemēri, kas veicina vīriešu un sieviešu līdztiesību, kā arī diskriminācijas dzimuma, rases vai etniskās izcelsmes, ticības vai pārliecības, invaliditātes, vecuma vai seksuālās orientācijas dēļ novēršanu.</w:t>
            </w:r>
          </w:p>
          <w:p w14:paraId="2CD37C6D" w14:textId="53777FBF" w:rsidR="00453788" w:rsidRPr="00074F53" w:rsidRDefault="00550BFC" w:rsidP="00550BFC">
            <w:pPr>
              <w:pStyle w:val="Personnequisigne"/>
              <w:ind w:firstLine="709"/>
              <w:jc w:val="both"/>
              <w:rPr>
                <w:i w:val="0"/>
                <w:lang w:val="lv-LV"/>
              </w:rPr>
            </w:pPr>
            <w:r w:rsidRPr="00074F53">
              <w:rPr>
                <w:rFonts w:eastAsia="Calibri"/>
                <w:i w:val="0"/>
                <w:lang w:val="lv-LV"/>
              </w:rPr>
              <w:t>Īstenoto projektu aktivitāšu pamatā ir stingra atbilstība horizontālajiem principiem, nodrošinot, ka ES fondu investīcijas veicina iekļaujošu un taisnīgu sabiedrību. Šī pieeja garantē, ka drošības sektora attīstība norit ciešā saskaņā ar ES pamatvērtībām.</w:t>
            </w:r>
          </w:p>
        </w:tc>
      </w:tr>
    </w:tbl>
    <w:p w14:paraId="1F560B60" w14:textId="4B1562F2" w:rsidR="006A41E2" w:rsidRPr="00074F53" w:rsidRDefault="00B32C89" w:rsidP="00B32C89">
      <w:pPr>
        <w:pStyle w:val="ManualHeading1"/>
        <w:rPr>
          <w:noProof/>
          <w:lang w:val="lv-LV"/>
        </w:rPr>
      </w:pPr>
      <w:r w:rsidRPr="00074F53">
        <w:rPr>
          <w:lang w:val="lv-LV"/>
        </w:rPr>
        <w:t>6.</w:t>
      </w:r>
      <w:r w:rsidRPr="00074F53">
        <w:rPr>
          <w:lang w:val="lv-LV"/>
        </w:rPr>
        <w:tab/>
      </w:r>
      <w:r w:rsidR="006A41E2" w:rsidRPr="00074F53">
        <w:rPr>
          <w:noProof/>
          <w:lang w:val="lv-LV"/>
        </w:rPr>
        <w:t>Projekti trešās valstīs vai saistībā ar tām – Regulas (ES) 2021/1149 30. panta 2. punkta g) apakšpunkts</w:t>
      </w:r>
    </w:p>
    <w:p w14:paraId="42FF1E91" w14:textId="5C8372D5" w:rsidR="006A41E2" w:rsidRPr="00074F53" w:rsidRDefault="001B037F" w:rsidP="006A41E2">
      <w:pPr>
        <w:rPr>
          <w:noProof/>
          <w:lang w:val="lv-LV"/>
        </w:rPr>
      </w:pPr>
      <w:r w:rsidRPr="00074F53">
        <w:rPr>
          <w:noProof/>
          <w:lang w:val="lv-LV"/>
        </w:rPr>
        <w:t xml:space="preserve">Aprakstiet visas darbības, kas grāmatvedības </w:t>
      </w:r>
      <w:r w:rsidR="0059347E">
        <w:rPr>
          <w:noProof/>
          <w:lang w:val="lv-LV"/>
        </w:rPr>
        <w:t>periodā</w:t>
      </w:r>
      <w:r w:rsidRPr="00074F53">
        <w:rPr>
          <w:noProof/>
          <w:lang w:val="lv-LV"/>
        </w:rPr>
        <w:t xml:space="preserve"> notikušas trešās valstīs vai saistībā ar tām, un to, kā tās nodrošina Savienības pievienoto vērtību fonda mērķu sasniegšanā. Miniet attiecīgo trešo valstu nosaukumus. Attiecīgā gadījumā norādiet, vai pirms projekta apstiprināšanas ir notikusi apspriešanās ar Komisiju (Regulas (ES) 2021/1149 13. panta 11. punkts). </w:t>
      </w:r>
    </w:p>
    <w:tbl>
      <w:tblPr>
        <w:tblStyle w:val="TableGrid"/>
        <w:tblW w:w="0" w:type="auto"/>
        <w:tblLook w:val="04A0" w:firstRow="1" w:lastRow="0" w:firstColumn="1" w:lastColumn="0" w:noHBand="0" w:noVBand="1"/>
      </w:tblPr>
      <w:tblGrid>
        <w:gridCol w:w="9063"/>
      </w:tblGrid>
      <w:tr w:rsidR="003A3A17" w:rsidRPr="002A2E2F" w14:paraId="6EDAA316" w14:textId="77777777" w:rsidTr="00E45665">
        <w:tc>
          <w:tcPr>
            <w:tcW w:w="9289" w:type="dxa"/>
          </w:tcPr>
          <w:p w14:paraId="108F2C51" w14:textId="77777777" w:rsidR="006A41E2" w:rsidRPr="00074F53" w:rsidRDefault="00FF0E7F" w:rsidP="009E5C5D">
            <w:pPr>
              <w:pStyle w:val="Personnequisigne"/>
              <w:rPr>
                <w:noProof/>
                <w:lang w:val="lv-LV"/>
              </w:rPr>
            </w:pPr>
            <w:r w:rsidRPr="00074F53">
              <w:rPr>
                <w:noProof/>
                <w:lang w:val="lv-LV"/>
              </w:rPr>
              <w:t>Šeit ierakstiet tekstu. Ne vairāk kā 6000 rakstzīmes.</w:t>
            </w:r>
          </w:p>
          <w:p w14:paraId="50447F76" w14:textId="537EAE8E" w:rsidR="006C4EFB" w:rsidRPr="0023486B" w:rsidRDefault="0023486B" w:rsidP="0023486B">
            <w:pPr>
              <w:pStyle w:val="Institutionquisigne"/>
              <w:spacing w:before="0"/>
              <w:rPr>
                <w:i w:val="0"/>
                <w:lang w:val="lv-LV"/>
              </w:rPr>
            </w:pPr>
            <w:r w:rsidRPr="0023486B">
              <w:rPr>
                <w:i w:val="0"/>
                <w:lang w:val="lv-LV"/>
              </w:rPr>
              <w:t>Nav attiecināms.</w:t>
            </w:r>
          </w:p>
        </w:tc>
      </w:tr>
    </w:tbl>
    <w:p w14:paraId="54AF7F4C" w14:textId="36E6B0B2" w:rsidR="006A41E2" w:rsidRPr="00074F53" w:rsidRDefault="00B32C89" w:rsidP="00B32C89">
      <w:pPr>
        <w:pStyle w:val="ManualHeading1"/>
        <w:rPr>
          <w:noProof/>
          <w:lang w:val="lv-LV"/>
        </w:rPr>
      </w:pPr>
      <w:r w:rsidRPr="00074F53">
        <w:rPr>
          <w:lang w:val="lv-LV"/>
        </w:rPr>
        <w:t>7.</w:t>
      </w:r>
      <w:r w:rsidRPr="00074F53">
        <w:rPr>
          <w:lang w:val="lv-LV"/>
        </w:rPr>
        <w:tab/>
      </w:r>
      <w:r w:rsidR="006A41E2" w:rsidRPr="00074F53">
        <w:rPr>
          <w:noProof/>
          <w:lang w:val="lv-LV"/>
        </w:rPr>
        <w:t>Kopsavilkums – Regulas (ES) 2021/1149 30. panta 2. punkts</w:t>
      </w:r>
    </w:p>
    <w:p w14:paraId="6BB36DA2" w14:textId="77777777" w:rsidR="006A41E2" w:rsidRPr="00074F53" w:rsidRDefault="00093D5B" w:rsidP="006A41E2">
      <w:pPr>
        <w:rPr>
          <w:noProof/>
          <w:lang w:val="lv-LV"/>
        </w:rPr>
      </w:pPr>
      <w:r w:rsidRPr="00074F53">
        <w:rPr>
          <w:noProof/>
          <w:lang w:val="lv-LV"/>
        </w:rPr>
        <w:t xml:space="preserve">Sniedziet kopsavilkumu par 1.–6. iedaļu – tas tiks pārtulkots un darīts pieejams sabiedrībai. </w:t>
      </w:r>
    </w:p>
    <w:p w14:paraId="5D81D6B0" w14:textId="77777777" w:rsidR="006A41E2" w:rsidRPr="00074F53" w:rsidRDefault="006A41E2" w:rsidP="006A41E2">
      <w:pPr>
        <w:rPr>
          <w:noProof/>
          <w:lang w:val="lv-LV"/>
        </w:rPr>
      </w:pPr>
      <w:r w:rsidRPr="00074F53">
        <w:rPr>
          <w:noProof/>
          <w:lang w:val="lv-LV"/>
        </w:rPr>
        <w:t xml:space="preserve">Kopsavilkumā jāietver vismaz visi 30. panta 2. punktā uzskaitītie apakšpunkti, ap kuriem to vēlams strukturēt. </w:t>
      </w:r>
    </w:p>
    <w:p w14:paraId="5915FB12" w14:textId="77777777" w:rsidR="006A41E2" w:rsidRPr="00074F53" w:rsidRDefault="006A41E2" w:rsidP="006A41E2">
      <w:pPr>
        <w:rPr>
          <w:noProof/>
          <w:lang w:val="lv-LV"/>
        </w:rPr>
      </w:pPr>
      <w:r w:rsidRPr="00074F53">
        <w:rPr>
          <w:noProof/>
          <w:lang w:val="lv-LV"/>
        </w:rPr>
        <w:t xml:space="preserve">Ieteicams izmantot aizzīmes, treknrakstu vai informatīvus virsrakstus, lai ieinteresētās personas varētu viegli izprast programmas galvenos sasniegumus un galvenos jautājumus, kas ietekmē tās sniegumu. </w:t>
      </w:r>
    </w:p>
    <w:tbl>
      <w:tblPr>
        <w:tblStyle w:val="TableGrid"/>
        <w:tblW w:w="0" w:type="auto"/>
        <w:tblLook w:val="04A0" w:firstRow="1" w:lastRow="0" w:firstColumn="1" w:lastColumn="0" w:noHBand="0" w:noVBand="1"/>
      </w:tblPr>
      <w:tblGrid>
        <w:gridCol w:w="9063"/>
      </w:tblGrid>
      <w:tr w:rsidR="006A41E2" w:rsidRPr="001501F7" w14:paraId="3495364F" w14:textId="77777777" w:rsidTr="00E45665">
        <w:tc>
          <w:tcPr>
            <w:tcW w:w="9289" w:type="dxa"/>
          </w:tcPr>
          <w:p w14:paraId="199D0551" w14:textId="2652EC71" w:rsidR="00550BFC" w:rsidRDefault="00FF0E7F" w:rsidP="00F32466">
            <w:pPr>
              <w:pStyle w:val="Personnequisigne"/>
              <w:rPr>
                <w:noProof/>
                <w:lang w:val="lv-LV"/>
              </w:rPr>
            </w:pPr>
            <w:r w:rsidRPr="00074F53">
              <w:rPr>
                <w:noProof/>
                <w:lang w:val="lv-LV"/>
              </w:rPr>
              <w:t>Šeit ierakstiet tekstu. Ne vairāk kā 7500 rakstzīmes.</w:t>
            </w:r>
          </w:p>
          <w:p w14:paraId="56348024" w14:textId="77777777" w:rsidR="0006054D" w:rsidRPr="00163461" w:rsidRDefault="0006054D" w:rsidP="0006054D">
            <w:pPr>
              <w:pStyle w:val="Institutionquisigne"/>
              <w:spacing w:before="240" w:after="120"/>
              <w:rPr>
                <w:b/>
                <w:i w:val="0"/>
                <w:szCs w:val="24"/>
                <w:lang w:val="lv-LV"/>
              </w:rPr>
            </w:pPr>
            <w:bookmarkStart w:id="23" w:name="_Hlk221196765"/>
            <w:r w:rsidRPr="00163461">
              <w:rPr>
                <w:b/>
                <w:i w:val="0"/>
                <w:szCs w:val="24"/>
                <w:lang w:val="lv-LV"/>
              </w:rPr>
              <w:t>a) Īstenošanā gūtais progress</w:t>
            </w:r>
          </w:p>
          <w:bookmarkEnd w:id="23"/>
          <w:p w14:paraId="25CED1AC" w14:textId="77777777" w:rsidR="00657189" w:rsidRDefault="00657189" w:rsidP="00657189">
            <w:pPr>
              <w:pStyle w:val="Personnequisigne"/>
              <w:ind w:firstLine="743"/>
              <w:rPr>
                <w:i w:val="0"/>
                <w:iCs/>
                <w:lang w:val="lv-LV"/>
              </w:rPr>
            </w:pPr>
            <w:r w:rsidRPr="00163461">
              <w:rPr>
                <w:i w:val="0"/>
                <w:iCs/>
                <w:lang w:val="lv-LV"/>
              </w:rPr>
              <w:t xml:space="preserve">Grāmatvedības periodā tika īstenoti </w:t>
            </w:r>
            <w:r>
              <w:rPr>
                <w:i w:val="0"/>
                <w:iCs/>
                <w:lang w:val="lv-LV"/>
              </w:rPr>
              <w:t>14</w:t>
            </w:r>
            <w:r w:rsidRPr="00163461">
              <w:rPr>
                <w:i w:val="0"/>
                <w:iCs/>
                <w:lang w:val="lv-LV"/>
              </w:rPr>
              <w:t xml:space="preserve"> projekti</w:t>
            </w:r>
            <w:r>
              <w:rPr>
                <w:i w:val="0"/>
                <w:iCs/>
                <w:lang w:val="lv-LV"/>
              </w:rPr>
              <w:t>.</w:t>
            </w:r>
            <w:r w:rsidRPr="00163461">
              <w:rPr>
                <w:i w:val="0"/>
                <w:iCs/>
                <w:lang w:val="lv-LV"/>
              </w:rPr>
              <w:t xml:space="preserve"> </w:t>
            </w:r>
            <w:r>
              <w:rPr>
                <w:i w:val="0"/>
                <w:iCs/>
                <w:lang w:val="lv-LV"/>
              </w:rPr>
              <w:t xml:space="preserve">No tiem </w:t>
            </w:r>
            <w:r w:rsidRPr="00163461">
              <w:rPr>
                <w:i w:val="0"/>
                <w:iCs/>
                <w:lang w:val="lv-LV"/>
              </w:rPr>
              <w:t xml:space="preserve">turpināti </w:t>
            </w:r>
            <w:r>
              <w:rPr>
                <w:i w:val="0"/>
                <w:iCs/>
                <w:lang w:val="lv-LV"/>
              </w:rPr>
              <w:t>10</w:t>
            </w:r>
            <w:r w:rsidRPr="00163461">
              <w:rPr>
                <w:i w:val="0"/>
                <w:iCs/>
                <w:lang w:val="lv-LV"/>
              </w:rPr>
              <w:t xml:space="preserve"> projekti un </w:t>
            </w:r>
            <w:r>
              <w:rPr>
                <w:i w:val="0"/>
                <w:iCs/>
                <w:lang w:val="lv-LV"/>
              </w:rPr>
              <w:t>2 pabeigti, kā arī uzsākta 4 jaunu projektu īstenošana.</w:t>
            </w:r>
          </w:p>
          <w:p w14:paraId="0A4E69E3" w14:textId="77777777" w:rsidR="00657189" w:rsidRPr="00DB1D8E" w:rsidRDefault="00657189" w:rsidP="00657189">
            <w:pPr>
              <w:pStyle w:val="Personnequisigne"/>
              <w:ind w:firstLine="743"/>
              <w:rPr>
                <w:i w:val="0"/>
                <w:iCs/>
                <w:lang w:val="lv-LV"/>
              </w:rPr>
            </w:pPr>
            <w:r w:rsidRPr="00163461">
              <w:rPr>
                <w:i w:val="0"/>
                <w:iCs/>
                <w:lang w:val="lv-LV"/>
              </w:rPr>
              <w:lastRenderedPageBreak/>
              <w:t xml:space="preserve"> </w:t>
            </w:r>
          </w:p>
          <w:p w14:paraId="7D40D7FE" w14:textId="77777777" w:rsidR="00657189" w:rsidRDefault="00657189" w:rsidP="00657189">
            <w:pPr>
              <w:pStyle w:val="Institutionquisigne"/>
              <w:spacing w:before="0"/>
              <w:ind w:firstLine="743"/>
              <w:rPr>
                <w:i w:val="0"/>
                <w:iCs/>
              </w:rPr>
            </w:pPr>
            <w:proofErr w:type="spellStart"/>
            <w:r w:rsidRPr="00577FFB">
              <w:rPr>
                <w:i w:val="0"/>
                <w:iCs/>
              </w:rPr>
              <w:t>Projektu</w:t>
            </w:r>
            <w:proofErr w:type="spellEnd"/>
            <w:r w:rsidRPr="00577FFB">
              <w:rPr>
                <w:i w:val="0"/>
                <w:iCs/>
              </w:rPr>
              <w:t xml:space="preserve"> </w:t>
            </w:r>
            <w:proofErr w:type="spellStart"/>
            <w:r w:rsidRPr="00577FFB">
              <w:rPr>
                <w:i w:val="0"/>
                <w:iCs/>
              </w:rPr>
              <w:t>mērķi</w:t>
            </w:r>
            <w:proofErr w:type="spellEnd"/>
            <w:r w:rsidRPr="00577FFB">
              <w:rPr>
                <w:i w:val="0"/>
                <w:iCs/>
              </w:rPr>
              <w:t xml:space="preserve"> </w:t>
            </w:r>
            <w:proofErr w:type="spellStart"/>
            <w:r w:rsidRPr="00577FFB">
              <w:rPr>
                <w:i w:val="0"/>
                <w:iCs/>
              </w:rPr>
              <w:t>ir</w:t>
            </w:r>
            <w:proofErr w:type="spellEnd"/>
            <w:r w:rsidRPr="00577FFB">
              <w:rPr>
                <w:i w:val="0"/>
                <w:iCs/>
              </w:rPr>
              <w:t xml:space="preserve"> </w:t>
            </w:r>
            <w:proofErr w:type="spellStart"/>
            <w:r w:rsidRPr="00577FFB">
              <w:rPr>
                <w:i w:val="0"/>
                <w:iCs/>
              </w:rPr>
              <w:t>sekojoši</w:t>
            </w:r>
            <w:proofErr w:type="spellEnd"/>
            <w:r w:rsidRPr="00577FFB">
              <w:rPr>
                <w:i w:val="0"/>
                <w:iCs/>
              </w:rPr>
              <w:t>:</w:t>
            </w:r>
            <w:r>
              <w:rPr>
                <w:i w:val="0"/>
                <w:iCs/>
              </w:rPr>
              <w:t xml:space="preserve"> </w:t>
            </w:r>
          </w:p>
          <w:p w14:paraId="3BAB23C2" w14:textId="77777777" w:rsidR="00657189" w:rsidRPr="00F70E0B" w:rsidRDefault="00657189" w:rsidP="00657189">
            <w:pPr>
              <w:pStyle w:val="ListParagraph"/>
              <w:numPr>
                <w:ilvl w:val="0"/>
                <w:numId w:val="48"/>
              </w:numPr>
            </w:pPr>
            <w:r w:rsidRPr="00074F53">
              <w:rPr>
                <w:rFonts w:eastAsia="Times New Roman"/>
                <w:bCs/>
                <w:lang w:val="lv-LV" w:eastAsia="lv-LV"/>
              </w:rPr>
              <w:t xml:space="preserve">attīstīt informācijas sistēmu un </w:t>
            </w:r>
            <w:proofErr w:type="spellStart"/>
            <w:r w:rsidRPr="00074F53">
              <w:rPr>
                <w:rFonts w:eastAsia="Times New Roman"/>
                <w:bCs/>
                <w:lang w:val="lv-LV" w:eastAsia="lv-LV"/>
              </w:rPr>
              <w:t>datubāzu</w:t>
            </w:r>
            <w:proofErr w:type="spellEnd"/>
            <w:r w:rsidRPr="00074F53">
              <w:rPr>
                <w:rFonts w:eastAsia="Times New Roman"/>
                <w:bCs/>
                <w:lang w:val="lv-LV" w:eastAsia="lv-LV"/>
              </w:rPr>
              <w:t xml:space="preserve"> </w:t>
            </w:r>
            <w:proofErr w:type="spellStart"/>
            <w:r w:rsidRPr="00074F53">
              <w:rPr>
                <w:rFonts w:eastAsia="Times New Roman"/>
                <w:bCs/>
                <w:lang w:val="lv-LV" w:eastAsia="lv-LV"/>
              </w:rPr>
              <w:t>sadarbspēju</w:t>
            </w:r>
            <w:proofErr w:type="spellEnd"/>
            <w:r>
              <w:rPr>
                <w:rFonts w:eastAsia="Times New Roman"/>
                <w:bCs/>
                <w:lang w:val="lv-LV" w:eastAsia="lv-LV"/>
              </w:rPr>
              <w:t>;</w:t>
            </w:r>
          </w:p>
          <w:p w14:paraId="2F87A650" w14:textId="77777777" w:rsidR="00657189" w:rsidRPr="00F70E0B" w:rsidRDefault="00657189" w:rsidP="00657189">
            <w:pPr>
              <w:pStyle w:val="ListParagraph"/>
              <w:numPr>
                <w:ilvl w:val="0"/>
                <w:numId w:val="48"/>
              </w:numPr>
            </w:pPr>
            <w:r w:rsidRPr="00074F53">
              <w:rPr>
                <w:rFonts w:eastAsia="Times New Roman"/>
                <w:bCs/>
                <w:lang w:val="lv-LV" w:eastAsia="lv-LV"/>
              </w:rPr>
              <w:t xml:space="preserve">Nacionālās </w:t>
            </w:r>
            <w:proofErr w:type="spellStart"/>
            <w:r w:rsidRPr="00074F53">
              <w:rPr>
                <w:rFonts w:eastAsia="Times New Roman"/>
                <w:bCs/>
                <w:lang w:val="lv-LV" w:eastAsia="lv-LV"/>
              </w:rPr>
              <w:t>kriminālizlūkošanas</w:t>
            </w:r>
            <w:proofErr w:type="spellEnd"/>
            <w:r w:rsidRPr="00074F53">
              <w:rPr>
                <w:rFonts w:eastAsia="Times New Roman"/>
                <w:bCs/>
                <w:lang w:val="lv-LV" w:eastAsia="lv-LV"/>
              </w:rPr>
              <w:t xml:space="preserve"> informācijas sistēmas izveide, nepieciešamās infrastruktūras un analītiskā rīka izveide un pilnveidošana, attīstot to </w:t>
            </w:r>
            <w:proofErr w:type="spellStart"/>
            <w:r w:rsidRPr="00074F53">
              <w:rPr>
                <w:rFonts w:eastAsia="Times New Roman"/>
                <w:bCs/>
                <w:lang w:val="lv-LV" w:eastAsia="lv-LV"/>
              </w:rPr>
              <w:t>Iekšlietu</w:t>
            </w:r>
            <w:proofErr w:type="spellEnd"/>
            <w:r w:rsidRPr="00074F53">
              <w:rPr>
                <w:rFonts w:eastAsia="Times New Roman"/>
                <w:bCs/>
                <w:lang w:val="lv-LV" w:eastAsia="lv-LV"/>
              </w:rPr>
              <w:t xml:space="preserve"> ministrijas sistēmas iestādēs</w:t>
            </w:r>
            <w:r>
              <w:rPr>
                <w:rFonts w:eastAsia="Times New Roman"/>
                <w:bCs/>
                <w:lang w:val="lv-LV" w:eastAsia="lv-LV"/>
              </w:rPr>
              <w:t>;</w:t>
            </w:r>
          </w:p>
          <w:p w14:paraId="020426EE" w14:textId="77777777" w:rsidR="00657189" w:rsidRPr="00F70E0B" w:rsidRDefault="00657189" w:rsidP="00657189">
            <w:pPr>
              <w:pStyle w:val="ListParagraph"/>
              <w:numPr>
                <w:ilvl w:val="0"/>
                <w:numId w:val="48"/>
              </w:numPr>
            </w:pPr>
            <w:r w:rsidRPr="00074F53">
              <w:rPr>
                <w:rFonts w:eastAsia="Times New Roman"/>
                <w:lang w:val="lv-LV" w:eastAsia="lv-LV"/>
              </w:rPr>
              <w:t xml:space="preserve">efektivitātes palielināšana cīņā pret </w:t>
            </w:r>
            <w:proofErr w:type="spellStart"/>
            <w:r w:rsidRPr="00074F53">
              <w:rPr>
                <w:rFonts w:eastAsia="Times New Roman"/>
                <w:lang w:val="lv-LV" w:eastAsia="lv-LV"/>
              </w:rPr>
              <w:t>kibernoziedzību</w:t>
            </w:r>
            <w:proofErr w:type="spellEnd"/>
            <w:r w:rsidRPr="00074F53">
              <w:rPr>
                <w:lang w:val="lv-LV"/>
              </w:rPr>
              <w:t xml:space="preserve"> </w:t>
            </w:r>
            <w:r w:rsidRPr="00074F53">
              <w:rPr>
                <w:rFonts w:eastAsia="Times New Roman"/>
                <w:lang w:val="lv-LV" w:eastAsia="lv-LV"/>
              </w:rPr>
              <w:t xml:space="preserve">un ar </w:t>
            </w:r>
            <w:proofErr w:type="spellStart"/>
            <w:r w:rsidRPr="00074F53">
              <w:rPr>
                <w:rFonts w:eastAsia="Times New Roman"/>
                <w:lang w:val="lv-LV" w:eastAsia="lv-LV"/>
              </w:rPr>
              <w:t>kibernoziedzību</w:t>
            </w:r>
            <w:proofErr w:type="spellEnd"/>
            <w:r w:rsidRPr="00074F53">
              <w:rPr>
                <w:rFonts w:eastAsia="Times New Roman"/>
                <w:lang w:val="lv-LV" w:eastAsia="lv-LV"/>
              </w:rPr>
              <w:t xml:space="preserve"> saistītajiem smagiem un sevišķi smagiem noziegumiem</w:t>
            </w:r>
            <w:r>
              <w:rPr>
                <w:rFonts w:eastAsia="Times New Roman"/>
                <w:lang w:val="lv-LV" w:eastAsia="lv-LV"/>
              </w:rPr>
              <w:t>;</w:t>
            </w:r>
          </w:p>
          <w:p w14:paraId="74562018" w14:textId="77777777" w:rsidR="00657189" w:rsidRPr="00F70E0B" w:rsidRDefault="00657189" w:rsidP="00657189">
            <w:pPr>
              <w:pStyle w:val="ListParagraph"/>
              <w:numPr>
                <w:ilvl w:val="0"/>
                <w:numId w:val="48"/>
              </w:numPr>
            </w:pPr>
            <w:r w:rsidRPr="00074F53">
              <w:rPr>
                <w:iCs/>
                <w:lang w:val="lv-LV"/>
              </w:rPr>
              <w:t>attīstīt tiesībaizsardzības iestāžu (TAI) sistēmu un investēt tās cilvēkresursos un izglītībā, radot tiesiski drošu dzīves un investīciju vidi, kā arī priekšnoteikumus efektīvākai kriminālprocesu virzībai, tiesas spriešanai un cīņai pret korupciju</w:t>
            </w:r>
            <w:r>
              <w:rPr>
                <w:iCs/>
                <w:lang w:val="lv-LV"/>
              </w:rPr>
              <w:t>;</w:t>
            </w:r>
          </w:p>
          <w:p w14:paraId="271A3C4C" w14:textId="77777777" w:rsidR="00657189" w:rsidRPr="00F70E0B" w:rsidRDefault="00657189" w:rsidP="00657189">
            <w:pPr>
              <w:pStyle w:val="ListParagraph"/>
              <w:numPr>
                <w:ilvl w:val="0"/>
                <w:numId w:val="48"/>
              </w:numPr>
            </w:pPr>
            <w:r w:rsidRPr="00074F53">
              <w:rPr>
                <w:rFonts w:eastAsiaTheme="minorHAnsi"/>
                <w:iCs/>
                <w:lang w:val="lv-LV"/>
              </w:rPr>
              <w:t>V</w:t>
            </w:r>
            <w:r>
              <w:rPr>
                <w:rFonts w:eastAsiaTheme="minorHAnsi"/>
                <w:iCs/>
                <w:lang w:val="lv-LV"/>
              </w:rPr>
              <w:t>alsts policijas</w:t>
            </w:r>
            <w:r w:rsidRPr="00074F53">
              <w:rPr>
                <w:rFonts w:eastAsiaTheme="minorHAnsi"/>
                <w:iCs/>
                <w:lang w:val="lv-LV"/>
              </w:rPr>
              <w:t xml:space="preserve"> operatīvās vadības struktūrvienību materiāltehniskā nodrošinājuma uzlabošan</w:t>
            </w:r>
            <w:r>
              <w:rPr>
                <w:rFonts w:eastAsiaTheme="minorHAnsi"/>
                <w:iCs/>
                <w:lang w:val="lv-LV"/>
              </w:rPr>
              <w:t>a</w:t>
            </w:r>
            <w:r w:rsidRPr="00074F53">
              <w:rPr>
                <w:rFonts w:eastAsiaTheme="minorHAnsi"/>
                <w:iCs/>
                <w:lang w:val="lv-LV"/>
              </w:rPr>
              <w:t>, iegādājoties un pielāgojot pārvietojamo operatīvās vadības centru, lai pilnveidotu VP resursu koordināciju un situācijas pārvaldību lielu pasākumu, krīžu un operāciju gadījumos</w:t>
            </w:r>
            <w:r>
              <w:rPr>
                <w:rFonts w:eastAsiaTheme="minorHAnsi"/>
                <w:iCs/>
                <w:lang w:val="lv-LV"/>
              </w:rPr>
              <w:t>;</w:t>
            </w:r>
          </w:p>
          <w:p w14:paraId="3487F8AA" w14:textId="77777777" w:rsidR="00657189" w:rsidRPr="00E85A35" w:rsidRDefault="00657189" w:rsidP="00657189">
            <w:pPr>
              <w:pStyle w:val="ListParagraph"/>
              <w:numPr>
                <w:ilvl w:val="0"/>
                <w:numId w:val="48"/>
              </w:numPr>
            </w:pPr>
            <w:r w:rsidRPr="00074F53">
              <w:rPr>
                <w:iCs/>
                <w:lang w:val="lv-LV"/>
              </w:rPr>
              <w:t>aprīkot noziedzīgos nodarījumos cietušo nepilngadīgo un īpaši aizsargājamo personu pratināšanas telpas, palīdzības veicināšanai kriminālprocesā noziegumos cietušajiem un īpaši neaizsargātām personām (jo īpaši bērniem)</w:t>
            </w:r>
            <w:r>
              <w:rPr>
                <w:iCs/>
                <w:lang w:val="lv-LV"/>
              </w:rPr>
              <w:t>;</w:t>
            </w:r>
          </w:p>
          <w:p w14:paraId="5F5B6F6B" w14:textId="77777777" w:rsidR="00657189" w:rsidRPr="00E85A35" w:rsidRDefault="00657189" w:rsidP="00657189">
            <w:pPr>
              <w:pStyle w:val="ListParagraph"/>
              <w:numPr>
                <w:ilvl w:val="0"/>
                <w:numId w:val="48"/>
              </w:numPr>
            </w:pPr>
            <w:r w:rsidRPr="00074F53">
              <w:rPr>
                <w:rFonts w:eastAsiaTheme="minorHAnsi"/>
                <w:iCs/>
                <w:lang w:val="lv-LV" w:eastAsia="lv-LV"/>
              </w:rPr>
              <w:t>radīt mācību vidi, kas nodrošinātu, ka cīņa pret visu veidu noziedzību un terorismu ir kvalitatīva un efektīva</w:t>
            </w:r>
            <w:r>
              <w:rPr>
                <w:rFonts w:eastAsiaTheme="minorHAnsi"/>
                <w:iCs/>
                <w:lang w:val="lv-LV" w:eastAsia="lv-LV"/>
              </w:rPr>
              <w:t>;</w:t>
            </w:r>
          </w:p>
          <w:p w14:paraId="51CE37A8" w14:textId="77777777" w:rsidR="00657189" w:rsidRPr="00E85A35" w:rsidRDefault="00657189" w:rsidP="00657189">
            <w:pPr>
              <w:pStyle w:val="ListParagraph"/>
              <w:numPr>
                <w:ilvl w:val="0"/>
                <w:numId w:val="48"/>
              </w:numPr>
            </w:pPr>
            <w:r w:rsidRPr="00074F53">
              <w:rPr>
                <w:iCs/>
                <w:lang w:val="lv-LV" w:eastAsia="lv-LV"/>
              </w:rPr>
              <w:t>stiprināt tiesībaizsardzības spējas noziedzības un terorisma apkarošanas un novēršanas jomā</w:t>
            </w:r>
            <w:r>
              <w:rPr>
                <w:iCs/>
                <w:lang w:val="lv-LV" w:eastAsia="lv-LV"/>
              </w:rPr>
              <w:t>.</w:t>
            </w:r>
          </w:p>
          <w:p w14:paraId="6F3A156D" w14:textId="77777777" w:rsidR="00657189" w:rsidRDefault="00657189" w:rsidP="00657189">
            <w:pPr>
              <w:pStyle w:val="ListParagraph"/>
            </w:pPr>
          </w:p>
          <w:p w14:paraId="2254D7EF" w14:textId="77777777" w:rsidR="00657189" w:rsidRDefault="00657189" w:rsidP="00657189">
            <w:pPr>
              <w:ind w:firstLine="602"/>
              <w:rPr>
                <w:b/>
                <w:bCs/>
                <w:u w:val="single"/>
              </w:rPr>
            </w:pPr>
            <w:proofErr w:type="spellStart"/>
            <w:r w:rsidRPr="00F70E0B">
              <w:rPr>
                <w:b/>
                <w:bCs/>
                <w:u w:val="single"/>
              </w:rPr>
              <w:t>Konkrētās</w:t>
            </w:r>
            <w:proofErr w:type="spellEnd"/>
            <w:r w:rsidRPr="00F70E0B">
              <w:rPr>
                <w:b/>
                <w:bCs/>
                <w:u w:val="single"/>
              </w:rPr>
              <w:t xml:space="preserve"> </w:t>
            </w:r>
            <w:proofErr w:type="spellStart"/>
            <w:r w:rsidRPr="00F70E0B">
              <w:rPr>
                <w:b/>
                <w:bCs/>
                <w:u w:val="single"/>
              </w:rPr>
              <w:t>darbības</w:t>
            </w:r>
            <w:proofErr w:type="spellEnd"/>
            <w:r w:rsidRPr="00F70E0B">
              <w:rPr>
                <w:b/>
                <w:bCs/>
                <w:u w:val="single"/>
              </w:rPr>
              <w:t>:</w:t>
            </w:r>
          </w:p>
          <w:p w14:paraId="2BEC9D81" w14:textId="19C8F880" w:rsidR="00657189" w:rsidRDefault="00657189" w:rsidP="00657189">
            <w:pPr>
              <w:ind w:firstLine="602"/>
              <w:rPr>
                <w:iCs/>
              </w:rPr>
            </w:pPr>
            <w:proofErr w:type="spellStart"/>
            <w:r w:rsidRPr="00E85A35">
              <w:rPr>
                <w:iCs/>
              </w:rPr>
              <w:t>Grāmatvedības</w:t>
            </w:r>
            <w:proofErr w:type="spellEnd"/>
            <w:r w:rsidRPr="00E85A35">
              <w:rPr>
                <w:iCs/>
              </w:rPr>
              <w:t xml:space="preserve"> </w:t>
            </w:r>
            <w:proofErr w:type="spellStart"/>
            <w:r w:rsidRPr="00E85A35">
              <w:rPr>
                <w:iCs/>
              </w:rPr>
              <w:t>periodā</w:t>
            </w:r>
            <w:proofErr w:type="spellEnd"/>
            <w:r w:rsidRPr="00E85A35">
              <w:rPr>
                <w:iCs/>
              </w:rPr>
              <w:t xml:space="preserve"> tika </w:t>
            </w:r>
            <w:proofErr w:type="spellStart"/>
            <w:r w:rsidRPr="00E85A35">
              <w:rPr>
                <w:iCs/>
              </w:rPr>
              <w:t>turpināta</w:t>
            </w:r>
            <w:proofErr w:type="spellEnd"/>
            <w:r w:rsidRPr="00E85A35">
              <w:rPr>
                <w:iCs/>
              </w:rPr>
              <w:t xml:space="preserve"> 1 </w:t>
            </w:r>
            <w:proofErr w:type="spellStart"/>
            <w:r w:rsidRPr="00E85A35">
              <w:rPr>
                <w:iCs/>
              </w:rPr>
              <w:t>projekta</w:t>
            </w:r>
            <w:proofErr w:type="spellEnd"/>
            <w:r w:rsidRPr="00E85A35">
              <w:rPr>
                <w:iCs/>
              </w:rPr>
              <w:t xml:space="preserve"> un </w:t>
            </w:r>
            <w:proofErr w:type="spellStart"/>
            <w:r w:rsidRPr="00E85A35">
              <w:rPr>
                <w:iCs/>
              </w:rPr>
              <w:t>uzsākta</w:t>
            </w:r>
            <w:proofErr w:type="spellEnd"/>
            <w:r w:rsidRPr="00E85A35">
              <w:rPr>
                <w:iCs/>
              </w:rPr>
              <w:t xml:space="preserve"> 1 </w:t>
            </w:r>
            <w:proofErr w:type="spellStart"/>
            <w:r w:rsidRPr="00E85A35">
              <w:rPr>
                <w:iCs/>
              </w:rPr>
              <w:t>jauna</w:t>
            </w:r>
            <w:proofErr w:type="spellEnd"/>
            <w:r w:rsidRPr="00E85A35">
              <w:rPr>
                <w:iCs/>
              </w:rPr>
              <w:t xml:space="preserve"> </w:t>
            </w:r>
            <w:proofErr w:type="spellStart"/>
            <w:r w:rsidRPr="00E85A35">
              <w:rPr>
                <w:iCs/>
              </w:rPr>
              <w:t>projekta</w:t>
            </w:r>
            <w:proofErr w:type="spellEnd"/>
            <w:r w:rsidRPr="00E85A35">
              <w:rPr>
                <w:iCs/>
              </w:rPr>
              <w:t xml:space="preserve"> </w:t>
            </w:r>
            <w:proofErr w:type="spellStart"/>
            <w:r w:rsidRPr="00E85A35">
              <w:rPr>
                <w:iCs/>
              </w:rPr>
              <w:t>īstenošana</w:t>
            </w:r>
            <w:proofErr w:type="spellEnd"/>
            <w:r w:rsidRPr="00E85A35">
              <w:rPr>
                <w:iCs/>
              </w:rPr>
              <w:t xml:space="preserve">, </w:t>
            </w:r>
            <w:proofErr w:type="spellStart"/>
            <w:r w:rsidRPr="00E85A35">
              <w:rPr>
                <w:iCs/>
              </w:rPr>
              <w:t>kā</w:t>
            </w:r>
            <w:proofErr w:type="spellEnd"/>
            <w:r w:rsidRPr="00E85A35">
              <w:rPr>
                <w:iCs/>
              </w:rPr>
              <w:t xml:space="preserve"> </w:t>
            </w:r>
            <w:proofErr w:type="spellStart"/>
            <w:r w:rsidRPr="00E85A35">
              <w:rPr>
                <w:iCs/>
              </w:rPr>
              <w:t>arī</w:t>
            </w:r>
            <w:proofErr w:type="spellEnd"/>
            <w:r w:rsidRPr="00E85A35">
              <w:rPr>
                <w:iCs/>
              </w:rPr>
              <w:t xml:space="preserve"> </w:t>
            </w:r>
            <w:proofErr w:type="spellStart"/>
            <w:r w:rsidRPr="00E85A35">
              <w:rPr>
                <w:iCs/>
              </w:rPr>
              <w:t>pabeigts</w:t>
            </w:r>
            <w:proofErr w:type="spellEnd"/>
            <w:r w:rsidRPr="00E85A35">
              <w:rPr>
                <w:iCs/>
              </w:rPr>
              <w:t xml:space="preserve"> 1 </w:t>
            </w:r>
            <w:proofErr w:type="spellStart"/>
            <w:r w:rsidRPr="00E85A35">
              <w:rPr>
                <w:iCs/>
              </w:rPr>
              <w:t>projekts</w:t>
            </w:r>
            <w:proofErr w:type="spellEnd"/>
            <w:r w:rsidRPr="00E85A35">
              <w:rPr>
                <w:iCs/>
              </w:rPr>
              <w:t xml:space="preserve">. </w:t>
            </w:r>
          </w:p>
          <w:p w14:paraId="4DF2001F" w14:textId="77777777" w:rsidR="00657189" w:rsidRPr="00E85A35" w:rsidRDefault="00657189" w:rsidP="00657189">
            <w:pPr>
              <w:ind w:firstLine="602"/>
              <w:rPr>
                <w:iCs/>
              </w:rPr>
            </w:pPr>
          </w:p>
          <w:p w14:paraId="2F6321C0" w14:textId="77777777" w:rsidR="00657189" w:rsidRPr="00E85A35" w:rsidRDefault="00657189" w:rsidP="0003467C">
            <w:pPr>
              <w:ind w:firstLine="602"/>
              <w:rPr>
                <w:iCs/>
              </w:rPr>
            </w:pPr>
            <w:proofErr w:type="spellStart"/>
            <w:r w:rsidRPr="00E85A35">
              <w:rPr>
                <w:iCs/>
              </w:rPr>
              <w:t>Projektu</w:t>
            </w:r>
            <w:proofErr w:type="spellEnd"/>
            <w:r w:rsidRPr="00E85A35">
              <w:rPr>
                <w:iCs/>
              </w:rPr>
              <w:t xml:space="preserve"> </w:t>
            </w:r>
            <w:proofErr w:type="spellStart"/>
            <w:r w:rsidRPr="00E85A35">
              <w:rPr>
                <w:iCs/>
              </w:rPr>
              <w:t>mērķi</w:t>
            </w:r>
            <w:proofErr w:type="spellEnd"/>
            <w:r w:rsidRPr="00E85A35">
              <w:rPr>
                <w:iCs/>
              </w:rPr>
              <w:t>:</w:t>
            </w:r>
          </w:p>
          <w:p w14:paraId="09128BF5" w14:textId="77777777" w:rsidR="00657189" w:rsidRPr="00E85A35" w:rsidRDefault="00657189" w:rsidP="0003467C">
            <w:pPr>
              <w:pStyle w:val="ListParagraph"/>
              <w:numPr>
                <w:ilvl w:val="0"/>
                <w:numId w:val="50"/>
              </w:numPr>
            </w:pPr>
            <w:r w:rsidRPr="00074F53">
              <w:rPr>
                <w:iCs/>
                <w:lang w:val="lv-LV"/>
              </w:rPr>
              <w:t xml:space="preserve">stiprināt starptautisko sadarbību starp ES dalībvalstīm un trešajām pusēm, kuru mērķis ir augsta riska noziedznieku tīklu atklāšana, kas uzturas Kosta </w:t>
            </w:r>
            <w:proofErr w:type="spellStart"/>
            <w:r w:rsidRPr="00074F53">
              <w:rPr>
                <w:iCs/>
                <w:lang w:val="lv-LV"/>
              </w:rPr>
              <w:t>del</w:t>
            </w:r>
            <w:proofErr w:type="spellEnd"/>
            <w:r w:rsidRPr="00074F53">
              <w:rPr>
                <w:iCs/>
                <w:lang w:val="lv-LV"/>
              </w:rPr>
              <w:t xml:space="preserve"> Solā, Spānijā un/vai to noziedznieku tīklu atklāšanu, kuri darbojas no šīs vietas un ietekmē ES un pārrobežu narkotiku tirgu</w:t>
            </w:r>
            <w:r>
              <w:rPr>
                <w:iCs/>
                <w:lang w:val="lv-LV"/>
              </w:rPr>
              <w:t>;</w:t>
            </w:r>
          </w:p>
          <w:p w14:paraId="278FFB3D" w14:textId="77777777" w:rsidR="00657189" w:rsidRPr="00E85A35" w:rsidRDefault="00657189" w:rsidP="0003467C">
            <w:pPr>
              <w:pStyle w:val="ListParagraph"/>
              <w:numPr>
                <w:ilvl w:val="0"/>
                <w:numId w:val="50"/>
              </w:numPr>
            </w:pPr>
            <w:r w:rsidRPr="00074F53">
              <w:rPr>
                <w:iCs/>
                <w:lang w:val="lv-LV"/>
              </w:rPr>
              <w:t>mazināt nelegālo akcīzes preču apriti un akcīzes nodokļa plaisu Baltijas reģionā, paaugstinot TAI darbības efektivitāti un tehniskās spējas cīņā pret ēnu ekonomiku, apkarojot nelegālo tabakas izstrādājumu, degvielas un alkohola kontrabandu Baltijas reģionā un ES</w:t>
            </w:r>
            <w:r>
              <w:rPr>
                <w:iCs/>
                <w:lang w:val="lv-LV"/>
              </w:rPr>
              <w:t>;</w:t>
            </w:r>
          </w:p>
          <w:p w14:paraId="59A626B4" w14:textId="77777777" w:rsidR="00657189" w:rsidRPr="00E85A35" w:rsidRDefault="00657189" w:rsidP="0003467C">
            <w:pPr>
              <w:pStyle w:val="ListParagraph"/>
              <w:numPr>
                <w:ilvl w:val="0"/>
                <w:numId w:val="50"/>
              </w:numPr>
            </w:pPr>
            <w:r w:rsidRPr="00074F53">
              <w:rPr>
                <w:iCs/>
                <w:lang w:val="lv-LV"/>
              </w:rPr>
              <w:t>uzlabot pārrobežu sadarbību starp tiesībaizsardzības iestādēm Baltijas jūras reģionā, lai varētu efektīvi risināt jaunus apdraudējumus, kas rodas reģionā</w:t>
            </w:r>
            <w:r>
              <w:rPr>
                <w:iCs/>
                <w:lang w:val="lv-LV"/>
              </w:rPr>
              <w:t>.</w:t>
            </w:r>
          </w:p>
          <w:p w14:paraId="3A1B0447" w14:textId="66D8D743" w:rsidR="0006054D" w:rsidRDefault="0006054D" w:rsidP="0006054D">
            <w:pPr>
              <w:pStyle w:val="Personnequisigne"/>
              <w:spacing w:before="240" w:after="120"/>
              <w:jc w:val="both"/>
              <w:rPr>
                <w:b/>
                <w:i w:val="0"/>
                <w:szCs w:val="24"/>
              </w:rPr>
            </w:pPr>
            <w:r w:rsidRPr="00F85E52">
              <w:rPr>
                <w:b/>
                <w:i w:val="0"/>
                <w:szCs w:val="24"/>
              </w:rPr>
              <w:t xml:space="preserve">b) </w:t>
            </w:r>
            <w:proofErr w:type="spellStart"/>
            <w:r w:rsidRPr="00F85E52">
              <w:rPr>
                <w:b/>
                <w:i w:val="0"/>
                <w:szCs w:val="24"/>
              </w:rPr>
              <w:t>Jau</w:t>
            </w:r>
            <w:r>
              <w:rPr>
                <w:b/>
                <w:i w:val="0"/>
                <w:szCs w:val="24"/>
              </w:rPr>
              <w:t>t</w:t>
            </w:r>
            <w:r w:rsidRPr="00F85E52">
              <w:rPr>
                <w:b/>
                <w:i w:val="0"/>
                <w:szCs w:val="24"/>
              </w:rPr>
              <w:t>ājumi</w:t>
            </w:r>
            <w:proofErr w:type="spellEnd"/>
            <w:r w:rsidRPr="00F85E52">
              <w:rPr>
                <w:b/>
                <w:i w:val="0"/>
                <w:szCs w:val="24"/>
              </w:rPr>
              <w:t xml:space="preserve">, kas </w:t>
            </w:r>
            <w:proofErr w:type="spellStart"/>
            <w:r w:rsidRPr="00F85E52">
              <w:rPr>
                <w:b/>
                <w:i w:val="0"/>
                <w:szCs w:val="24"/>
              </w:rPr>
              <w:t>ietekmē</w:t>
            </w:r>
            <w:proofErr w:type="spellEnd"/>
            <w:r w:rsidRPr="00F85E52">
              <w:rPr>
                <w:b/>
                <w:i w:val="0"/>
                <w:szCs w:val="24"/>
              </w:rPr>
              <w:t xml:space="preserve"> </w:t>
            </w:r>
            <w:proofErr w:type="spellStart"/>
            <w:r w:rsidRPr="00F85E52">
              <w:rPr>
                <w:b/>
                <w:i w:val="0"/>
                <w:szCs w:val="24"/>
              </w:rPr>
              <w:t>programmas</w:t>
            </w:r>
            <w:proofErr w:type="spellEnd"/>
            <w:r w:rsidRPr="00F85E52">
              <w:rPr>
                <w:b/>
                <w:i w:val="0"/>
                <w:szCs w:val="24"/>
              </w:rPr>
              <w:t xml:space="preserve"> </w:t>
            </w:r>
            <w:proofErr w:type="spellStart"/>
            <w:r w:rsidRPr="00F85E52">
              <w:rPr>
                <w:b/>
                <w:i w:val="0"/>
                <w:szCs w:val="24"/>
              </w:rPr>
              <w:t>sniegumu</w:t>
            </w:r>
            <w:proofErr w:type="spellEnd"/>
          </w:p>
          <w:p w14:paraId="18D0B288" w14:textId="3ECE5BFF" w:rsidR="00657189" w:rsidRPr="00074F53" w:rsidRDefault="00657189" w:rsidP="00657189">
            <w:pPr>
              <w:pStyle w:val="CommentText"/>
              <w:numPr>
                <w:ilvl w:val="0"/>
                <w:numId w:val="46"/>
              </w:numPr>
              <w:rPr>
                <w:sz w:val="22"/>
                <w:szCs w:val="22"/>
                <w:lang w:val="lv-LV"/>
              </w:rPr>
            </w:pPr>
            <w:r w:rsidRPr="00074F53">
              <w:rPr>
                <w:sz w:val="22"/>
                <w:szCs w:val="22"/>
                <w:lang w:val="lv-LV"/>
              </w:rPr>
              <w:t xml:space="preserve">IDF programmas rādītāju metodoloģijas izstrāde, ņemot vērā pieaugošo informācijas detalizāciju, salīdzinot ar iepriekšējo plānošanas periodu, un vadošās iestādes personāla mainību. Papildus, Migrācijas un patvēruma </w:t>
            </w:r>
            <w:proofErr w:type="spellStart"/>
            <w:r w:rsidRPr="00074F53">
              <w:rPr>
                <w:sz w:val="22"/>
                <w:szCs w:val="22"/>
                <w:lang w:val="lv-LV"/>
              </w:rPr>
              <w:t>pakta</w:t>
            </w:r>
            <w:proofErr w:type="spellEnd"/>
            <w:r w:rsidRPr="00074F53">
              <w:rPr>
                <w:sz w:val="22"/>
                <w:szCs w:val="22"/>
                <w:lang w:val="lv-LV"/>
              </w:rPr>
              <w:t xml:space="preserve"> konkrētās darbības projekta pieteikuma izstrādes laiks sakrita ar rādītāju metodoloģijas sagatavošanu, tādēļ nācās pārskatīt un aktualizēt sagatavoto metodoloģiju, ņemot vērā arī projektus, kas tiks īstenoti Migrācijas un patvēruma </w:t>
            </w:r>
            <w:proofErr w:type="spellStart"/>
            <w:r w:rsidRPr="00074F53">
              <w:rPr>
                <w:sz w:val="22"/>
                <w:szCs w:val="22"/>
                <w:lang w:val="lv-LV"/>
              </w:rPr>
              <w:t>pakta</w:t>
            </w:r>
            <w:proofErr w:type="spellEnd"/>
            <w:r w:rsidRPr="00074F53">
              <w:rPr>
                <w:sz w:val="22"/>
                <w:szCs w:val="22"/>
                <w:lang w:val="lv-LV"/>
              </w:rPr>
              <w:t xml:space="preserve"> ietvaros</w:t>
            </w:r>
            <w:r>
              <w:rPr>
                <w:sz w:val="22"/>
                <w:szCs w:val="22"/>
                <w:lang w:val="lv-LV"/>
              </w:rPr>
              <w:t>;</w:t>
            </w:r>
          </w:p>
          <w:p w14:paraId="195DCA33" w14:textId="77777777" w:rsidR="00657189" w:rsidRPr="00BF392C" w:rsidRDefault="00657189" w:rsidP="00657189">
            <w:pPr>
              <w:pStyle w:val="Personnequisigne"/>
              <w:keepNext/>
              <w:numPr>
                <w:ilvl w:val="0"/>
                <w:numId w:val="46"/>
              </w:numPr>
              <w:jc w:val="both"/>
              <w:rPr>
                <w:i w:val="0"/>
                <w:szCs w:val="24"/>
              </w:rPr>
            </w:pPr>
            <w:proofErr w:type="spellStart"/>
            <w:r w:rsidRPr="00BF392C">
              <w:rPr>
                <w:i w:val="0"/>
                <w:szCs w:val="24"/>
              </w:rPr>
              <w:t>programmas</w:t>
            </w:r>
            <w:proofErr w:type="spellEnd"/>
            <w:r w:rsidRPr="00BF392C">
              <w:rPr>
                <w:i w:val="0"/>
                <w:szCs w:val="24"/>
              </w:rPr>
              <w:t xml:space="preserve"> </w:t>
            </w:r>
            <w:proofErr w:type="spellStart"/>
            <w:r w:rsidRPr="00BF392C">
              <w:rPr>
                <w:i w:val="0"/>
                <w:szCs w:val="24"/>
              </w:rPr>
              <w:t>novēlota</w:t>
            </w:r>
            <w:proofErr w:type="spellEnd"/>
            <w:r w:rsidRPr="00BF392C">
              <w:rPr>
                <w:i w:val="0"/>
                <w:szCs w:val="24"/>
              </w:rPr>
              <w:t xml:space="preserve"> </w:t>
            </w:r>
            <w:proofErr w:type="spellStart"/>
            <w:r w:rsidRPr="00BF392C">
              <w:rPr>
                <w:i w:val="0"/>
                <w:szCs w:val="24"/>
              </w:rPr>
              <w:t>pieņemšana</w:t>
            </w:r>
            <w:proofErr w:type="spellEnd"/>
            <w:r w:rsidRPr="00BF392C">
              <w:rPr>
                <w:i w:val="0"/>
                <w:szCs w:val="24"/>
              </w:rPr>
              <w:t>, kas</w:t>
            </w:r>
            <w:r>
              <w:rPr>
                <w:i w:val="0"/>
                <w:szCs w:val="24"/>
              </w:rPr>
              <w:t xml:space="preserve"> </w:t>
            </w:r>
            <w:proofErr w:type="spellStart"/>
            <w:r w:rsidRPr="00BF392C">
              <w:rPr>
                <w:i w:val="0"/>
                <w:szCs w:val="24"/>
              </w:rPr>
              <w:t>kavēja</w:t>
            </w:r>
            <w:proofErr w:type="spellEnd"/>
            <w:r w:rsidRPr="00BF392C">
              <w:rPr>
                <w:i w:val="0"/>
                <w:szCs w:val="24"/>
              </w:rPr>
              <w:t xml:space="preserve"> </w:t>
            </w:r>
            <w:proofErr w:type="spellStart"/>
            <w:r w:rsidRPr="00BF392C">
              <w:rPr>
                <w:i w:val="0"/>
                <w:szCs w:val="24"/>
              </w:rPr>
              <w:t>programmas</w:t>
            </w:r>
            <w:proofErr w:type="spellEnd"/>
            <w:r w:rsidRPr="00BF392C">
              <w:rPr>
                <w:i w:val="0"/>
                <w:szCs w:val="24"/>
              </w:rPr>
              <w:t xml:space="preserve"> </w:t>
            </w:r>
            <w:proofErr w:type="spellStart"/>
            <w:r w:rsidRPr="00BF392C">
              <w:rPr>
                <w:i w:val="0"/>
                <w:szCs w:val="24"/>
              </w:rPr>
              <w:t>īstenošanu</w:t>
            </w:r>
            <w:proofErr w:type="spellEnd"/>
            <w:r w:rsidRPr="00BF392C">
              <w:rPr>
                <w:i w:val="0"/>
                <w:szCs w:val="24"/>
              </w:rPr>
              <w:t xml:space="preserve"> un </w:t>
            </w:r>
            <w:proofErr w:type="spellStart"/>
            <w:r w:rsidRPr="00BF392C">
              <w:rPr>
                <w:i w:val="0"/>
                <w:szCs w:val="24"/>
              </w:rPr>
              <w:t>projektu</w:t>
            </w:r>
            <w:proofErr w:type="spellEnd"/>
            <w:r w:rsidRPr="00BF392C">
              <w:rPr>
                <w:i w:val="0"/>
                <w:szCs w:val="24"/>
              </w:rPr>
              <w:t xml:space="preserve"> </w:t>
            </w:r>
            <w:proofErr w:type="spellStart"/>
            <w:r w:rsidRPr="00BF392C">
              <w:rPr>
                <w:i w:val="0"/>
                <w:szCs w:val="24"/>
              </w:rPr>
              <w:t>uzsākšanu</w:t>
            </w:r>
            <w:proofErr w:type="spellEnd"/>
            <w:r w:rsidRPr="00BF392C">
              <w:rPr>
                <w:i w:val="0"/>
                <w:szCs w:val="24"/>
              </w:rPr>
              <w:t xml:space="preserve">, </w:t>
            </w:r>
            <w:proofErr w:type="spellStart"/>
            <w:r w:rsidRPr="00BF392C">
              <w:rPr>
                <w:i w:val="0"/>
                <w:szCs w:val="24"/>
              </w:rPr>
              <w:t>tomēr</w:t>
            </w:r>
            <w:proofErr w:type="spellEnd"/>
            <w:r w:rsidRPr="00BF392C">
              <w:rPr>
                <w:i w:val="0"/>
                <w:szCs w:val="24"/>
              </w:rPr>
              <w:t xml:space="preserve"> </w:t>
            </w:r>
            <w:proofErr w:type="spellStart"/>
            <w:r w:rsidRPr="00BF392C">
              <w:rPr>
                <w:i w:val="0"/>
                <w:szCs w:val="24"/>
              </w:rPr>
              <w:t>atsevišķi</w:t>
            </w:r>
            <w:proofErr w:type="spellEnd"/>
            <w:r w:rsidRPr="00BF392C">
              <w:rPr>
                <w:i w:val="0"/>
                <w:szCs w:val="24"/>
              </w:rPr>
              <w:t xml:space="preserve"> </w:t>
            </w:r>
            <w:proofErr w:type="spellStart"/>
            <w:r w:rsidRPr="00BF392C">
              <w:rPr>
                <w:i w:val="0"/>
                <w:szCs w:val="24"/>
              </w:rPr>
              <w:t>projekti</w:t>
            </w:r>
            <w:proofErr w:type="spellEnd"/>
            <w:r w:rsidRPr="00BF392C">
              <w:rPr>
                <w:i w:val="0"/>
                <w:szCs w:val="24"/>
              </w:rPr>
              <w:t xml:space="preserve"> tika </w:t>
            </w:r>
            <w:proofErr w:type="spellStart"/>
            <w:r w:rsidRPr="00BF392C">
              <w:rPr>
                <w:i w:val="0"/>
                <w:szCs w:val="24"/>
              </w:rPr>
              <w:t>uzsākti</w:t>
            </w:r>
            <w:proofErr w:type="spellEnd"/>
            <w:r w:rsidRPr="00BF392C">
              <w:rPr>
                <w:i w:val="0"/>
                <w:szCs w:val="24"/>
              </w:rPr>
              <w:t xml:space="preserve"> </w:t>
            </w:r>
            <w:proofErr w:type="spellStart"/>
            <w:r w:rsidRPr="00BF392C">
              <w:rPr>
                <w:i w:val="0"/>
                <w:szCs w:val="24"/>
              </w:rPr>
              <w:t>pirms</w:t>
            </w:r>
            <w:proofErr w:type="spellEnd"/>
            <w:r w:rsidRPr="00BF392C">
              <w:rPr>
                <w:i w:val="0"/>
                <w:szCs w:val="24"/>
              </w:rPr>
              <w:t xml:space="preserve"> </w:t>
            </w:r>
            <w:proofErr w:type="spellStart"/>
            <w:r w:rsidRPr="00BF392C">
              <w:rPr>
                <w:i w:val="0"/>
                <w:szCs w:val="24"/>
              </w:rPr>
              <w:t>vienošanās</w:t>
            </w:r>
            <w:proofErr w:type="spellEnd"/>
            <w:r w:rsidRPr="00BF392C">
              <w:rPr>
                <w:i w:val="0"/>
                <w:szCs w:val="24"/>
              </w:rPr>
              <w:t xml:space="preserve"> par </w:t>
            </w:r>
            <w:proofErr w:type="spellStart"/>
            <w:r w:rsidRPr="00BF392C">
              <w:rPr>
                <w:i w:val="0"/>
                <w:szCs w:val="24"/>
              </w:rPr>
              <w:t>projektu</w:t>
            </w:r>
            <w:proofErr w:type="spellEnd"/>
            <w:r w:rsidRPr="00BF392C">
              <w:rPr>
                <w:i w:val="0"/>
                <w:szCs w:val="24"/>
              </w:rPr>
              <w:t xml:space="preserve"> </w:t>
            </w:r>
            <w:proofErr w:type="spellStart"/>
            <w:r w:rsidRPr="00BF392C">
              <w:rPr>
                <w:i w:val="0"/>
                <w:szCs w:val="24"/>
              </w:rPr>
              <w:t>īstenošanu</w:t>
            </w:r>
            <w:proofErr w:type="spellEnd"/>
            <w:r w:rsidRPr="00BF392C">
              <w:rPr>
                <w:i w:val="0"/>
                <w:szCs w:val="24"/>
              </w:rPr>
              <w:t xml:space="preserve"> </w:t>
            </w:r>
            <w:proofErr w:type="spellStart"/>
            <w:r w:rsidRPr="00BF392C">
              <w:rPr>
                <w:i w:val="0"/>
                <w:szCs w:val="24"/>
              </w:rPr>
              <w:t>noslēgšanas</w:t>
            </w:r>
            <w:proofErr w:type="spellEnd"/>
            <w:r w:rsidRPr="00BF392C">
              <w:rPr>
                <w:i w:val="0"/>
                <w:szCs w:val="24"/>
              </w:rPr>
              <w:t xml:space="preserve">, </w:t>
            </w:r>
            <w:proofErr w:type="spellStart"/>
            <w:r w:rsidRPr="00BF392C">
              <w:rPr>
                <w:i w:val="0"/>
                <w:szCs w:val="24"/>
              </w:rPr>
              <w:t>vēlāk</w:t>
            </w:r>
            <w:proofErr w:type="spellEnd"/>
            <w:r w:rsidRPr="00BF392C">
              <w:rPr>
                <w:i w:val="0"/>
                <w:szCs w:val="24"/>
              </w:rPr>
              <w:t xml:space="preserve"> </w:t>
            </w:r>
            <w:proofErr w:type="spellStart"/>
            <w:r w:rsidRPr="00BF392C">
              <w:rPr>
                <w:i w:val="0"/>
                <w:szCs w:val="24"/>
              </w:rPr>
              <w:t>attiecinot</w:t>
            </w:r>
            <w:proofErr w:type="spellEnd"/>
            <w:r w:rsidRPr="00BF392C">
              <w:rPr>
                <w:i w:val="0"/>
                <w:szCs w:val="24"/>
              </w:rPr>
              <w:t xml:space="preserve"> </w:t>
            </w:r>
            <w:proofErr w:type="spellStart"/>
            <w:r w:rsidRPr="00BF392C">
              <w:rPr>
                <w:i w:val="0"/>
                <w:szCs w:val="24"/>
              </w:rPr>
              <w:t>jau</w:t>
            </w:r>
            <w:proofErr w:type="spellEnd"/>
            <w:r w:rsidRPr="00BF392C">
              <w:rPr>
                <w:i w:val="0"/>
                <w:szCs w:val="24"/>
              </w:rPr>
              <w:t xml:space="preserve"> </w:t>
            </w:r>
            <w:proofErr w:type="spellStart"/>
            <w:r w:rsidRPr="00BF392C">
              <w:rPr>
                <w:i w:val="0"/>
                <w:szCs w:val="24"/>
              </w:rPr>
              <w:t>iepriekš</w:t>
            </w:r>
            <w:proofErr w:type="spellEnd"/>
            <w:r w:rsidRPr="00BF392C">
              <w:rPr>
                <w:i w:val="0"/>
                <w:szCs w:val="24"/>
              </w:rPr>
              <w:t xml:space="preserve"> </w:t>
            </w:r>
            <w:proofErr w:type="spellStart"/>
            <w:r w:rsidRPr="00BF392C">
              <w:rPr>
                <w:i w:val="0"/>
                <w:szCs w:val="24"/>
              </w:rPr>
              <w:t>veiktās</w:t>
            </w:r>
            <w:proofErr w:type="spellEnd"/>
            <w:r w:rsidRPr="00BF392C">
              <w:rPr>
                <w:i w:val="0"/>
                <w:szCs w:val="24"/>
              </w:rPr>
              <w:t xml:space="preserve"> </w:t>
            </w:r>
            <w:proofErr w:type="spellStart"/>
            <w:r w:rsidRPr="00BF392C">
              <w:rPr>
                <w:i w:val="0"/>
                <w:szCs w:val="24"/>
              </w:rPr>
              <w:t>izmaksas</w:t>
            </w:r>
            <w:proofErr w:type="spellEnd"/>
            <w:r>
              <w:rPr>
                <w:i w:val="0"/>
                <w:szCs w:val="24"/>
              </w:rPr>
              <w:t>;</w:t>
            </w:r>
          </w:p>
          <w:p w14:paraId="27C70327" w14:textId="0DA88A24" w:rsidR="00657189" w:rsidRPr="0003467C" w:rsidRDefault="00657189" w:rsidP="0003467C">
            <w:pPr>
              <w:pStyle w:val="Personnequisigne"/>
              <w:keepNext/>
              <w:numPr>
                <w:ilvl w:val="0"/>
                <w:numId w:val="46"/>
              </w:numPr>
              <w:jc w:val="both"/>
              <w:rPr>
                <w:i w:val="0"/>
                <w:szCs w:val="24"/>
              </w:rPr>
            </w:pPr>
            <w:proofErr w:type="spellStart"/>
            <w:r w:rsidRPr="00BF392C">
              <w:rPr>
                <w:i w:val="0"/>
                <w:szCs w:val="24"/>
              </w:rPr>
              <w:t>iekšējo</w:t>
            </w:r>
            <w:proofErr w:type="spellEnd"/>
            <w:r w:rsidRPr="00BF392C">
              <w:rPr>
                <w:i w:val="0"/>
                <w:szCs w:val="24"/>
              </w:rPr>
              <w:t xml:space="preserve"> </w:t>
            </w:r>
            <w:proofErr w:type="spellStart"/>
            <w:r w:rsidRPr="00BF392C">
              <w:rPr>
                <w:i w:val="0"/>
                <w:szCs w:val="24"/>
              </w:rPr>
              <w:t>procedūru</w:t>
            </w:r>
            <w:proofErr w:type="spellEnd"/>
            <w:r w:rsidRPr="00BF392C">
              <w:rPr>
                <w:i w:val="0"/>
                <w:szCs w:val="24"/>
              </w:rPr>
              <w:t xml:space="preserve"> </w:t>
            </w:r>
            <w:proofErr w:type="spellStart"/>
            <w:r w:rsidRPr="00BF392C">
              <w:rPr>
                <w:i w:val="0"/>
                <w:szCs w:val="24"/>
              </w:rPr>
              <w:t>izstrādes</w:t>
            </w:r>
            <w:proofErr w:type="spellEnd"/>
            <w:r w:rsidRPr="00BF392C">
              <w:rPr>
                <w:i w:val="0"/>
                <w:szCs w:val="24"/>
              </w:rPr>
              <w:t xml:space="preserve"> </w:t>
            </w:r>
            <w:proofErr w:type="spellStart"/>
            <w:r w:rsidRPr="00BF392C">
              <w:rPr>
                <w:i w:val="0"/>
                <w:szCs w:val="24"/>
              </w:rPr>
              <w:t>aizkavēšanās</w:t>
            </w:r>
            <w:proofErr w:type="spellEnd"/>
            <w:r w:rsidRPr="00BF392C">
              <w:rPr>
                <w:i w:val="0"/>
                <w:szCs w:val="24"/>
              </w:rPr>
              <w:t xml:space="preserve">, kas </w:t>
            </w:r>
            <w:proofErr w:type="spellStart"/>
            <w:r w:rsidRPr="00BF392C">
              <w:rPr>
                <w:i w:val="0"/>
                <w:szCs w:val="24"/>
              </w:rPr>
              <w:t>ietekmēja</w:t>
            </w:r>
            <w:proofErr w:type="spellEnd"/>
            <w:r w:rsidRPr="00BF392C">
              <w:rPr>
                <w:i w:val="0"/>
                <w:szCs w:val="24"/>
              </w:rPr>
              <w:t xml:space="preserve"> </w:t>
            </w:r>
            <w:proofErr w:type="spellStart"/>
            <w:r w:rsidRPr="00BF392C">
              <w:rPr>
                <w:i w:val="0"/>
                <w:szCs w:val="24"/>
              </w:rPr>
              <w:t>programmas</w:t>
            </w:r>
            <w:proofErr w:type="spellEnd"/>
            <w:r w:rsidRPr="00BF392C">
              <w:rPr>
                <w:i w:val="0"/>
                <w:szCs w:val="24"/>
              </w:rPr>
              <w:t xml:space="preserve"> </w:t>
            </w:r>
            <w:proofErr w:type="spellStart"/>
            <w:r w:rsidRPr="00BF392C">
              <w:rPr>
                <w:i w:val="0"/>
                <w:szCs w:val="24"/>
              </w:rPr>
              <w:t>ieviešanas</w:t>
            </w:r>
            <w:proofErr w:type="spellEnd"/>
            <w:r w:rsidRPr="00BF392C">
              <w:rPr>
                <w:i w:val="0"/>
                <w:szCs w:val="24"/>
              </w:rPr>
              <w:t xml:space="preserve"> </w:t>
            </w:r>
            <w:proofErr w:type="spellStart"/>
            <w:r w:rsidRPr="00BF392C">
              <w:rPr>
                <w:i w:val="0"/>
                <w:szCs w:val="24"/>
              </w:rPr>
              <w:t>Pārvaldības</w:t>
            </w:r>
            <w:proofErr w:type="spellEnd"/>
            <w:r w:rsidRPr="00BF392C">
              <w:rPr>
                <w:i w:val="0"/>
                <w:szCs w:val="24"/>
              </w:rPr>
              <w:t xml:space="preserve"> un </w:t>
            </w:r>
            <w:proofErr w:type="spellStart"/>
            <w:r w:rsidRPr="00BF392C">
              <w:rPr>
                <w:i w:val="0"/>
                <w:szCs w:val="24"/>
              </w:rPr>
              <w:t>kontroles</w:t>
            </w:r>
            <w:proofErr w:type="spellEnd"/>
            <w:r w:rsidRPr="00BF392C">
              <w:rPr>
                <w:i w:val="0"/>
                <w:szCs w:val="24"/>
              </w:rPr>
              <w:t xml:space="preserve"> </w:t>
            </w:r>
            <w:proofErr w:type="spellStart"/>
            <w:r w:rsidRPr="00BF392C">
              <w:rPr>
                <w:i w:val="0"/>
                <w:szCs w:val="24"/>
              </w:rPr>
              <w:t>sist</w:t>
            </w:r>
            <w:r>
              <w:rPr>
                <w:i w:val="0"/>
                <w:szCs w:val="24"/>
              </w:rPr>
              <w:t>ē</w:t>
            </w:r>
            <w:r w:rsidRPr="00BF392C">
              <w:rPr>
                <w:i w:val="0"/>
                <w:szCs w:val="24"/>
              </w:rPr>
              <w:t>mas</w:t>
            </w:r>
            <w:proofErr w:type="spellEnd"/>
            <w:r w:rsidRPr="00BF392C">
              <w:rPr>
                <w:i w:val="0"/>
                <w:szCs w:val="24"/>
              </w:rPr>
              <w:t xml:space="preserve"> </w:t>
            </w:r>
            <w:proofErr w:type="spellStart"/>
            <w:r w:rsidRPr="00BF392C">
              <w:rPr>
                <w:i w:val="0"/>
                <w:szCs w:val="24"/>
              </w:rPr>
              <w:t>apraksta</w:t>
            </w:r>
            <w:proofErr w:type="spellEnd"/>
            <w:r w:rsidRPr="00BF392C">
              <w:rPr>
                <w:i w:val="0"/>
                <w:szCs w:val="24"/>
              </w:rPr>
              <w:t xml:space="preserve"> </w:t>
            </w:r>
            <w:proofErr w:type="spellStart"/>
            <w:r w:rsidRPr="00BF392C">
              <w:rPr>
                <w:i w:val="0"/>
                <w:szCs w:val="24"/>
              </w:rPr>
              <w:t>izstrādi</w:t>
            </w:r>
            <w:proofErr w:type="spellEnd"/>
            <w:r w:rsidRPr="00BF392C">
              <w:rPr>
                <w:i w:val="0"/>
                <w:szCs w:val="24"/>
              </w:rPr>
              <w:t xml:space="preserve"> un </w:t>
            </w:r>
            <w:proofErr w:type="spellStart"/>
            <w:r w:rsidRPr="00BF392C">
              <w:rPr>
                <w:i w:val="0"/>
                <w:szCs w:val="24"/>
              </w:rPr>
              <w:t>apstiprināšanu</w:t>
            </w:r>
            <w:proofErr w:type="spellEnd"/>
            <w:r>
              <w:rPr>
                <w:i w:val="0"/>
                <w:szCs w:val="24"/>
              </w:rPr>
              <w:t>.</w:t>
            </w:r>
          </w:p>
          <w:p w14:paraId="2DA3D1CD" w14:textId="77777777" w:rsidR="0006054D" w:rsidRPr="00310640" w:rsidRDefault="0006054D" w:rsidP="0006054D">
            <w:pPr>
              <w:keepNext/>
              <w:tabs>
                <w:tab w:val="left" w:pos="4252"/>
              </w:tabs>
              <w:spacing w:before="240" w:after="120"/>
              <w:rPr>
                <w:b/>
                <w:szCs w:val="24"/>
              </w:rPr>
            </w:pPr>
            <w:r w:rsidRPr="00310640">
              <w:rPr>
                <w:b/>
                <w:szCs w:val="24"/>
              </w:rPr>
              <w:t xml:space="preserve">c) </w:t>
            </w:r>
            <w:proofErr w:type="spellStart"/>
            <w:r w:rsidRPr="00310640">
              <w:rPr>
                <w:b/>
                <w:szCs w:val="24"/>
              </w:rPr>
              <w:t>Papildināmība</w:t>
            </w:r>
            <w:proofErr w:type="spellEnd"/>
            <w:r w:rsidRPr="00310640">
              <w:rPr>
                <w:b/>
                <w:szCs w:val="24"/>
              </w:rPr>
              <w:t xml:space="preserve"> </w:t>
            </w:r>
            <w:proofErr w:type="spellStart"/>
            <w:r w:rsidRPr="00310640">
              <w:rPr>
                <w:b/>
                <w:szCs w:val="24"/>
              </w:rPr>
              <w:t>starp</w:t>
            </w:r>
            <w:proofErr w:type="spellEnd"/>
            <w:r w:rsidRPr="00310640">
              <w:rPr>
                <w:b/>
                <w:szCs w:val="24"/>
              </w:rPr>
              <w:t xml:space="preserve"> </w:t>
            </w:r>
            <w:proofErr w:type="spellStart"/>
            <w:r w:rsidRPr="00310640">
              <w:rPr>
                <w:b/>
                <w:szCs w:val="24"/>
              </w:rPr>
              <w:t>darbībām</w:t>
            </w:r>
            <w:proofErr w:type="spellEnd"/>
            <w:r w:rsidRPr="00310640">
              <w:rPr>
                <w:b/>
                <w:szCs w:val="24"/>
              </w:rPr>
              <w:t xml:space="preserve">, ko </w:t>
            </w:r>
            <w:proofErr w:type="spellStart"/>
            <w:r w:rsidRPr="00310640">
              <w:rPr>
                <w:b/>
                <w:szCs w:val="24"/>
              </w:rPr>
              <w:t>atbalsta</w:t>
            </w:r>
            <w:proofErr w:type="spellEnd"/>
            <w:r w:rsidRPr="00310640">
              <w:rPr>
                <w:b/>
                <w:szCs w:val="24"/>
              </w:rPr>
              <w:t xml:space="preserve"> </w:t>
            </w:r>
            <w:proofErr w:type="spellStart"/>
            <w:r w:rsidRPr="00310640">
              <w:rPr>
                <w:b/>
                <w:szCs w:val="24"/>
              </w:rPr>
              <w:t>programma</w:t>
            </w:r>
            <w:proofErr w:type="spellEnd"/>
            <w:r w:rsidRPr="00310640">
              <w:rPr>
                <w:b/>
                <w:szCs w:val="24"/>
              </w:rPr>
              <w:t xml:space="preserve">, un </w:t>
            </w:r>
            <w:proofErr w:type="spellStart"/>
            <w:r w:rsidRPr="00310640">
              <w:rPr>
                <w:b/>
                <w:szCs w:val="24"/>
              </w:rPr>
              <w:t>atbalstu</w:t>
            </w:r>
            <w:proofErr w:type="spellEnd"/>
            <w:r w:rsidRPr="00310640">
              <w:rPr>
                <w:b/>
                <w:szCs w:val="24"/>
              </w:rPr>
              <w:t xml:space="preserve">, ko </w:t>
            </w:r>
            <w:proofErr w:type="spellStart"/>
            <w:r w:rsidRPr="00310640">
              <w:rPr>
                <w:b/>
                <w:szCs w:val="24"/>
              </w:rPr>
              <w:t>snieguši</w:t>
            </w:r>
            <w:proofErr w:type="spellEnd"/>
            <w:r w:rsidRPr="00310640">
              <w:rPr>
                <w:b/>
                <w:szCs w:val="24"/>
              </w:rPr>
              <w:t xml:space="preserve"> </w:t>
            </w:r>
            <w:proofErr w:type="spellStart"/>
            <w:r w:rsidRPr="00310640">
              <w:rPr>
                <w:b/>
                <w:szCs w:val="24"/>
              </w:rPr>
              <w:t>citi</w:t>
            </w:r>
            <w:proofErr w:type="spellEnd"/>
            <w:r w:rsidRPr="00310640">
              <w:rPr>
                <w:b/>
                <w:szCs w:val="24"/>
              </w:rPr>
              <w:t xml:space="preserve"> ES </w:t>
            </w:r>
            <w:proofErr w:type="spellStart"/>
            <w:r w:rsidRPr="00310640">
              <w:rPr>
                <w:b/>
                <w:szCs w:val="24"/>
              </w:rPr>
              <w:t>fondi</w:t>
            </w:r>
            <w:proofErr w:type="spellEnd"/>
          </w:p>
          <w:p w14:paraId="61392AC1" w14:textId="77777777" w:rsidR="00103274" w:rsidRPr="00D74E7A" w:rsidRDefault="00103274" w:rsidP="00103274">
            <w:pPr>
              <w:ind w:firstLine="851"/>
              <w:rPr>
                <w:lang w:val="lv-LV"/>
              </w:rPr>
            </w:pPr>
            <w:r w:rsidRPr="00D74E7A">
              <w:rPr>
                <w:lang w:val="lv-LV"/>
              </w:rPr>
              <w:t xml:space="preserve">IDF programmas 1. konkrētā mērķa – informācijas aprites un apmaiņas starp kompetentajām iestādēm kontekstā ir </w:t>
            </w:r>
            <w:proofErr w:type="spellStart"/>
            <w:r w:rsidRPr="00D74E7A">
              <w:rPr>
                <w:lang w:val="lv-LV"/>
              </w:rPr>
              <w:t>papildināmība</w:t>
            </w:r>
            <w:proofErr w:type="spellEnd"/>
            <w:r w:rsidRPr="00D74E7A">
              <w:rPr>
                <w:lang w:val="lv-LV"/>
              </w:rPr>
              <w:t xml:space="preserve"> ar Latvijas Atveseļošanās un noturības mehānisma plānu, kur 6. komponentes “Likuma vara” 6.2.1.r. reformas “Noziedzīgi iegūtu līdzekļu </w:t>
            </w:r>
            <w:r w:rsidRPr="00D74E7A">
              <w:rPr>
                <w:lang w:val="lv-LV"/>
              </w:rPr>
              <w:lastRenderedPageBreak/>
              <w:t xml:space="preserve">legalizācijas identificēšanas, ekonomisko noziegumu izmeklēšanas un tiesvedības procesu modernizācija” ietvaros plānota 6.2.1.1.i. investīcija “AML inovāciju centra izveide noziedzīgi iegūtu līdzekļu legalizācijas identificēšanas uzlabošanai”, kur cita starpā tiks veicināta informācijas apmaiņa starp iestādēm un kuras rezultātā tiks nodrošināts elektroniski </w:t>
            </w:r>
            <w:proofErr w:type="spellStart"/>
            <w:r w:rsidRPr="00D74E7A">
              <w:rPr>
                <w:lang w:val="lv-LV"/>
              </w:rPr>
              <w:t>kriminālizmeklēšanai</w:t>
            </w:r>
            <w:proofErr w:type="spellEnd"/>
            <w:r w:rsidRPr="00D74E7A">
              <w:rPr>
                <w:lang w:val="lv-LV"/>
              </w:rPr>
              <w:t xml:space="preserve"> nodoto finanšu un ekonomisko noziegumu lietu apjoma pieauguma īpatsvars no 0% līdz 100%, kas nozīmē noziedzīgi iegūtu līdzekļu legalizācijas identificēšanas uzlabošanu, īstenojot uz datu analīzē un tipoloģijās balstītu nepārtrauktu zināšanu pārnesi no pētniecības uz finanšu izlūkošanu drošās publiskās-privātas partnerības platformas ietvaros.</w:t>
            </w:r>
          </w:p>
          <w:p w14:paraId="692A27B8" w14:textId="77777777" w:rsidR="00103274" w:rsidRPr="00D74E7A" w:rsidRDefault="00103274" w:rsidP="00103274">
            <w:pPr>
              <w:ind w:firstLine="851"/>
              <w:rPr>
                <w:lang w:val="lv-LV"/>
              </w:rPr>
            </w:pPr>
            <w:r w:rsidRPr="00D74E7A">
              <w:rPr>
                <w:lang w:val="lv-LV"/>
              </w:rPr>
              <w:t xml:space="preserve">IDF programmas 3. konkrētā mērķa ietvaros plānotās investīcijas tiesībaizsardzības augstākās izglītības attīstībā (Iekšējās drošības akadēmija) papildinās Eiropas Reģionālās attīstības fonda 4.2.1.6. pasākums, kurā plānots izveidot fiziskās sagatavotības poligonu – Valsts policijas koledžas, kas ir daļa no Iekšējās drošības akadēmijas konsorcija, fiziskās sagatavotības objektu pārbūve, lai nodrošinātu tiesībaizsardzības izglītības programmu pilnvērtīgāku īstenošanu, kvalitatīvu vispārējo fizisko normatīvu pieņemšanu topošajām </w:t>
            </w:r>
            <w:r>
              <w:rPr>
                <w:lang w:val="lv-LV"/>
              </w:rPr>
              <w:t>VP</w:t>
            </w:r>
            <w:r w:rsidRPr="00D74E7A">
              <w:rPr>
                <w:lang w:val="lv-LV"/>
              </w:rPr>
              <w:t xml:space="preserve"> amatpersonām un treniņus esošajām </w:t>
            </w:r>
            <w:r>
              <w:rPr>
                <w:lang w:val="lv-LV"/>
              </w:rPr>
              <w:t>VP</w:t>
            </w:r>
            <w:r w:rsidRPr="00D74E7A">
              <w:rPr>
                <w:lang w:val="lv-LV"/>
              </w:rPr>
              <w:t xml:space="preserve"> amatpersonām.</w:t>
            </w:r>
          </w:p>
          <w:p w14:paraId="31E8C697" w14:textId="77777777" w:rsidR="0006054D" w:rsidRDefault="0006054D" w:rsidP="0006054D">
            <w:pPr>
              <w:pStyle w:val="Institutionquisigne"/>
              <w:spacing w:before="240" w:after="120"/>
              <w:rPr>
                <w:b/>
                <w:i w:val="0"/>
                <w:color w:val="000000" w:themeColor="text1"/>
                <w:szCs w:val="24"/>
                <w:lang w:val="lv-LV"/>
              </w:rPr>
            </w:pPr>
            <w:r w:rsidRPr="00346230">
              <w:rPr>
                <w:b/>
                <w:i w:val="0"/>
                <w:color w:val="000000" w:themeColor="text1"/>
                <w:szCs w:val="24"/>
                <w:lang w:val="lv-LV"/>
              </w:rPr>
              <w:t>d) Programmas ieguldījums ES tiesību aktu un rīcības plānu īstenošanā</w:t>
            </w:r>
          </w:p>
          <w:p w14:paraId="4A175F7A" w14:textId="77777777" w:rsidR="0006054D" w:rsidRDefault="0006054D" w:rsidP="0006054D">
            <w:pPr>
              <w:pStyle w:val="Personnequisigne"/>
              <w:ind w:firstLine="743"/>
              <w:jc w:val="both"/>
              <w:rPr>
                <w:rFonts w:eastAsia="Times New Roman"/>
                <w:i w:val="0"/>
                <w:iCs/>
                <w:lang w:val="lv-LV"/>
              </w:rPr>
            </w:pPr>
            <w:r w:rsidRPr="00346230">
              <w:rPr>
                <w:b/>
                <w:bCs/>
                <w:i w:val="0"/>
                <w:iCs/>
                <w:lang w:val="lv-LV"/>
              </w:rPr>
              <w:t>Informācijas apmaiņas jomā</w:t>
            </w:r>
            <w:r>
              <w:rPr>
                <w:b/>
                <w:bCs/>
                <w:i w:val="0"/>
                <w:iCs/>
                <w:lang w:val="lv-LV"/>
              </w:rPr>
              <w:t xml:space="preserve"> </w:t>
            </w:r>
            <w:r w:rsidRPr="00346230">
              <w:rPr>
                <w:rFonts w:eastAsia="Times New Roman"/>
                <w:i w:val="0"/>
                <w:iCs/>
                <w:lang w:val="lv-LV"/>
              </w:rPr>
              <w:t>projekta aktivitātes tiek īstenotas saskaņā ar Eiropas Parlamenta un Padomes 2023. gada 11. jūnija direktīvu Nr. 2023/977 par informācijas apmaiņu starp dalībvalstu tiesībaizsardzības iestādēm un ar ko atceļ Padomes Pamatlēmumu 2006/960/TI (Zviedrijas iniciatīvu).</w:t>
            </w:r>
            <w:r>
              <w:rPr>
                <w:rFonts w:eastAsia="Times New Roman"/>
                <w:i w:val="0"/>
                <w:iCs/>
                <w:lang w:val="lv-LV"/>
              </w:rPr>
              <w:t xml:space="preserve"> </w:t>
            </w:r>
            <w:r w:rsidRPr="00346230">
              <w:rPr>
                <w:rFonts w:eastAsia="Times New Roman"/>
                <w:i w:val="0"/>
                <w:iCs/>
                <w:lang w:val="lv-LV"/>
              </w:rPr>
              <w:t xml:space="preserve">Minētās direktīvas mērķis ir pieņemt tiesību aktus par organizatoriskajiem un procesuālajiem aspektiem informācijas apmaiņā starp tiesībaizsardzības iestādēm </w:t>
            </w:r>
            <w:r>
              <w:rPr>
                <w:rFonts w:eastAsia="Times New Roman"/>
                <w:i w:val="0"/>
                <w:iCs/>
                <w:lang w:val="lv-LV"/>
              </w:rPr>
              <w:t>ES</w:t>
            </w:r>
            <w:r w:rsidRPr="00346230">
              <w:rPr>
                <w:rFonts w:eastAsia="Times New Roman"/>
                <w:i w:val="0"/>
                <w:iCs/>
                <w:lang w:val="lv-LV"/>
              </w:rPr>
              <w:t>, lai veicinātu rezultatīvu un efektīvu šādas informācijas apmaiņu, tādējādi aizsargājot pilnībā funkcionējošu un noturīgu Šengenas zonu.</w:t>
            </w:r>
          </w:p>
          <w:p w14:paraId="7DB6B63D" w14:textId="77777777" w:rsidR="0006054D" w:rsidRDefault="0006054D" w:rsidP="0006054D">
            <w:pPr>
              <w:shd w:val="clear" w:color="auto" w:fill="FFFFFF" w:themeFill="background1"/>
              <w:ind w:firstLine="743"/>
              <w:rPr>
                <w:lang w:val="lv-LV"/>
              </w:rPr>
            </w:pPr>
            <w:r w:rsidRPr="00346230">
              <w:rPr>
                <w:b/>
                <w:bCs/>
                <w:lang w:val="lv-LV"/>
              </w:rPr>
              <w:t xml:space="preserve">Noziedzības novēršanas un apkarošanas jomā </w:t>
            </w:r>
            <w:r>
              <w:rPr>
                <w:lang w:val="lv-LV"/>
              </w:rPr>
              <w:t>projekta aktivitātes tiek īstenotas saskaņā ar:</w:t>
            </w:r>
          </w:p>
          <w:p w14:paraId="657A4A14" w14:textId="77777777" w:rsidR="0006054D" w:rsidRPr="00346230" w:rsidRDefault="0006054D" w:rsidP="0006054D">
            <w:pPr>
              <w:pStyle w:val="ListParagraph"/>
              <w:numPr>
                <w:ilvl w:val="0"/>
                <w:numId w:val="47"/>
              </w:numPr>
              <w:shd w:val="clear" w:color="auto" w:fill="FFFFFF" w:themeFill="background1"/>
              <w:rPr>
                <w:rFonts w:eastAsia="Times New Roman"/>
                <w:lang w:val="lv-LV"/>
              </w:rPr>
            </w:pPr>
            <w:r w:rsidRPr="00346230">
              <w:rPr>
                <w:lang w:val="lv-LV"/>
              </w:rPr>
              <w:t>2014. gada 28. jūnija likumu “Par Eiropas Padomes Konvenciju par bērnu aizsardzību pret seksuālu izmantošanu un seksuālu vardarbību”, kur 1. pants nosaka - “2007. gada 25. oktobra Eiropas Padomes Konvencija par bērnu aizsardzību pret seksuālu izmantošanu un seksuālu vardarbību (turpmāk – Konvencija) ar šo likumu tiek pieņemta un apstiprināta.”;</w:t>
            </w:r>
          </w:p>
          <w:p w14:paraId="1F78CE4A" w14:textId="77777777" w:rsidR="0006054D" w:rsidRPr="003A3A17" w:rsidRDefault="0006054D" w:rsidP="0006054D">
            <w:pPr>
              <w:pStyle w:val="ListParagraph"/>
              <w:numPr>
                <w:ilvl w:val="0"/>
                <w:numId w:val="44"/>
              </w:numPr>
              <w:shd w:val="clear" w:color="auto" w:fill="FFFFFF" w:themeFill="background1"/>
              <w:rPr>
                <w:rFonts w:eastAsia="Times New Roman"/>
                <w:lang w:val="lv-LV"/>
              </w:rPr>
            </w:pPr>
            <w:r w:rsidRPr="003A3A17">
              <w:rPr>
                <w:rFonts w:eastAsia="Times New Roman"/>
                <w:lang w:val="lv-LV"/>
              </w:rPr>
              <w:t xml:space="preserve">Konvencijas 35. panta 2. punktu, kur teikts, ka </w:t>
            </w:r>
            <w:r w:rsidRPr="003A3A17">
              <w:rPr>
                <w:lang w:val="lv-LV"/>
              </w:rPr>
              <w:t>“Ikviena Puse veic nepieciešamos normatīv</w:t>
            </w:r>
            <w:r>
              <w:rPr>
                <w:lang w:val="lv-LV"/>
              </w:rPr>
              <w:t>u</w:t>
            </w:r>
            <w:r w:rsidRPr="003A3A17">
              <w:rPr>
                <w:lang w:val="lv-LV"/>
              </w:rPr>
              <w:t>s vai citus pasākumus, lai nodrošinātu to, ka visas cietušā un attiecīgā gadījumā bērna, kas ir liecinieks, pratināšanas var ierakstīt videolentē, un šīs videolentē ierakstītās pratināšanas var pieņemt kā pierādījumus tiesvedībā saskaņā ar valsts tiesību aktiem.”;</w:t>
            </w:r>
          </w:p>
          <w:p w14:paraId="788EAB5F" w14:textId="77777777" w:rsidR="0006054D" w:rsidRPr="00346230" w:rsidRDefault="0006054D" w:rsidP="0006054D">
            <w:pPr>
              <w:pStyle w:val="ListParagraph"/>
              <w:numPr>
                <w:ilvl w:val="0"/>
                <w:numId w:val="44"/>
              </w:numPr>
              <w:shd w:val="clear" w:color="auto" w:fill="FFFFFF" w:themeFill="background1"/>
              <w:rPr>
                <w:rFonts w:eastAsia="Times New Roman"/>
                <w:lang w:val="lv-LV"/>
              </w:rPr>
            </w:pPr>
            <w:r w:rsidRPr="003A3A17">
              <w:rPr>
                <w:lang w:val="lv-LV"/>
              </w:rPr>
              <w:t>Eiropas Parlamenta un Padomes 2011. gada 13. decembra direktīvu Nr. 2011/93/ES par seksuālas vardarbības pret bērniem, bērnu seksuālas izmantošanas un bērnu pornogrāfijas apkarošanu, kur tiek noteiktas normas par skaņas un attēla fiksēšanu.</w:t>
            </w:r>
          </w:p>
          <w:p w14:paraId="14514816" w14:textId="77777777" w:rsidR="0006054D" w:rsidRPr="003A3A17" w:rsidRDefault="0006054D" w:rsidP="0006054D">
            <w:pPr>
              <w:pStyle w:val="ListParagraph"/>
              <w:shd w:val="clear" w:color="auto" w:fill="FFFFFF" w:themeFill="background1"/>
              <w:rPr>
                <w:rFonts w:eastAsia="Times New Roman"/>
                <w:lang w:val="lv-LV"/>
              </w:rPr>
            </w:pPr>
          </w:p>
          <w:p w14:paraId="0D472F1D" w14:textId="77777777" w:rsidR="0006054D" w:rsidRPr="003A3A17" w:rsidRDefault="0006054D" w:rsidP="0006054D">
            <w:pPr>
              <w:shd w:val="clear" w:color="auto" w:fill="FFFFFF" w:themeFill="background1"/>
              <w:ind w:firstLine="743"/>
              <w:rPr>
                <w:rFonts w:eastAsia="Times New Roman"/>
                <w:lang w:val="lv-LV"/>
              </w:rPr>
            </w:pPr>
            <w:r w:rsidRPr="003A3A17">
              <w:rPr>
                <w:rFonts w:eastAsia="Times New Roman"/>
                <w:lang w:val="lv-LV"/>
              </w:rPr>
              <w:t xml:space="preserve">Projekta par </w:t>
            </w:r>
            <w:r w:rsidRPr="003A3A17">
              <w:rPr>
                <w:rFonts w:eastAsia="Times New Roman"/>
                <w:lang w:val="lv-LV" w:eastAsia="lv-LV"/>
              </w:rPr>
              <w:t xml:space="preserve">CBRNE un cilvēku izraisīto katastrofu glābšanas darbu mācību poligona izveidošanu </w:t>
            </w:r>
            <w:r w:rsidRPr="003A3A17">
              <w:rPr>
                <w:rFonts w:eastAsia="Times New Roman"/>
                <w:lang w:val="lv-LV"/>
              </w:rPr>
              <w:t>aktivitātes tiek īstenotas saskaņā ar:</w:t>
            </w:r>
          </w:p>
          <w:p w14:paraId="7EE72B12" w14:textId="77777777" w:rsidR="0006054D" w:rsidRPr="003A3A17" w:rsidRDefault="0006054D" w:rsidP="0006054D">
            <w:pPr>
              <w:pStyle w:val="ListParagraph"/>
              <w:numPr>
                <w:ilvl w:val="0"/>
                <w:numId w:val="45"/>
              </w:numPr>
              <w:spacing w:line="276" w:lineRule="auto"/>
              <w:ind w:left="743" w:right="39"/>
              <w:rPr>
                <w:rFonts w:eastAsia="Times New Roman"/>
                <w:lang w:val="lv-LV" w:eastAsia="lv-LV"/>
              </w:rPr>
            </w:pPr>
            <w:r w:rsidRPr="003A3A17">
              <w:rPr>
                <w:rFonts w:eastAsia="Times New Roman"/>
                <w:lang w:val="lv-LV" w:eastAsia="lv-LV"/>
              </w:rPr>
              <w:t>ES Iekšējās drošības stratēģiju</w:t>
            </w:r>
            <w:r>
              <w:rPr>
                <w:rFonts w:eastAsia="Times New Roman"/>
                <w:lang w:val="lv-LV" w:eastAsia="lv-LV"/>
              </w:rPr>
              <w:t>;</w:t>
            </w:r>
          </w:p>
          <w:p w14:paraId="056C52F2" w14:textId="77777777" w:rsidR="0006054D" w:rsidRDefault="0006054D" w:rsidP="0006054D">
            <w:pPr>
              <w:pStyle w:val="ListParagraph"/>
              <w:numPr>
                <w:ilvl w:val="0"/>
                <w:numId w:val="45"/>
              </w:numPr>
              <w:spacing w:line="276" w:lineRule="auto"/>
              <w:ind w:left="743" w:right="39"/>
              <w:rPr>
                <w:rFonts w:eastAsia="Times New Roman"/>
                <w:lang w:val="lv-LV" w:eastAsia="lv-LV"/>
              </w:rPr>
            </w:pPr>
            <w:r w:rsidRPr="003A3A17">
              <w:rPr>
                <w:rFonts w:eastAsia="Times New Roman"/>
                <w:lang w:val="lv-LV" w:eastAsia="lv-LV"/>
              </w:rPr>
              <w:t>2017. gadā pieņemto “ES CBRN” rīcības plānu</w:t>
            </w:r>
            <w:r>
              <w:rPr>
                <w:rFonts w:eastAsia="Times New Roman"/>
                <w:lang w:val="lv-LV" w:eastAsia="lv-LV"/>
              </w:rPr>
              <w:t>;</w:t>
            </w:r>
          </w:p>
          <w:p w14:paraId="56455FE0" w14:textId="76589484" w:rsidR="0006054D" w:rsidRPr="0003467C" w:rsidRDefault="0006054D" w:rsidP="0003467C">
            <w:pPr>
              <w:pStyle w:val="ListParagraph"/>
              <w:numPr>
                <w:ilvl w:val="0"/>
                <w:numId w:val="45"/>
              </w:numPr>
              <w:spacing w:before="240" w:after="120" w:line="276" w:lineRule="auto"/>
              <w:ind w:left="743" w:right="39"/>
              <w:rPr>
                <w:b/>
                <w:szCs w:val="24"/>
              </w:rPr>
            </w:pPr>
            <w:r w:rsidRPr="00C222B3">
              <w:rPr>
                <w:rFonts w:eastAsia="Times New Roman"/>
                <w:iCs/>
                <w:lang w:val="lv-LV" w:eastAsia="lv-LV"/>
              </w:rPr>
              <w:t xml:space="preserve">Eiropas parlamenta un Padomes 2021. gada 7. jūlija regulu Nr. 2021/1149 par Iekšējās drošības fonda izveidi. </w:t>
            </w:r>
          </w:p>
          <w:p w14:paraId="37E1A7E7" w14:textId="54AE8161" w:rsidR="0006054D" w:rsidRPr="00074F53" w:rsidRDefault="0006054D" w:rsidP="0006054D">
            <w:pPr>
              <w:pStyle w:val="Personnequisigne"/>
              <w:rPr>
                <w:b/>
                <w:lang w:val="lv-LV"/>
              </w:rPr>
            </w:pPr>
            <w:r w:rsidRPr="00074F53">
              <w:rPr>
                <w:b/>
                <w:lang w:val="lv-LV"/>
              </w:rPr>
              <w:t xml:space="preserve">e) </w:t>
            </w:r>
            <w:proofErr w:type="spellStart"/>
            <w:r w:rsidRPr="00C222B3">
              <w:rPr>
                <w:b/>
                <w:szCs w:val="24"/>
              </w:rPr>
              <w:t>Programmas</w:t>
            </w:r>
            <w:proofErr w:type="spellEnd"/>
            <w:r w:rsidRPr="00C222B3">
              <w:rPr>
                <w:b/>
                <w:szCs w:val="24"/>
              </w:rPr>
              <w:t xml:space="preserve"> </w:t>
            </w:r>
            <w:proofErr w:type="spellStart"/>
            <w:r w:rsidRPr="00C222B3">
              <w:rPr>
                <w:b/>
                <w:szCs w:val="24"/>
              </w:rPr>
              <w:t>komunikācijas</w:t>
            </w:r>
            <w:proofErr w:type="spellEnd"/>
            <w:r w:rsidRPr="00C222B3">
              <w:rPr>
                <w:b/>
                <w:szCs w:val="24"/>
              </w:rPr>
              <w:t xml:space="preserve"> un </w:t>
            </w:r>
            <w:proofErr w:type="spellStart"/>
            <w:r w:rsidRPr="00C222B3">
              <w:rPr>
                <w:b/>
                <w:szCs w:val="24"/>
              </w:rPr>
              <w:t>pamanāmības</w:t>
            </w:r>
            <w:proofErr w:type="spellEnd"/>
            <w:r w:rsidRPr="00C222B3">
              <w:rPr>
                <w:b/>
                <w:szCs w:val="24"/>
              </w:rPr>
              <w:t xml:space="preserve"> </w:t>
            </w:r>
            <w:proofErr w:type="spellStart"/>
            <w:r w:rsidRPr="00C222B3">
              <w:rPr>
                <w:b/>
                <w:szCs w:val="24"/>
              </w:rPr>
              <w:t>darbību</w:t>
            </w:r>
            <w:proofErr w:type="spellEnd"/>
            <w:r w:rsidRPr="00C222B3">
              <w:rPr>
                <w:b/>
                <w:szCs w:val="24"/>
              </w:rPr>
              <w:t xml:space="preserve"> </w:t>
            </w:r>
            <w:proofErr w:type="spellStart"/>
            <w:r w:rsidRPr="00C222B3">
              <w:rPr>
                <w:b/>
                <w:szCs w:val="24"/>
              </w:rPr>
              <w:t>īstenošana</w:t>
            </w:r>
            <w:proofErr w:type="spellEnd"/>
          </w:p>
          <w:p w14:paraId="66F31A96" w14:textId="77777777" w:rsidR="0006054D" w:rsidRPr="00074F53" w:rsidRDefault="0006054D" w:rsidP="0006054D">
            <w:pPr>
              <w:rPr>
                <w:lang w:val="lv-LV"/>
              </w:rPr>
            </w:pPr>
            <w:bookmarkStart w:id="24" w:name="_Hlk219455857"/>
            <w:r w:rsidRPr="00074F53">
              <w:rPr>
                <w:lang w:val="lv-LV"/>
              </w:rPr>
              <w:t xml:space="preserve">Stratēģiskais komunikācijas taktikas mērķis </w:t>
            </w:r>
            <w:bookmarkEnd w:id="24"/>
            <w:r w:rsidRPr="00074F53">
              <w:rPr>
                <w:lang w:val="lv-LV"/>
              </w:rPr>
              <w:t>bija nodrošināt caurskatāmību un stiprināt sabiedrības izpratni par IDF ieguldījumu Latvijas un visas ES iekšējās drošības telpas noturībā, reaģējot uz aktuālajiem ģeopolitiskajiem izaicinājumiem.</w:t>
            </w:r>
          </w:p>
          <w:p w14:paraId="174FEC3F" w14:textId="77777777" w:rsidR="0006054D" w:rsidRPr="00074F53" w:rsidRDefault="0006054D" w:rsidP="0006054D">
            <w:proofErr w:type="spellStart"/>
            <w:r w:rsidRPr="00074F53">
              <w:t>Ievērojamākās</w:t>
            </w:r>
            <w:proofErr w:type="spellEnd"/>
            <w:r w:rsidRPr="00074F53">
              <w:t xml:space="preserve"> </w:t>
            </w:r>
            <w:proofErr w:type="spellStart"/>
            <w:r w:rsidRPr="00074F53">
              <w:t>komunikācijas</w:t>
            </w:r>
            <w:proofErr w:type="spellEnd"/>
            <w:r w:rsidRPr="00074F53">
              <w:t xml:space="preserve"> </w:t>
            </w:r>
            <w:proofErr w:type="spellStart"/>
            <w:r w:rsidRPr="00074F53">
              <w:t>aktivitātes</w:t>
            </w:r>
            <w:proofErr w:type="spellEnd"/>
            <w:r w:rsidRPr="00074F53">
              <w:t xml:space="preserve"> </w:t>
            </w:r>
            <w:proofErr w:type="spellStart"/>
            <w:r w:rsidRPr="00074F53">
              <w:t>bija</w:t>
            </w:r>
            <w:proofErr w:type="spellEnd"/>
            <w:r w:rsidRPr="00074F53">
              <w:t>:</w:t>
            </w:r>
          </w:p>
          <w:p w14:paraId="7026FB1C" w14:textId="77777777" w:rsidR="0006054D" w:rsidRPr="00074F53" w:rsidRDefault="0006054D" w:rsidP="0006054D">
            <w:pPr>
              <w:pStyle w:val="ListParagraph"/>
              <w:numPr>
                <w:ilvl w:val="0"/>
                <w:numId w:val="36"/>
              </w:numPr>
              <w:spacing w:after="160" w:line="259" w:lineRule="auto"/>
            </w:pPr>
            <w:proofErr w:type="spellStart"/>
            <w:r w:rsidRPr="00074F53">
              <w:t>Sabiedrības</w:t>
            </w:r>
            <w:proofErr w:type="spellEnd"/>
            <w:r w:rsidRPr="00074F53">
              <w:t xml:space="preserve"> </w:t>
            </w:r>
            <w:proofErr w:type="spellStart"/>
            <w:r w:rsidRPr="00074F53">
              <w:t>informēšanas</w:t>
            </w:r>
            <w:proofErr w:type="spellEnd"/>
            <w:r w:rsidRPr="00074F53">
              <w:t xml:space="preserve"> </w:t>
            </w:r>
            <w:proofErr w:type="spellStart"/>
            <w:r w:rsidRPr="00074F53">
              <w:t>kampaņas</w:t>
            </w:r>
            <w:proofErr w:type="spellEnd"/>
            <w:r w:rsidRPr="00074F53">
              <w:t xml:space="preserve"> - </w:t>
            </w:r>
            <w:proofErr w:type="spellStart"/>
            <w:r w:rsidRPr="00074F53">
              <w:t>realizētas</w:t>
            </w:r>
            <w:proofErr w:type="spellEnd"/>
            <w:r w:rsidRPr="00074F53">
              <w:t xml:space="preserve"> divas </w:t>
            </w:r>
            <w:proofErr w:type="spellStart"/>
            <w:r w:rsidRPr="00074F53">
              <w:t>plaša</w:t>
            </w:r>
            <w:proofErr w:type="spellEnd"/>
            <w:r w:rsidRPr="00074F53">
              <w:t xml:space="preserve"> </w:t>
            </w:r>
            <w:proofErr w:type="spellStart"/>
            <w:r w:rsidRPr="00074F53">
              <w:t>mēroga</w:t>
            </w:r>
            <w:proofErr w:type="spellEnd"/>
            <w:r w:rsidRPr="00074F53">
              <w:t xml:space="preserve"> </w:t>
            </w:r>
            <w:proofErr w:type="spellStart"/>
            <w:r w:rsidRPr="00074F53">
              <w:t>kampaņas</w:t>
            </w:r>
            <w:proofErr w:type="spellEnd"/>
            <w:r w:rsidRPr="00074F53">
              <w:t xml:space="preserve"> "</w:t>
            </w:r>
            <w:proofErr w:type="spellStart"/>
            <w:r w:rsidRPr="00074F53">
              <w:t>Cel</w:t>
            </w:r>
            <w:proofErr w:type="spellEnd"/>
            <w:r w:rsidRPr="00074F53">
              <w:t xml:space="preserve"> </w:t>
            </w:r>
            <w:proofErr w:type="spellStart"/>
            <w:r w:rsidRPr="00074F53">
              <w:t>savu</w:t>
            </w:r>
            <w:proofErr w:type="spellEnd"/>
            <w:r w:rsidRPr="00074F53">
              <w:t xml:space="preserve"> </w:t>
            </w:r>
            <w:proofErr w:type="spellStart"/>
            <w:r w:rsidRPr="00074F53">
              <w:t>nākotni</w:t>
            </w:r>
            <w:proofErr w:type="spellEnd"/>
            <w:r w:rsidRPr="00074F53">
              <w:t xml:space="preserve"> - </w:t>
            </w:r>
            <w:proofErr w:type="spellStart"/>
            <w:r w:rsidRPr="00074F53">
              <w:t>stiprini</w:t>
            </w:r>
            <w:proofErr w:type="spellEnd"/>
            <w:r w:rsidRPr="00074F53">
              <w:t xml:space="preserve"> </w:t>
            </w:r>
            <w:proofErr w:type="spellStart"/>
            <w:r w:rsidRPr="00074F53">
              <w:t>Latvijas</w:t>
            </w:r>
            <w:proofErr w:type="spellEnd"/>
            <w:r w:rsidRPr="00074F53">
              <w:t xml:space="preserve"> </w:t>
            </w:r>
            <w:proofErr w:type="spellStart"/>
            <w:r w:rsidRPr="00074F53">
              <w:t>drošību</w:t>
            </w:r>
            <w:proofErr w:type="spellEnd"/>
            <w:r w:rsidRPr="00074F53">
              <w:t xml:space="preserve">!", kas </w:t>
            </w:r>
            <w:proofErr w:type="spellStart"/>
            <w:r w:rsidRPr="00074F53">
              <w:t>tieši</w:t>
            </w:r>
            <w:proofErr w:type="spellEnd"/>
            <w:r w:rsidRPr="00074F53">
              <w:t xml:space="preserve"> </w:t>
            </w:r>
            <w:proofErr w:type="spellStart"/>
            <w:r w:rsidRPr="00074F53">
              <w:t>uzrunāja</w:t>
            </w:r>
            <w:proofErr w:type="spellEnd"/>
            <w:r w:rsidRPr="00074F53">
              <w:t xml:space="preserve"> </w:t>
            </w:r>
            <w:proofErr w:type="spellStart"/>
            <w:r w:rsidRPr="00074F53">
              <w:t>iedzīvotājus</w:t>
            </w:r>
            <w:proofErr w:type="spellEnd"/>
            <w:r w:rsidRPr="00074F53">
              <w:t xml:space="preserve"> par </w:t>
            </w:r>
            <w:proofErr w:type="spellStart"/>
            <w:r w:rsidRPr="00074F53">
              <w:t>personīgās</w:t>
            </w:r>
            <w:proofErr w:type="spellEnd"/>
            <w:r w:rsidRPr="00074F53">
              <w:t xml:space="preserve"> </w:t>
            </w:r>
            <w:proofErr w:type="spellStart"/>
            <w:r w:rsidRPr="00074F53">
              <w:t>drošības</w:t>
            </w:r>
            <w:proofErr w:type="spellEnd"/>
            <w:r w:rsidRPr="00074F53">
              <w:t xml:space="preserve"> </w:t>
            </w:r>
            <w:proofErr w:type="spellStart"/>
            <w:r w:rsidRPr="00074F53">
              <w:t>saikni</w:t>
            </w:r>
            <w:proofErr w:type="spellEnd"/>
            <w:r w:rsidRPr="00074F53">
              <w:t xml:space="preserve"> </w:t>
            </w:r>
            <w:proofErr w:type="spellStart"/>
            <w:r w:rsidRPr="00074F53">
              <w:t>ar</w:t>
            </w:r>
            <w:proofErr w:type="spellEnd"/>
            <w:r w:rsidRPr="00074F53">
              <w:t xml:space="preserve"> ES </w:t>
            </w:r>
            <w:proofErr w:type="spellStart"/>
            <w:r w:rsidRPr="00074F53">
              <w:t>atbalstu</w:t>
            </w:r>
            <w:proofErr w:type="spellEnd"/>
            <w:r w:rsidRPr="00074F53">
              <w:t>.</w:t>
            </w:r>
          </w:p>
          <w:p w14:paraId="227C534A" w14:textId="77777777" w:rsidR="0006054D" w:rsidRPr="00074F53" w:rsidRDefault="0006054D" w:rsidP="0006054D">
            <w:pPr>
              <w:pStyle w:val="ListParagraph"/>
              <w:numPr>
                <w:ilvl w:val="0"/>
                <w:numId w:val="36"/>
              </w:numPr>
              <w:spacing w:after="160" w:line="259" w:lineRule="auto"/>
            </w:pPr>
            <w:proofErr w:type="spellStart"/>
            <w:r w:rsidRPr="00074F53">
              <w:lastRenderedPageBreak/>
              <w:t>Profesionālā</w:t>
            </w:r>
            <w:proofErr w:type="spellEnd"/>
            <w:r w:rsidRPr="00074F53">
              <w:t xml:space="preserve"> un </w:t>
            </w:r>
            <w:proofErr w:type="spellStart"/>
            <w:r w:rsidRPr="00074F53">
              <w:t>mediju</w:t>
            </w:r>
            <w:proofErr w:type="spellEnd"/>
            <w:r w:rsidRPr="00074F53">
              <w:t xml:space="preserve"> </w:t>
            </w:r>
            <w:proofErr w:type="spellStart"/>
            <w:r w:rsidRPr="00074F53">
              <w:t>publicitāte</w:t>
            </w:r>
            <w:proofErr w:type="spellEnd"/>
            <w:r w:rsidRPr="00074F53">
              <w:t xml:space="preserve"> - </w:t>
            </w:r>
            <w:proofErr w:type="spellStart"/>
            <w:r w:rsidRPr="00074F53">
              <w:t>organizēta</w:t>
            </w:r>
            <w:proofErr w:type="spellEnd"/>
            <w:r w:rsidRPr="00074F53">
              <w:t xml:space="preserve"> </w:t>
            </w:r>
            <w:proofErr w:type="spellStart"/>
            <w:r w:rsidRPr="00074F53">
              <w:t>starptautiska</w:t>
            </w:r>
            <w:proofErr w:type="spellEnd"/>
            <w:r w:rsidRPr="00074F53">
              <w:t xml:space="preserve"> </w:t>
            </w:r>
            <w:proofErr w:type="spellStart"/>
            <w:r w:rsidRPr="00074F53">
              <w:t>konference</w:t>
            </w:r>
            <w:proofErr w:type="spellEnd"/>
            <w:r w:rsidRPr="00074F53">
              <w:t xml:space="preserve"> par </w:t>
            </w:r>
            <w:proofErr w:type="spellStart"/>
            <w:r w:rsidRPr="00074F53">
              <w:t>pretterorisma</w:t>
            </w:r>
            <w:proofErr w:type="spellEnd"/>
            <w:r w:rsidRPr="00074F53">
              <w:t xml:space="preserve"> </w:t>
            </w:r>
            <w:proofErr w:type="spellStart"/>
            <w:r w:rsidRPr="00074F53">
              <w:t>draudu</w:t>
            </w:r>
            <w:proofErr w:type="spellEnd"/>
            <w:r w:rsidRPr="00074F53">
              <w:t xml:space="preserve"> </w:t>
            </w:r>
            <w:proofErr w:type="spellStart"/>
            <w:r w:rsidRPr="00074F53">
              <w:t>pārvaldību</w:t>
            </w:r>
            <w:proofErr w:type="spellEnd"/>
            <w:r w:rsidRPr="00074F53">
              <w:t xml:space="preserve"> un </w:t>
            </w:r>
            <w:proofErr w:type="spellStart"/>
            <w:r w:rsidRPr="00074F53">
              <w:t>Industrijas</w:t>
            </w:r>
            <w:proofErr w:type="spellEnd"/>
            <w:r w:rsidRPr="00074F53">
              <w:t xml:space="preserve"> </w:t>
            </w:r>
            <w:proofErr w:type="spellStart"/>
            <w:r w:rsidRPr="00074F53">
              <w:t>dienas</w:t>
            </w:r>
            <w:proofErr w:type="spellEnd"/>
            <w:r w:rsidRPr="00074F53">
              <w:t xml:space="preserve">, kas </w:t>
            </w:r>
            <w:proofErr w:type="spellStart"/>
            <w:r w:rsidRPr="00074F53">
              <w:t>ar</w:t>
            </w:r>
            <w:proofErr w:type="spellEnd"/>
            <w:r w:rsidRPr="00074F53">
              <w:t xml:space="preserve"> </w:t>
            </w:r>
            <w:proofErr w:type="spellStart"/>
            <w:r w:rsidRPr="00074F53">
              <w:t>plašu</w:t>
            </w:r>
            <w:proofErr w:type="spellEnd"/>
            <w:r w:rsidRPr="00074F53">
              <w:t xml:space="preserve"> </w:t>
            </w:r>
            <w:proofErr w:type="spellStart"/>
            <w:r w:rsidRPr="00074F53">
              <w:t>preses</w:t>
            </w:r>
            <w:proofErr w:type="spellEnd"/>
            <w:r w:rsidRPr="00074F53">
              <w:t xml:space="preserve"> </w:t>
            </w:r>
            <w:proofErr w:type="spellStart"/>
            <w:r w:rsidRPr="00074F53">
              <w:t>klātbūtni</w:t>
            </w:r>
            <w:proofErr w:type="spellEnd"/>
            <w:r w:rsidRPr="00074F53">
              <w:t xml:space="preserve"> </w:t>
            </w:r>
            <w:proofErr w:type="spellStart"/>
            <w:r w:rsidRPr="00074F53">
              <w:t>veicināja</w:t>
            </w:r>
            <w:proofErr w:type="spellEnd"/>
            <w:r w:rsidRPr="00074F53">
              <w:t xml:space="preserve"> IDF </w:t>
            </w:r>
            <w:proofErr w:type="gramStart"/>
            <w:r w:rsidRPr="00074F53">
              <w:t>un ES</w:t>
            </w:r>
            <w:proofErr w:type="gramEnd"/>
            <w:r w:rsidRPr="00074F53">
              <w:t xml:space="preserve"> </w:t>
            </w:r>
            <w:proofErr w:type="spellStart"/>
            <w:r w:rsidRPr="00074F53">
              <w:t>kopumā</w:t>
            </w:r>
            <w:proofErr w:type="spellEnd"/>
            <w:r w:rsidRPr="00074F53">
              <w:t xml:space="preserve"> ES </w:t>
            </w:r>
            <w:proofErr w:type="spellStart"/>
            <w:r w:rsidRPr="00074F53">
              <w:t>iekšlietu</w:t>
            </w:r>
            <w:proofErr w:type="spellEnd"/>
            <w:r w:rsidRPr="00074F53">
              <w:t xml:space="preserve"> fondu </w:t>
            </w:r>
            <w:proofErr w:type="spellStart"/>
            <w:r w:rsidRPr="00074F53">
              <w:t>atpazīstamību</w:t>
            </w:r>
            <w:proofErr w:type="spellEnd"/>
            <w:r w:rsidRPr="00074F53">
              <w:t xml:space="preserve"> </w:t>
            </w:r>
            <w:proofErr w:type="spellStart"/>
            <w:r w:rsidRPr="00074F53">
              <w:t>nozares</w:t>
            </w:r>
            <w:proofErr w:type="spellEnd"/>
            <w:r w:rsidRPr="00074F53">
              <w:t xml:space="preserve"> </w:t>
            </w:r>
            <w:proofErr w:type="spellStart"/>
            <w:r w:rsidRPr="00074F53">
              <w:t>ekspertu</w:t>
            </w:r>
            <w:proofErr w:type="spellEnd"/>
            <w:r w:rsidRPr="00074F53">
              <w:t xml:space="preserve"> un </w:t>
            </w:r>
            <w:proofErr w:type="spellStart"/>
            <w:r w:rsidRPr="00074F53">
              <w:t>sabiedrības</w:t>
            </w:r>
            <w:proofErr w:type="spellEnd"/>
            <w:r w:rsidRPr="00074F53">
              <w:t xml:space="preserve"> </w:t>
            </w:r>
            <w:proofErr w:type="spellStart"/>
            <w:r w:rsidRPr="00074F53">
              <w:t>vidū</w:t>
            </w:r>
            <w:proofErr w:type="spellEnd"/>
            <w:r w:rsidRPr="00074F53">
              <w:t>.</w:t>
            </w:r>
          </w:p>
          <w:p w14:paraId="169409F0" w14:textId="77777777" w:rsidR="0006054D" w:rsidRPr="00074F53" w:rsidRDefault="0006054D" w:rsidP="0006054D">
            <w:pPr>
              <w:pStyle w:val="ListParagraph"/>
              <w:numPr>
                <w:ilvl w:val="0"/>
                <w:numId w:val="36"/>
              </w:numPr>
              <w:spacing w:after="160" w:line="259" w:lineRule="auto"/>
            </w:pPr>
            <w:proofErr w:type="spellStart"/>
            <w:r w:rsidRPr="00074F53">
              <w:t>Digitālā</w:t>
            </w:r>
            <w:proofErr w:type="spellEnd"/>
            <w:r w:rsidRPr="00074F53">
              <w:t xml:space="preserve"> </w:t>
            </w:r>
            <w:proofErr w:type="spellStart"/>
            <w:r w:rsidRPr="00074F53">
              <w:t>klātbūtne</w:t>
            </w:r>
            <w:proofErr w:type="spellEnd"/>
            <w:r w:rsidRPr="00074F53">
              <w:t xml:space="preserve"> - </w:t>
            </w:r>
            <w:proofErr w:type="spellStart"/>
            <w:r w:rsidRPr="00074F53">
              <w:t>nodrošināta</w:t>
            </w:r>
            <w:proofErr w:type="spellEnd"/>
            <w:r w:rsidRPr="00074F53">
              <w:t xml:space="preserve"> </w:t>
            </w:r>
            <w:proofErr w:type="spellStart"/>
            <w:r w:rsidRPr="00074F53">
              <w:t>regulāra</w:t>
            </w:r>
            <w:proofErr w:type="spellEnd"/>
            <w:r w:rsidRPr="00074F53">
              <w:t xml:space="preserve"> </w:t>
            </w:r>
            <w:proofErr w:type="spellStart"/>
            <w:r w:rsidRPr="00074F53">
              <w:t>informācijas</w:t>
            </w:r>
            <w:proofErr w:type="spellEnd"/>
            <w:r w:rsidRPr="00074F53">
              <w:t xml:space="preserve"> </w:t>
            </w:r>
            <w:proofErr w:type="spellStart"/>
            <w:r w:rsidRPr="00074F53">
              <w:t>aprite</w:t>
            </w:r>
            <w:proofErr w:type="spellEnd"/>
            <w:r w:rsidRPr="00074F53">
              <w:t xml:space="preserve"> </w:t>
            </w:r>
            <w:proofErr w:type="spellStart"/>
            <w:r w:rsidRPr="00074F53">
              <w:t>divās</w:t>
            </w:r>
            <w:proofErr w:type="spellEnd"/>
            <w:r w:rsidRPr="00074F53">
              <w:t xml:space="preserve"> </w:t>
            </w:r>
            <w:proofErr w:type="spellStart"/>
            <w:r w:rsidRPr="00074F53">
              <w:t>valodās</w:t>
            </w:r>
            <w:proofErr w:type="spellEnd"/>
            <w:r w:rsidRPr="00074F53">
              <w:t xml:space="preserve"> (</w:t>
            </w:r>
            <w:proofErr w:type="spellStart"/>
            <w:r w:rsidRPr="00074F53">
              <w:t>pārskata</w:t>
            </w:r>
            <w:proofErr w:type="spellEnd"/>
            <w:r w:rsidRPr="00074F53">
              <w:t xml:space="preserve"> </w:t>
            </w:r>
            <w:proofErr w:type="spellStart"/>
            <w:r w:rsidRPr="00074F53">
              <w:t>gadā</w:t>
            </w:r>
            <w:proofErr w:type="spellEnd"/>
            <w:r w:rsidRPr="00074F53">
              <w:t xml:space="preserve"> 180 </w:t>
            </w:r>
            <w:proofErr w:type="spellStart"/>
            <w:r w:rsidRPr="00074F53">
              <w:t>ziņas</w:t>
            </w:r>
            <w:proofErr w:type="spellEnd"/>
            <w:r w:rsidRPr="00074F53">
              <w:t xml:space="preserve"> par ES </w:t>
            </w:r>
            <w:proofErr w:type="spellStart"/>
            <w:r w:rsidRPr="00074F53">
              <w:t>atbalstu</w:t>
            </w:r>
            <w:proofErr w:type="spellEnd"/>
            <w:r w:rsidRPr="00074F53">
              <w:t xml:space="preserve"> LV/EN) un </w:t>
            </w:r>
            <w:proofErr w:type="spellStart"/>
            <w:r w:rsidRPr="00074F53">
              <w:t>dinamiska</w:t>
            </w:r>
            <w:proofErr w:type="spellEnd"/>
            <w:r w:rsidRPr="00074F53">
              <w:t xml:space="preserve"> </w:t>
            </w:r>
            <w:proofErr w:type="spellStart"/>
            <w:r w:rsidRPr="00074F53">
              <w:t>komunikācija</w:t>
            </w:r>
            <w:proofErr w:type="spellEnd"/>
            <w:r w:rsidRPr="00074F53">
              <w:t xml:space="preserve"> </w:t>
            </w:r>
            <w:proofErr w:type="spellStart"/>
            <w:r w:rsidRPr="00074F53">
              <w:t>sociālajos</w:t>
            </w:r>
            <w:proofErr w:type="spellEnd"/>
            <w:r w:rsidRPr="00074F53">
              <w:t xml:space="preserve"> </w:t>
            </w:r>
            <w:proofErr w:type="spellStart"/>
            <w:r w:rsidRPr="00074F53">
              <w:t>tīklos</w:t>
            </w:r>
            <w:proofErr w:type="spellEnd"/>
            <w:r w:rsidRPr="00074F53">
              <w:t>.</w:t>
            </w:r>
          </w:p>
          <w:p w14:paraId="484DFDAD" w14:textId="77777777" w:rsidR="0006054D" w:rsidRPr="00074F53" w:rsidRDefault="0006054D" w:rsidP="0006054D">
            <w:pPr>
              <w:numPr>
                <w:ilvl w:val="0"/>
                <w:numId w:val="36"/>
              </w:numPr>
              <w:spacing w:after="160" w:line="259" w:lineRule="auto"/>
            </w:pPr>
            <w:proofErr w:type="spellStart"/>
            <w:r w:rsidRPr="00074F53">
              <w:rPr>
                <w:bCs/>
              </w:rPr>
              <w:t>Vizuālā</w:t>
            </w:r>
            <w:proofErr w:type="spellEnd"/>
            <w:r w:rsidRPr="00074F53">
              <w:rPr>
                <w:bCs/>
              </w:rPr>
              <w:t xml:space="preserve"> </w:t>
            </w:r>
            <w:proofErr w:type="spellStart"/>
            <w:r w:rsidRPr="00074F53">
              <w:rPr>
                <w:bCs/>
              </w:rPr>
              <w:t>identitāte</w:t>
            </w:r>
            <w:proofErr w:type="spellEnd"/>
            <w:r w:rsidRPr="00074F53">
              <w:rPr>
                <w:bCs/>
              </w:rPr>
              <w:t xml:space="preserve"> - </w:t>
            </w:r>
            <w:proofErr w:type="spellStart"/>
            <w:r w:rsidRPr="00074F53">
              <w:rPr>
                <w:bCs/>
              </w:rPr>
              <w:t>v</w:t>
            </w:r>
            <w:r w:rsidRPr="00074F53">
              <w:t>isās</w:t>
            </w:r>
            <w:proofErr w:type="spellEnd"/>
            <w:r w:rsidRPr="00074F53">
              <w:t xml:space="preserve"> </w:t>
            </w:r>
            <w:proofErr w:type="spellStart"/>
            <w:r w:rsidRPr="00074F53">
              <w:t>projektu</w:t>
            </w:r>
            <w:proofErr w:type="spellEnd"/>
            <w:r w:rsidRPr="00074F53">
              <w:t xml:space="preserve"> </w:t>
            </w:r>
            <w:proofErr w:type="spellStart"/>
            <w:r w:rsidRPr="00074F53">
              <w:t>īstenošanas</w:t>
            </w:r>
            <w:proofErr w:type="spellEnd"/>
            <w:r w:rsidRPr="00074F53">
              <w:t xml:space="preserve"> </w:t>
            </w:r>
            <w:proofErr w:type="spellStart"/>
            <w:r w:rsidRPr="00074F53">
              <w:t>vietās</w:t>
            </w:r>
            <w:proofErr w:type="spellEnd"/>
            <w:r w:rsidRPr="00074F53">
              <w:t xml:space="preserve"> </w:t>
            </w:r>
            <w:proofErr w:type="spellStart"/>
            <w:r w:rsidRPr="00074F53">
              <w:t>izvietotās</w:t>
            </w:r>
            <w:proofErr w:type="spellEnd"/>
            <w:r w:rsidRPr="00074F53">
              <w:t xml:space="preserve"> </w:t>
            </w:r>
            <w:proofErr w:type="spellStart"/>
            <w:r w:rsidRPr="00074F53">
              <w:t>ilgtspējīgās</w:t>
            </w:r>
            <w:proofErr w:type="spellEnd"/>
            <w:r w:rsidRPr="00074F53">
              <w:t xml:space="preserve"> </w:t>
            </w:r>
            <w:proofErr w:type="spellStart"/>
            <w:r w:rsidRPr="00074F53">
              <w:t>informatīvās</w:t>
            </w:r>
            <w:proofErr w:type="spellEnd"/>
            <w:r w:rsidRPr="00074F53">
              <w:t xml:space="preserve"> </w:t>
            </w:r>
            <w:proofErr w:type="spellStart"/>
            <w:r w:rsidRPr="00074F53">
              <w:t>plāksnes</w:t>
            </w:r>
            <w:proofErr w:type="spellEnd"/>
            <w:r w:rsidRPr="00074F53">
              <w:t xml:space="preserve"> un </w:t>
            </w:r>
            <w:proofErr w:type="spellStart"/>
            <w:r w:rsidRPr="00074F53">
              <w:t>stendi</w:t>
            </w:r>
            <w:proofErr w:type="spellEnd"/>
            <w:r w:rsidRPr="00074F53">
              <w:t xml:space="preserve">, </w:t>
            </w:r>
            <w:proofErr w:type="spellStart"/>
            <w:r w:rsidRPr="00074F53">
              <w:t>kā</w:t>
            </w:r>
            <w:proofErr w:type="spellEnd"/>
            <w:r w:rsidRPr="00074F53">
              <w:t xml:space="preserve"> </w:t>
            </w:r>
            <w:proofErr w:type="spellStart"/>
            <w:r w:rsidRPr="00074F53">
              <w:t>arī</w:t>
            </w:r>
            <w:proofErr w:type="spellEnd"/>
            <w:r w:rsidRPr="00074F53">
              <w:t xml:space="preserve"> roll-up </w:t>
            </w:r>
            <w:proofErr w:type="spellStart"/>
            <w:r w:rsidRPr="00074F53">
              <w:t>baneri</w:t>
            </w:r>
            <w:proofErr w:type="spellEnd"/>
            <w:r w:rsidRPr="00074F53">
              <w:t xml:space="preserve">, </w:t>
            </w:r>
            <w:proofErr w:type="spellStart"/>
            <w:r w:rsidRPr="00074F53">
              <w:t>kalpoja</w:t>
            </w:r>
            <w:proofErr w:type="spellEnd"/>
            <w:r w:rsidRPr="00074F53">
              <w:t xml:space="preserve"> </w:t>
            </w:r>
            <w:proofErr w:type="spellStart"/>
            <w:r w:rsidRPr="00074F53">
              <w:t>kā</w:t>
            </w:r>
            <w:proofErr w:type="spellEnd"/>
            <w:r w:rsidRPr="00074F53">
              <w:t xml:space="preserve"> </w:t>
            </w:r>
            <w:proofErr w:type="spellStart"/>
            <w:r w:rsidRPr="00074F53">
              <w:t>pastāvīgs</w:t>
            </w:r>
            <w:proofErr w:type="spellEnd"/>
            <w:r w:rsidRPr="00074F53">
              <w:t xml:space="preserve"> </w:t>
            </w:r>
            <w:proofErr w:type="spellStart"/>
            <w:r w:rsidRPr="00074F53">
              <w:t>atgādinājums</w:t>
            </w:r>
            <w:proofErr w:type="spellEnd"/>
            <w:r w:rsidRPr="00074F53">
              <w:t xml:space="preserve"> par ES </w:t>
            </w:r>
            <w:proofErr w:type="spellStart"/>
            <w:r w:rsidRPr="00074F53">
              <w:t>solidaritāti</w:t>
            </w:r>
            <w:proofErr w:type="spellEnd"/>
            <w:r w:rsidRPr="00074F53">
              <w:t xml:space="preserve"> un </w:t>
            </w:r>
            <w:proofErr w:type="spellStart"/>
            <w:r w:rsidRPr="00074F53">
              <w:t>praktisko</w:t>
            </w:r>
            <w:proofErr w:type="spellEnd"/>
            <w:r w:rsidRPr="00074F53">
              <w:t xml:space="preserve"> </w:t>
            </w:r>
            <w:proofErr w:type="spellStart"/>
            <w:r w:rsidRPr="00074F53">
              <w:t>ieguldījumu</w:t>
            </w:r>
            <w:proofErr w:type="spellEnd"/>
            <w:r w:rsidRPr="00074F53">
              <w:t xml:space="preserve"> </w:t>
            </w:r>
            <w:proofErr w:type="spellStart"/>
            <w:r w:rsidRPr="00074F53">
              <w:t>Latvijas</w:t>
            </w:r>
            <w:proofErr w:type="spellEnd"/>
            <w:r w:rsidRPr="00074F53">
              <w:t xml:space="preserve"> </w:t>
            </w:r>
            <w:proofErr w:type="spellStart"/>
            <w:r w:rsidRPr="00074F53">
              <w:t>iekšējā</w:t>
            </w:r>
            <w:proofErr w:type="spellEnd"/>
            <w:r w:rsidRPr="00074F53">
              <w:t xml:space="preserve"> </w:t>
            </w:r>
            <w:proofErr w:type="spellStart"/>
            <w:r w:rsidRPr="00074F53">
              <w:t>drošībā</w:t>
            </w:r>
            <w:proofErr w:type="spellEnd"/>
            <w:r w:rsidRPr="00074F53">
              <w:t>.</w:t>
            </w:r>
          </w:p>
          <w:p w14:paraId="7309A63E" w14:textId="77777777" w:rsidR="0006054D" w:rsidRPr="00074F53" w:rsidRDefault="0006054D" w:rsidP="0006054D">
            <w:proofErr w:type="spellStart"/>
            <w:r w:rsidRPr="00074F53">
              <w:t>Pateicoties</w:t>
            </w:r>
            <w:proofErr w:type="spellEnd"/>
            <w:r w:rsidRPr="00074F53">
              <w:t xml:space="preserve"> </w:t>
            </w:r>
            <w:proofErr w:type="spellStart"/>
            <w:r w:rsidRPr="00074F53">
              <w:t>mērķtiecīgajām</w:t>
            </w:r>
            <w:proofErr w:type="spellEnd"/>
            <w:r w:rsidRPr="00074F53">
              <w:t xml:space="preserve"> </w:t>
            </w:r>
            <w:proofErr w:type="spellStart"/>
            <w:r w:rsidRPr="00074F53">
              <w:t>komunikācijas</w:t>
            </w:r>
            <w:proofErr w:type="spellEnd"/>
            <w:r w:rsidRPr="00074F53">
              <w:t xml:space="preserve"> </w:t>
            </w:r>
            <w:proofErr w:type="spellStart"/>
            <w:r w:rsidRPr="00074F53">
              <w:t>aktivitātēm</w:t>
            </w:r>
            <w:proofErr w:type="spellEnd"/>
            <w:r w:rsidRPr="00074F53">
              <w:t xml:space="preserve">, </w:t>
            </w:r>
            <w:proofErr w:type="spellStart"/>
            <w:r w:rsidRPr="00074F53">
              <w:t>sabiedrības</w:t>
            </w:r>
            <w:proofErr w:type="spellEnd"/>
            <w:r w:rsidRPr="00074F53">
              <w:t xml:space="preserve"> </w:t>
            </w:r>
            <w:proofErr w:type="spellStart"/>
            <w:r w:rsidRPr="00074F53">
              <w:t>informētības</w:t>
            </w:r>
            <w:proofErr w:type="spellEnd"/>
            <w:r w:rsidRPr="00074F53">
              <w:t xml:space="preserve"> </w:t>
            </w:r>
            <w:proofErr w:type="spellStart"/>
            <w:r w:rsidRPr="00074F53">
              <w:t>līmenis</w:t>
            </w:r>
            <w:proofErr w:type="spellEnd"/>
            <w:r w:rsidRPr="00074F53">
              <w:t xml:space="preserve"> par ES </w:t>
            </w:r>
            <w:proofErr w:type="spellStart"/>
            <w:r w:rsidRPr="00074F53">
              <w:t>iekšlietu</w:t>
            </w:r>
            <w:proofErr w:type="spellEnd"/>
            <w:r w:rsidRPr="00074F53">
              <w:t xml:space="preserve"> </w:t>
            </w:r>
            <w:proofErr w:type="spellStart"/>
            <w:r w:rsidRPr="00074F53">
              <w:t>fondiem</w:t>
            </w:r>
            <w:proofErr w:type="spellEnd"/>
            <w:r w:rsidRPr="00074F53">
              <w:t xml:space="preserve"> </w:t>
            </w:r>
            <w:proofErr w:type="spellStart"/>
            <w:r w:rsidRPr="00074F53">
              <w:t>ir</w:t>
            </w:r>
            <w:proofErr w:type="spellEnd"/>
            <w:r w:rsidRPr="00074F53">
              <w:t xml:space="preserve"> </w:t>
            </w:r>
            <w:proofErr w:type="spellStart"/>
            <w:r w:rsidRPr="00074F53">
              <w:t>uzrādījis</w:t>
            </w:r>
            <w:proofErr w:type="spellEnd"/>
            <w:r w:rsidRPr="00074F53">
              <w:t xml:space="preserve"> </w:t>
            </w:r>
            <w:proofErr w:type="spellStart"/>
            <w:r w:rsidRPr="00074F53">
              <w:t>strauju</w:t>
            </w:r>
            <w:proofErr w:type="spellEnd"/>
            <w:r w:rsidRPr="00074F53">
              <w:t xml:space="preserve"> </w:t>
            </w:r>
            <w:proofErr w:type="spellStart"/>
            <w:r w:rsidRPr="00074F53">
              <w:t>izaugsmi</w:t>
            </w:r>
            <w:proofErr w:type="spellEnd"/>
            <w:r w:rsidRPr="00074F53">
              <w:t xml:space="preserve">. </w:t>
            </w:r>
            <w:proofErr w:type="spellStart"/>
            <w:r w:rsidRPr="00074F53">
              <w:t>Plānotais</w:t>
            </w:r>
            <w:proofErr w:type="spellEnd"/>
            <w:r w:rsidRPr="00074F53">
              <w:t xml:space="preserve"> </w:t>
            </w:r>
            <w:proofErr w:type="spellStart"/>
            <w:r w:rsidRPr="00074F53">
              <w:t>mērķis</w:t>
            </w:r>
            <w:proofErr w:type="spellEnd"/>
            <w:r w:rsidRPr="00074F53">
              <w:t xml:space="preserve">: 7,5%, </w:t>
            </w:r>
            <w:proofErr w:type="spellStart"/>
            <w:r w:rsidRPr="00074F53">
              <w:t>sasniegtais</w:t>
            </w:r>
            <w:proofErr w:type="spellEnd"/>
            <w:r w:rsidRPr="00074F53">
              <w:t xml:space="preserve"> </w:t>
            </w:r>
            <w:proofErr w:type="spellStart"/>
            <w:r w:rsidRPr="00074F53">
              <w:t>rezultāts</w:t>
            </w:r>
            <w:proofErr w:type="spellEnd"/>
            <w:r w:rsidRPr="00074F53">
              <w:t xml:space="preserve"> (2025. gads): 21%. </w:t>
            </w:r>
          </w:p>
          <w:p w14:paraId="543B94E7" w14:textId="77777777" w:rsidR="0006054D" w:rsidRPr="00074F53" w:rsidRDefault="0006054D" w:rsidP="0006054D">
            <w:proofErr w:type="spellStart"/>
            <w:r w:rsidRPr="00074F53">
              <w:t>Komunikācijas</w:t>
            </w:r>
            <w:proofErr w:type="spellEnd"/>
            <w:r w:rsidRPr="00074F53">
              <w:t xml:space="preserve"> </w:t>
            </w:r>
            <w:proofErr w:type="spellStart"/>
            <w:r w:rsidRPr="00074F53">
              <w:t>stratēģija</w:t>
            </w:r>
            <w:proofErr w:type="spellEnd"/>
            <w:r w:rsidRPr="00074F53">
              <w:t xml:space="preserve"> </w:t>
            </w:r>
            <w:proofErr w:type="spellStart"/>
            <w:r w:rsidRPr="00074F53">
              <w:t>ir</w:t>
            </w:r>
            <w:proofErr w:type="spellEnd"/>
            <w:r w:rsidRPr="00074F53">
              <w:t xml:space="preserve"> </w:t>
            </w:r>
            <w:proofErr w:type="spellStart"/>
            <w:r w:rsidRPr="00074F53">
              <w:t>nostrādājusi</w:t>
            </w:r>
            <w:proofErr w:type="spellEnd"/>
            <w:r w:rsidRPr="00074F53">
              <w:t xml:space="preserve"> </w:t>
            </w:r>
            <w:proofErr w:type="spellStart"/>
            <w:r w:rsidRPr="00074F53">
              <w:t>virs</w:t>
            </w:r>
            <w:proofErr w:type="spellEnd"/>
            <w:r w:rsidRPr="00074F53">
              <w:t xml:space="preserve"> </w:t>
            </w:r>
            <w:proofErr w:type="spellStart"/>
            <w:r w:rsidRPr="00074F53">
              <w:t>cerētā</w:t>
            </w:r>
            <w:proofErr w:type="spellEnd"/>
            <w:r w:rsidRPr="00074F53">
              <w:t xml:space="preserve">, </w:t>
            </w:r>
            <w:proofErr w:type="spellStart"/>
            <w:r w:rsidRPr="00074F53">
              <w:t>vairāk</w:t>
            </w:r>
            <w:proofErr w:type="spellEnd"/>
            <w:r w:rsidRPr="00074F53">
              <w:t xml:space="preserve"> </w:t>
            </w:r>
            <w:proofErr w:type="spellStart"/>
            <w:r w:rsidRPr="00074F53">
              <w:t>nekā</w:t>
            </w:r>
            <w:proofErr w:type="spellEnd"/>
            <w:r w:rsidRPr="00074F53">
              <w:t xml:space="preserve"> </w:t>
            </w:r>
            <w:proofErr w:type="spellStart"/>
            <w:r w:rsidRPr="00074F53">
              <w:t>dubultojot</w:t>
            </w:r>
            <w:proofErr w:type="spellEnd"/>
            <w:r w:rsidRPr="00074F53">
              <w:t xml:space="preserve"> </w:t>
            </w:r>
            <w:proofErr w:type="spellStart"/>
            <w:r w:rsidRPr="00074F53">
              <w:t>plānoto</w:t>
            </w:r>
            <w:proofErr w:type="spellEnd"/>
            <w:r w:rsidRPr="00074F53">
              <w:t xml:space="preserve"> </w:t>
            </w:r>
            <w:proofErr w:type="spellStart"/>
            <w:r w:rsidRPr="00074F53">
              <w:t>sabiedrības</w:t>
            </w:r>
            <w:proofErr w:type="spellEnd"/>
            <w:r w:rsidRPr="00074F53">
              <w:t xml:space="preserve"> </w:t>
            </w:r>
            <w:proofErr w:type="spellStart"/>
            <w:r w:rsidRPr="00074F53">
              <w:t>informētības</w:t>
            </w:r>
            <w:proofErr w:type="spellEnd"/>
            <w:r w:rsidRPr="00074F53">
              <w:t xml:space="preserve"> </w:t>
            </w:r>
            <w:proofErr w:type="spellStart"/>
            <w:r w:rsidRPr="00074F53">
              <w:t>līmeņa</w:t>
            </w:r>
            <w:proofErr w:type="spellEnd"/>
            <w:r w:rsidRPr="00074F53">
              <w:t xml:space="preserve"> </w:t>
            </w:r>
            <w:proofErr w:type="spellStart"/>
            <w:r w:rsidRPr="00074F53">
              <w:t>rādītāju</w:t>
            </w:r>
            <w:proofErr w:type="spellEnd"/>
            <w:r w:rsidRPr="00074F53">
              <w:t xml:space="preserve">. Tas </w:t>
            </w:r>
            <w:proofErr w:type="spellStart"/>
            <w:r w:rsidRPr="00074F53">
              <w:t>apliecina</w:t>
            </w:r>
            <w:proofErr w:type="spellEnd"/>
            <w:r w:rsidRPr="00074F53">
              <w:t xml:space="preserve">, ka </w:t>
            </w:r>
            <w:proofErr w:type="spellStart"/>
            <w:r w:rsidRPr="00074F53">
              <w:t>sabiedrība</w:t>
            </w:r>
            <w:proofErr w:type="spellEnd"/>
            <w:r w:rsidRPr="00074F53">
              <w:t xml:space="preserve"> </w:t>
            </w:r>
            <w:proofErr w:type="spellStart"/>
            <w:r w:rsidRPr="00074F53">
              <w:t>skaidri</w:t>
            </w:r>
            <w:proofErr w:type="spellEnd"/>
            <w:r w:rsidRPr="00074F53">
              <w:t xml:space="preserve"> </w:t>
            </w:r>
            <w:proofErr w:type="spellStart"/>
            <w:r w:rsidRPr="00074F53">
              <w:t>saredz</w:t>
            </w:r>
            <w:proofErr w:type="spellEnd"/>
            <w:r w:rsidRPr="00074F53">
              <w:t xml:space="preserve"> ES </w:t>
            </w:r>
            <w:proofErr w:type="spellStart"/>
            <w:r w:rsidRPr="00074F53">
              <w:t>iekšlietu</w:t>
            </w:r>
            <w:proofErr w:type="spellEnd"/>
            <w:r w:rsidRPr="00074F53">
              <w:t xml:space="preserve"> fondu, tai </w:t>
            </w:r>
            <w:proofErr w:type="spellStart"/>
            <w:r w:rsidRPr="00074F53">
              <w:t>skaitā</w:t>
            </w:r>
            <w:proofErr w:type="spellEnd"/>
            <w:r w:rsidRPr="00074F53">
              <w:t xml:space="preserve"> IDF </w:t>
            </w:r>
            <w:proofErr w:type="spellStart"/>
            <w:r w:rsidRPr="00074F53">
              <w:t>praktisko</w:t>
            </w:r>
            <w:proofErr w:type="spellEnd"/>
            <w:r w:rsidRPr="00074F53">
              <w:t xml:space="preserve"> </w:t>
            </w:r>
            <w:proofErr w:type="spellStart"/>
            <w:r w:rsidRPr="00074F53">
              <w:t>pienesumu</w:t>
            </w:r>
            <w:proofErr w:type="spellEnd"/>
            <w:r w:rsidRPr="00074F53">
              <w:t xml:space="preserve"> </w:t>
            </w:r>
            <w:proofErr w:type="spellStart"/>
            <w:r w:rsidRPr="00074F53">
              <w:t>valsts</w:t>
            </w:r>
            <w:proofErr w:type="spellEnd"/>
            <w:r w:rsidRPr="00074F53">
              <w:t xml:space="preserve"> </w:t>
            </w:r>
            <w:proofErr w:type="spellStart"/>
            <w:r w:rsidRPr="00074F53">
              <w:t>iekšējās</w:t>
            </w:r>
            <w:proofErr w:type="spellEnd"/>
            <w:r w:rsidRPr="00074F53">
              <w:t xml:space="preserve"> </w:t>
            </w:r>
            <w:proofErr w:type="spellStart"/>
            <w:r w:rsidRPr="00074F53">
              <w:t>drošības</w:t>
            </w:r>
            <w:proofErr w:type="spellEnd"/>
            <w:r w:rsidRPr="00074F53">
              <w:t xml:space="preserve"> </w:t>
            </w:r>
            <w:proofErr w:type="spellStart"/>
            <w:r w:rsidRPr="00074F53">
              <w:t>stiprināšanā</w:t>
            </w:r>
            <w:proofErr w:type="spellEnd"/>
            <w:r w:rsidRPr="00074F53">
              <w:t xml:space="preserve">, </w:t>
            </w:r>
            <w:proofErr w:type="spellStart"/>
            <w:r w:rsidRPr="00074F53">
              <w:t>veidojot</w:t>
            </w:r>
            <w:proofErr w:type="spellEnd"/>
            <w:r w:rsidRPr="00074F53">
              <w:t xml:space="preserve"> </w:t>
            </w:r>
            <w:proofErr w:type="spellStart"/>
            <w:r w:rsidRPr="00074F53">
              <w:t>stabilu</w:t>
            </w:r>
            <w:proofErr w:type="spellEnd"/>
            <w:r w:rsidRPr="00074F53">
              <w:t xml:space="preserve"> </w:t>
            </w:r>
            <w:proofErr w:type="spellStart"/>
            <w:r w:rsidRPr="00074F53">
              <w:t>pamatu</w:t>
            </w:r>
            <w:proofErr w:type="spellEnd"/>
            <w:r w:rsidRPr="00074F53">
              <w:t xml:space="preserve"> </w:t>
            </w:r>
            <w:proofErr w:type="spellStart"/>
            <w:r w:rsidRPr="00074F53">
              <w:t>turpmākai</w:t>
            </w:r>
            <w:proofErr w:type="spellEnd"/>
            <w:r w:rsidRPr="00074F53">
              <w:t xml:space="preserve">, </w:t>
            </w:r>
            <w:proofErr w:type="spellStart"/>
            <w:r w:rsidRPr="00074F53">
              <w:t>veiksmīgai</w:t>
            </w:r>
            <w:proofErr w:type="spellEnd"/>
            <w:r w:rsidRPr="00074F53">
              <w:t xml:space="preserve"> IDF </w:t>
            </w:r>
            <w:proofErr w:type="spellStart"/>
            <w:r w:rsidRPr="00074F53">
              <w:t>apguvei</w:t>
            </w:r>
            <w:proofErr w:type="spellEnd"/>
            <w:r w:rsidRPr="00074F53">
              <w:t>.</w:t>
            </w:r>
          </w:p>
          <w:p w14:paraId="0CCC4FD7" w14:textId="77777777" w:rsidR="0006054D" w:rsidRPr="00074F53" w:rsidRDefault="0006054D" w:rsidP="0006054D">
            <w:pPr>
              <w:keepNext/>
              <w:tabs>
                <w:tab w:val="left" w:pos="4252"/>
              </w:tabs>
              <w:spacing w:before="240" w:after="120"/>
              <w:rPr>
                <w:rFonts w:eastAsiaTheme="minorHAnsi"/>
                <w:b/>
              </w:rPr>
            </w:pPr>
            <w:r w:rsidRPr="00074F53">
              <w:rPr>
                <w:rFonts w:eastAsiaTheme="minorHAnsi"/>
                <w:b/>
              </w:rPr>
              <w:t xml:space="preserve">f) </w:t>
            </w:r>
            <w:proofErr w:type="spellStart"/>
            <w:r w:rsidRPr="00074F53">
              <w:rPr>
                <w:rFonts w:eastAsiaTheme="minorHAnsi"/>
                <w:b/>
              </w:rPr>
              <w:t>Veicinošo</w:t>
            </w:r>
            <w:proofErr w:type="spellEnd"/>
            <w:r w:rsidRPr="00074F53">
              <w:rPr>
                <w:rFonts w:eastAsiaTheme="minorHAnsi"/>
                <w:b/>
              </w:rPr>
              <w:t xml:space="preserve"> </w:t>
            </w:r>
            <w:proofErr w:type="spellStart"/>
            <w:r w:rsidRPr="00074F53">
              <w:rPr>
                <w:rFonts w:eastAsiaTheme="minorHAnsi"/>
                <w:b/>
              </w:rPr>
              <w:t>nosacījumu</w:t>
            </w:r>
            <w:proofErr w:type="spellEnd"/>
            <w:r w:rsidRPr="00074F53">
              <w:rPr>
                <w:rFonts w:eastAsiaTheme="minorHAnsi"/>
                <w:b/>
              </w:rPr>
              <w:t xml:space="preserve"> </w:t>
            </w:r>
            <w:proofErr w:type="spellStart"/>
            <w:r w:rsidRPr="00074F53">
              <w:rPr>
                <w:rFonts w:eastAsiaTheme="minorHAnsi"/>
                <w:b/>
              </w:rPr>
              <w:t>izpilde</w:t>
            </w:r>
            <w:proofErr w:type="spellEnd"/>
            <w:r w:rsidRPr="00074F53">
              <w:rPr>
                <w:rFonts w:eastAsiaTheme="minorHAnsi"/>
                <w:b/>
              </w:rPr>
              <w:t xml:space="preserve"> un </w:t>
            </w:r>
            <w:proofErr w:type="spellStart"/>
            <w:r w:rsidRPr="00074F53">
              <w:rPr>
                <w:rFonts w:eastAsiaTheme="minorHAnsi"/>
                <w:b/>
              </w:rPr>
              <w:t>piemērošana</w:t>
            </w:r>
            <w:proofErr w:type="spellEnd"/>
          </w:p>
          <w:p w14:paraId="151FB07E" w14:textId="77777777" w:rsidR="0006054D" w:rsidRPr="00074F53" w:rsidRDefault="0006054D" w:rsidP="0006054D">
            <w:pPr>
              <w:numPr>
                <w:ilvl w:val="0"/>
                <w:numId w:val="37"/>
              </w:numPr>
              <w:spacing w:before="100" w:beforeAutospacing="1" w:after="100" w:afterAutospacing="1"/>
            </w:pPr>
            <w:proofErr w:type="spellStart"/>
            <w:r w:rsidRPr="00074F53">
              <w:rPr>
                <w:b/>
                <w:bCs/>
              </w:rPr>
              <w:t>Efektīvi</w:t>
            </w:r>
            <w:proofErr w:type="spellEnd"/>
            <w:r w:rsidRPr="00074F53">
              <w:rPr>
                <w:b/>
                <w:bCs/>
              </w:rPr>
              <w:t xml:space="preserve"> </w:t>
            </w:r>
            <w:proofErr w:type="spellStart"/>
            <w:r w:rsidRPr="00074F53">
              <w:rPr>
                <w:b/>
                <w:bCs/>
              </w:rPr>
              <w:t>publiskā</w:t>
            </w:r>
            <w:proofErr w:type="spellEnd"/>
            <w:r w:rsidRPr="00074F53">
              <w:rPr>
                <w:b/>
                <w:bCs/>
              </w:rPr>
              <w:t xml:space="preserve"> </w:t>
            </w:r>
            <w:proofErr w:type="spellStart"/>
            <w:r w:rsidRPr="00074F53">
              <w:rPr>
                <w:b/>
                <w:bCs/>
              </w:rPr>
              <w:t>iepirkuma</w:t>
            </w:r>
            <w:proofErr w:type="spellEnd"/>
            <w:r w:rsidRPr="00074F53">
              <w:rPr>
                <w:b/>
                <w:bCs/>
              </w:rPr>
              <w:t xml:space="preserve"> </w:t>
            </w:r>
            <w:proofErr w:type="spellStart"/>
            <w:r w:rsidRPr="00074F53">
              <w:rPr>
                <w:b/>
                <w:bCs/>
              </w:rPr>
              <w:t>tirgus</w:t>
            </w:r>
            <w:proofErr w:type="spellEnd"/>
            <w:r w:rsidRPr="00074F53">
              <w:rPr>
                <w:b/>
                <w:bCs/>
              </w:rPr>
              <w:t xml:space="preserve"> </w:t>
            </w:r>
            <w:proofErr w:type="spellStart"/>
            <w:r w:rsidRPr="00074F53">
              <w:rPr>
                <w:b/>
                <w:bCs/>
              </w:rPr>
              <w:t>uzraudzības</w:t>
            </w:r>
            <w:proofErr w:type="spellEnd"/>
            <w:r w:rsidRPr="00074F53">
              <w:rPr>
                <w:b/>
                <w:bCs/>
              </w:rPr>
              <w:t xml:space="preserve"> </w:t>
            </w:r>
            <w:proofErr w:type="spellStart"/>
            <w:r w:rsidRPr="00074F53">
              <w:rPr>
                <w:b/>
                <w:bCs/>
              </w:rPr>
              <w:t>mehānismi</w:t>
            </w:r>
            <w:proofErr w:type="spellEnd"/>
            <w:r w:rsidRPr="00074F53">
              <w:rPr>
                <w:b/>
                <w:bCs/>
              </w:rPr>
              <w:t>:</w:t>
            </w:r>
            <w:r w:rsidRPr="00074F53">
              <w:t xml:space="preserve"> </w:t>
            </w:r>
            <w:proofErr w:type="spellStart"/>
            <w:r w:rsidRPr="00074F53">
              <w:t>nodrošināta</w:t>
            </w:r>
            <w:proofErr w:type="spellEnd"/>
            <w:r w:rsidRPr="00074F53">
              <w:t xml:space="preserve"> </w:t>
            </w:r>
            <w:proofErr w:type="spellStart"/>
            <w:r w:rsidRPr="00074F53">
              <w:t>izpilde</w:t>
            </w:r>
            <w:proofErr w:type="spellEnd"/>
            <w:r w:rsidRPr="00074F53">
              <w:t xml:space="preserve">, </w:t>
            </w:r>
            <w:proofErr w:type="spellStart"/>
            <w:r w:rsidRPr="00074F53">
              <w:t>Iepirkumu</w:t>
            </w:r>
            <w:proofErr w:type="spellEnd"/>
            <w:r w:rsidRPr="00074F53">
              <w:t xml:space="preserve"> </w:t>
            </w:r>
            <w:proofErr w:type="spellStart"/>
            <w:r w:rsidRPr="00074F53">
              <w:t>uzraudzības</w:t>
            </w:r>
            <w:proofErr w:type="spellEnd"/>
            <w:r w:rsidRPr="00074F53">
              <w:t xml:space="preserve"> </w:t>
            </w:r>
            <w:proofErr w:type="spellStart"/>
            <w:r w:rsidRPr="00074F53">
              <w:t>birojam</w:t>
            </w:r>
            <w:proofErr w:type="spellEnd"/>
            <w:r w:rsidRPr="00074F53">
              <w:t xml:space="preserve"> </w:t>
            </w:r>
            <w:proofErr w:type="spellStart"/>
            <w:r w:rsidRPr="00074F53">
              <w:t>īstenojot</w:t>
            </w:r>
            <w:proofErr w:type="spellEnd"/>
            <w:r w:rsidRPr="00074F53">
              <w:t xml:space="preserve"> </w:t>
            </w:r>
            <w:proofErr w:type="spellStart"/>
            <w:r w:rsidRPr="00074F53">
              <w:t>uzraudzību</w:t>
            </w:r>
            <w:proofErr w:type="spellEnd"/>
            <w:r w:rsidRPr="00074F53">
              <w:t xml:space="preserve"> </w:t>
            </w:r>
            <w:proofErr w:type="spellStart"/>
            <w:r w:rsidRPr="00074F53">
              <w:t>atbilstoši</w:t>
            </w:r>
            <w:proofErr w:type="spellEnd"/>
            <w:r w:rsidRPr="00074F53">
              <w:t xml:space="preserve"> </w:t>
            </w:r>
            <w:proofErr w:type="spellStart"/>
            <w:r w:rsidRPr="00074F53">
              <w:t>Publisko</w:t>
            </w:r>
            <w:proofErr w:type="spellEnd"/>
            <w:r w:rsidRPr="00074F53">
              <w:t xml:space="preserve"> </w:t>
            </w:r>
            <w:proofErr w:type="spellStart"/>
            <w:r w:rsidRPr="00074F53">
              <w:t>iepirkumu</w:t>
            </w:r>
            <w:proofErr w:type="spellEnd"/>
            <w:r w:rsidRPr="00074F53">
              <w:t xml:space="preserve"> </w:t>
            </w:r>
            <w:proofErr w:type="spellStart"/>
            <w:r w:rsidRPr="00074F53">
              <w:t>likumam</w:t>
            </w:r>
            <w:proofErr w:type="spellEnd"/>
            <w:r w:rsidRPr="00074F53">
              <w:t xml:space="preserve"> un </w:t>
            </w:r>
            <w:proofErr w:type="spellStart"/>
            <w:r w:rsidRPr="00074F53">
              <w:t>vadošajai</w:t>
            </w:r>
            <w:proofErr w:type="spellEnd"/>
            <w:r w:rsidRPr="00074F53">
              <w:t xml:space="preserve"> </w:t>
            </w:r>
            <w:proofErr w:type="spellStart"/>
            <w:r w:rsidRPr="00074F53">
              <w:t>iestādei</w:t>
            </w:r>
            <w:proofErr w:type="spellEnd"/>
            <w:r w:rsidRPr="00074F53">
              <w:t xml:space="preserve"> </w:t>
            </w:r>
            <w:proofErr w:type="spellStart"/>
            <w:r w:rsidRPr="00074F53">
              <w:t>nodrošinot</w:t>
            </w:r>
            <w:proofErr w:type="spellEnd"/>
            <w:r w:rsidRPr="00074F53">
              <w:t xml:space="preserve"> </w:t>
            </w:r>
            <w:proofErr w:type="spellStart"/>
            <w:r w:rsidRPr="00074F53">
              <w:t>iepirkumu</w:t>
            </w:r>
            <w:proofErr w:type="spellEnd"/>
            <w:r w:rsidRPr="00074F53">
              <w:t xml:space="preserve"> </w:t>
            </w:r>
            <w:proofErr w:type="spellStart"/>
            <w:r w:rsidRPr="00074F53">
              <w:t>pirmspārbaudes</w:t>
            </w:r>
            <w:proofErr w:type="spellEnd"/>
            <w:r w:rsidRPr="00074F53">
              <w:t>.</w:t>
            </w:r>
          </w:p>
          <w:p w14:paraId="7BC28CE3" w14:textId="77777777" w:rsidR="0006054D" w:rsidRPr="00074F53" w:rsidRDefault="0006054D" w:rsidP="0006054D">
            <w:pPr>
              <w:numPr>
                <w:ilvl w:val="0"/>
                <w:numId w:val="37"/>
              </w:numPr>
              <w:spacing w:before="100" w:beforeAutospacing="1" w:after="100" w:afterAutospacing="1"/>
            </w:pPr>
            <w:proofErr w:type="spellStart"/>
            <w:r w:rsidRPr="00074F53">
              <w:rPr>
                <w:b/>
                <w:bCs/>
              </w:rPr>
              <w:t>Pamattiesību</w:t>
            </w:r>
            <w:proofErr w:type="spellEnd"/>
            <w:r w:rsidRPr="00074F53">
              <w:rPr>
                <w:b/>
                <w:bCs/>
              </w:rPr>
              <w:t xml:space="preserve"> </w:t>
            </w:r>
            <w:proofErr w:type="spellStart"/>
            <w:r w:rsidRPr="00074F53">
              <w:rPr>
                <w:b/>
                <w:bCs/>
              </w:rPr>
              <w:t>hartas</w:t>
            </w:r>
            <w:proofErr w:type="spellEnd"/>
            <w:r w:rsidRPr="00074F53">
              <w:rPr>
                <w:b/>
                <w:bCs/>
              </w:rPr>
              <w:t xml:space="preserve"> </w:t>
            </w:r>
            <w:proofErr w:type="spellStart"/>
            <w:r w:rsidRPr="00074F53">
              <w:rPr>
                <w:b/>
                <w:bCs/>
              </w:rPr>
              <w:t>efektīva</w:t>
            </w:r>
            <w:proofErr w:type="spellEnd"/>
            <w:r w:rsidRPr="00074F53">
              <w:rPr>
                <w:b/>
                <w:bCs/>
              </w:rPr>
              <w:t xml:space="preserve"> </w:t>
            </w:r>
            <w:proofErr w:type="spellStart"/>
            <w:r w:rsidRPr="00074F53">
              <w:rPr>
                <w:b/>
                <w:bCs/>
              </w:rPr>
              <w:t>piemērošana</w:t>
            </w:r>
            <w:proofErr w:type="spellEnd"/>
            <w:r w:rsidRPr="00074F53">
              <w:rPr>
                <w:b/>
                <w:bCs/>
              </w:rPr>
              <w:t xml:space="preserve"> un </w:t>
            </w:r>
            <w:proofErr w:type="spellStart"/>
            <w:r w:rsidRPr="00074F53">
              <w:rPr>
                <w:b/>
                <w:bCs/>
              </w:rPr>
              <w:t>īstenošana</w:t>
            </w:r>
            <w:proofErr w:type="spellEnd"/>
            <w:r w:rsidRPr="00074F53">
              <w:rPr>
                <w:b/>
                <w:bCs/>
              </w:rPr>
              <w:t>:</w:t>
            </w:r>
            <w:r w:rsidRPr="00074F53">
              <w:t xml:space="preserve"> </w:t>
            </w:r>
            <w:proofErr w:type="spellStart"/>
            <w:r w:rsidRPr="00074F53">
              <w:t>nodrošināta</w:t>
            </w:r>
            <w:proofErr w:type="spellEnd"/>
            <w:r w:rsidRPr="00074F53">
              <w:t xml:space="preserve"> </w:t>
            </w:r>
            <w:proofErr w:type="spellStart"/>
            <w:r w:rsidRPr="00074F53">
              <w:t>izpilde</w:t>
            </w:r>
            <w:proofErr w:type="spellEnd"/>
            <w:r w:rsidRPr="00074F53">
              <w:t xml:space="preserve"> </w:t>
            </w:r>
            <w:proofErr w:type="spellStart"/>
            <w:r w:rsidRPr="00074F53">
              <w:t>ar</w:t>
            </w:r>
            <w:proofErr w:type="spellEnd"/>
            <w:r w:rsidRPr="00074F53">
              <w:t xml:space="preserve"> </w:t>
            </w:r>
            <w:proofErr w:type="spellStart"/>
            <w:r w:rsidRPr="00074F53">
              <w:t>šādiem</w:t>
            </w:r>
            <w:proofErr w:type="spellEnd"/>
            <w:r w:rsidRPr="00074F53">
              <w:t xml:space="preserve"> </w:t>
            </w:r>
            <w:proofErr w:type="spellStart"/>
            <w:r w:rsidRPr="00074F53">
              <w:t>pasākumiem</w:t>
            </w:r>
            <w:proofErr w:type="spellEnd"/>
            <w:r w:rsidRPr="00074F53">
              <w:t>:</w:t>
            </w:r>
          </w:p>
          <w:p w14:paraId="71A3ECBA" w14:textId="77777777" w:rsidR="0006054D" w:rsidRPr="00074F53" w:rsidRDefault="0006054D" w:rsidP="0006054D">
            <w:pPr>
              <w:numPr>
                <w:ilvl w:val="1"/>
                <w:numId w:val="37"/>
              </w:numPr>
              <w:spacing w:before="100" w:beforeAutospacing="1" w:after="100" w:afterAutospacing="1"/>
            </w:pPr>
            <w:r w:rsidRPr="00074F53">
              <w:t xml:space="preserve">UK </w:t>
            </w:r>
            <w:proofErr w:type="spellStart"/>
            <w:r w:rsidRPr="00074F53">
              <w:t>iekļauts</w:t>
            </w:r>
            <w:proofErr w:type="spellEnd"/>
            <w:r w:rsidRPr="00074F53">
              <w:t xml:space="preserve"> </w:t>
            </w:r>
            <w:proofErr w:type="spellStart"/>
            <w:r w:rsidRPr="00074F53">
              <w:t>Labklājības</w:t>
            </w:r>
            <w:proofErr w:type="spellEnd"/>
            <w:r w:rsidRPr="00074F53">
              <w:t xml:space="preserve"> </w:t>
            </w:r>
            <w:proofErr w:type="spellStart"/>
            <w:r w:rsidRPr="00074F53">
              <w:t>ministrijas</w:t>
            </w:r>
            <w:proofErr w:type="spellEnd"/>
            <w:r w:rsidRPr="00074F53">
              <w:t xml:space="preserve"> </w:t>
            </w:r>
            <w:proofErr w:type="spellStart"/>
            <w:r w:rsidRPr="00074F53">
              <w:t>pārstāvis</w:t>
            </w:r>
            <w:proofErr w:type="spellEnd"/>
            <w:r w:rsidRPr="00074F53">
              <w:t xml:space="preserve">, </w:t>
            </w:r>
            <w:proofErr w:type="spellStart"/>
            <w:r w:rsidRPr="00074F53">
              <w:t>atbildīgs</w:t>
            </w:r>
            <w:proofErr w:type="spellEnd"/>
            <w:r w:rsidRPr="00074F53">
              <w:t xml:space="preserve"> par </w:t>
            </w:r>
            <w:proofErr w:type="spellStart"/>
            <w:r w:rsidRPr="00074F53">
              <w:t>horizontālo</w:t>
            </w:r>
            <w:proofErr w:type="spellEnd"/>
            <w:r w:rsidRPr="00074F53">
              <w:t xml:space="preserve"> </w:t>
            </w:r>
            <w:proofErr w:type="spellStart"/>
            <w:r w:rsidRPr="00074F53">
              <w:t>principu</w:t>
            </w:r>
            <w:proofErr w:type="spellEnd"/>
            <w:r w:rsidRPr="00074F53">
              <w:t xml:space="preserve"> </w:t>
            </w:r>
            <w:proofErr w:type="spellStart"/>
            <w:r w:rsidRPr="00074F53">
              <w:t>koordināciju</w:t>
            </w:r>
            <w:proofErr w:type="spellEnd"/>
            <w:r w:rsidRPr="00074F53">
              <w:t>;</w:t>
            </w:r>
          </w:p>
          <w:p w14:paraId="38BD9CF9" w14:textId="77777777" w:rsidR="0006054D" w:rsidRPr="00074F53" w:rsidRDefault="0006054D" w:rsidP="0006054D">
            <w:pPr>
              <w:numPr>
                <w:ilvl w:val="1"/>
                <w:numId w:val="37"/>
              </w:numPr>
              <w:spacing w:before="100" w:beforeAutospacing="1" w:after="100" w:afterAutospacing="1"/>
            </w:pPr>
            <w:proofErr w:type="spellStart"/>
            <w:r w:rsidRPr="00074F53">
              <w:t>projektu</w:t>
            </w:r>
            <w:proofErr w:type="spellEnd"/>
            <w:r w:rsidRPr="00074F53">
              <w:t xml:space="preserve"> </w:t>
            </w:r>
            <w:proofErr w:type="spellStart"/>
            <w:r w:rsidRPr="00074F53">
              <w:t>iesniegumos</w:t>
            </w:r>
            <w:proofErr w:type="spellEnd"/>
            <w:r w:rsidRPr="00074F53">
              <w:t xml:space="preserve"> un </w:t>
            </w:r>
            <w:proofErr w:type="spellStart"/>
            <w:r w:rsidRPr="00074F53">
              <w:t>vērtēšanas</w:t>
            </w:r>
            <w:proofErr w:type="spellEnd"/>
            <w:r w:rsidRPr="00074F53">
              <w:t xml:space="preserve"> </w:t>
            </w:r>
            <w:proofErr w:type="spellStart"/>
            <w:r w:rsidRPr="00074F53">
              <w:t>metodikā</w:t>
            </w:r>
            <w:proofErr w:type="spellEnd"/>
            <w:r w:rsidRPr="00074F53">
              <w:t xml:space="preserve"> </w:t>
            </w:r>
            <w:proofErr w:type="spellStart"/>
            <w:r w:rsidRPr="00074F53">
              <w:t>noteikti</w:t>
            </w:r>
            <w:proofErr w:type="spellEnd"/>
            <w:r w:rsidRPr="00074F53">
              <w:t xml:space="preserve"> </w:t>
            </w:r>
            <w:proofErr w:type="spellStart"/>
            <w:r w:rsidRPr="00074F53">
              <w:t>Horizontālā</w:t>
            </w:r>
            <w:proofErr w:type="spellEnd"/>
            <w:r w:rsidRPr="00074F53">
              <w:t xml:space="preserve"> </w:t>
            </w:r>
            <w:proofErr w:type="spellStart"/>
            <w:r w:rsidRPr="00074F53">
              <w:t>principa</w:t>
            </w:r>
            <w:proofErr w:type="spellEnd"/>
            <w:r w:rsidRPr="00074F53">
              <w:t xml:space="preserve"> </w:t>
            </w:r>
            <w:proofErr w:type="spellStart"/>
            <w:r w:rsidRPr="00074F53">
              <w:t>kritēriji</w:t>
            </w:r>
            <w:proofErr w:type="spellEnd"/>
            <w:r w:rsidRPr="00074F53">
              <w:t>;</w:t>
            </w:r>
          </w:p>
          <w:p w14:paraId="5D3BCA9B" w14:textId="77777777" w:rsidR="0006054D" w:rsidRPr="00074F53" w:rsidRDefault="0006054D" w:rsidP="0006054D">
            <w:pPr>
              <w:numPr>
                <w:ilvl w:val="1"/>
                <w:numId w:val="37"/>
              </w:numPr>
              <w:spacing w:before="100" w:beforeAutospacing="1" w:after="100" w:afterAutospacing="1"/>
            </w:pPr>
            <w:proofErr w:type="spellStart"/>
            <w:r w:rsidRPr="00074F53">
              <w:t>izstrādātas</w:t>
            </w:r>
            <w:proofErr w:type="spellEnd"/>
            <w:r w:rsidRPr="00074F53">
              <w:t xml:space="preserve"> </w:t>
            </w:r>
            <w:proofErr w:type="spellStart"/>
            <w:r w:rsidRPr="00074F53">
              <w:t>vadlīnijas</w:t>
            </w:r>
            <w:proofErr w:type="spellEnd"/>
            <w:r w:rsidRPr="00074F53">
              <w:t xml:space="preserve"> </w:t>
            </w:r>
            <w:proofErr w:type="spellStart"/>
            <w:r w:rsidRPr="00074F53">
              <w:t>horizontālā</w:t>
            </w:r>
            <w:proofErr w:type="spellEnd"/>
            <w:r w:rsidRPr="00074F53">
              <w:t xml:space="preserve"> </w:t>
            </w:r>
            <w:proofErr w:type="spellStart"/>
            <w:r w:rsidRPr="00074F53">
              <w:t>principa</w:t>
            </w:r>
            <w:proofErr w:type="spellEnd"/>
            <w:r w:rsidRPr="00074F53">
              <w:t xml:space="preserve"> "</w:t>
            </w:r>
            <w:proofErr w:type="spellStart"/>
            <w:r w:rsidRPr="00074F53">
              <w:t>Vienlīdzība</w:t>
            </w:r>
            <w:proofErr w:type="spellEnd"/>
            <w:r w:rsidRPr="00074F53">
              <w:t xml:space="preserve">, </w:t>
            </w:r>
            <w:proofErr w:type="spellStart"/>
            <w:r w:rsidRPr="00074F53">
              <w:t>iekļaušana</w:t>
            </w:r>
            <w:proofErr w:type="spellEnd"/>
            <w:r w:rsidRPr="00074F53">
              <w:t xml:space="preserve">, </w:t>
            </w:r>
            <w:proofErr w:type="spellStart"/>
            <w:r w:rsidRPr="00074F53">
              <w:t>nediskriminācija</w:t>
            </w:r>
            <w:proofErr w:type="spellEnd"/>
            <w:r w:rsidRPr="00074F53">
              <w:t xml:space="preserve"> un </w:t>
            </w:r>
            <w:proofErr w:type="spellStart"/>
            <w:r w:rsidRPr="00074F53">
              <w:t>pamattiesību</w:t>
            </w:r>
            <w:proofErr w:type="spellEnd"/>
            <w:r w:rsidRPr="00074F53">
              <w:t xml:space="preserve"> </w:t>
            </w:r>
            <w:proofErr w:type="spellStart"/>
            <w:r w:rsidRPr="00074F53">
              <w:t>ievērošana</w:t>
            </w:r>
            <w:proofErr w:type="spellEnd"/>
            <w:r w:rsidRPr="00074F53">
              <w:t xml:space="preserve">" </w:t>
            </w:r>
            <w:proofErr w:type="spellStart"/>
            <w:r w:rsidRPr="00074F53">
              <w:t>īstenošanai</w:t>
            </w:r>
            <w:proofErr w:type="spellEnd"/>
            <w:r w:rsidRPr="00074F53">
              <w:t xml:space="preserve"> un </w:t>
            </w:r>
            <w:proofErr w:type="spellStart"/>
            <w:r w:rsidRPr="00074F53">
              <w:t>uzraudzībai</w:t>
            </w:r>
            <w:proofErr w:type="spellEnd"/>
            <w:r w:rsidRPr="00074F53">
              <w:t>;</w:t>
            </w:r>
          </w:p>
          <w:p w14:paraId="59D88774" w14:textId="77777777" w:rsidR="0006054D" w:rsidRPr="00074F53" w:rsidRDefault="0006054D" w:rsidP="0006054D">
            <w:pPr>
              <w:numPr>
                <w:ilvl w:val="1"/>
                <w:numId w:val="37"/>
              </w:numPr>
              <w:spacing w:before="100" w:beforeAutospacing="1" w:after="100" w:afterAutospacing="1"/>
            </w:pPr>
            <w:proofErr w:type="spellStart"/>
            <w:r w:rsidRPr="00074F53">
              <w:t>noteikta</w:t>
            </w:r>
            <w:proofErr w:type="spellEnd"/>
            <w:r w:rsidRPr="00074F53">
              <w:t xml:space="preserve"> </w:t>
            </w:r>
            <w:proofErr w:type="spellStart"/>
            <w:r w:rsidRPr="00074F53">
              <w:t>kārtība</w:t>
            </w:r>
            <w:proofErr w:type="spellEnd"/>
            <w:r w:rsidRPr="00074F53">
              <w:t xml:space="preserve">, </w:t>
            </w:r>
            <w:proofErr w:type="spellStart"/>
            <w:r w:rsidRPr="00074F53">
              <w:t>kādā</w:t>
            </w:r>
            <w:proofErr w:type="spellEnd"/>
            <w:r w:rsidRPr="00074F53">
              <w:t xml:space="preserve"> </w:t>
            </w:r>
            <w:proofErr w:type="spellStart"/>
            <w:r w:rsidRPr="00074F53">
              <w:t>ziņot</w:t>
            </w:r>
            <w:proofErr w:type="spellEnd"/>
            <w:r w:rsidRPr="00074F53">
              <w:t xml:space="preserve"> par </w:t>
            </w:r>
            <w:proofErr w:type="spellStart"/>
            <w:r w:rsidRPr="00074F53">
              <w:t>horizontālo</w:t>
            </w:r>
            <w:proofErr w:type="spellEnd"/>
            <w:r w:rsidRPr="00074F53">
              <w:t xml:space="preserve"> </w:t>
            </w:r>
            <w:proofErr w:type="spellStart"/>
            <w:r w:rsidRPr="00074F53">
              <w:t>principu</w:t>
            </w:r>
            <w:proofErr w:type="spellEnd"/>
            <w:r w:rsidRPr="00074F53">
              <w:t xml:space="preserve"> </w:t>
            </w:r>
            <w:proofErr w:type="spellStart"/>
            <w:r w:rsidRPr="00074F53">
              <w:t>pārkāpumiem</w:t>
            </w:r>
            <w:proofErr w:type="spellEnd"/>
            <w:r w:rsidRPr="00074F53">
              <w:t xml:space="preserve"> </w:t>
            </w:r>
            <w:proofErr w:type="spellStart"/>
            <w:r w:rsidRPr="00074F53">
              <w:t>vai</w:t>
            </w:r>
            <w:proofErr w:type="spellEnd"/>
            <w:r w:rsidRPr="00074F53">
              <w:t xml:space="preserve"> </w:t>
            </w:r>
            <w:proofErr w:type="spellStart"/>
            <w:r w:rsidRPr="00074F53">
              <w:t>sūdzībām</w:t>
            </w:r>
            <w:proofErr w:type="spellEnd"/>
            <w:r w:rsidRPr="00074F53">
              <w:t xml:space="preserve"> par </w:t>
            </w:r>
            <w:proofErr w:type="spellStart"/>
            <w:r w:rsidRPr="00074F53">
              <w:t>neatbilstību</w:t>
            </w:r>
            <w:proofErr w:type="spellEnd"/>
            <w:r w:rsidRPr="00074F53">
              <w:t xml:space="preserve"> ES </w:t>
            </w:r>
            <w:proofErr w:type="spellStart"/>
            <w:r w:rsidRPr="00074F53">
              <w:t>Pamattiesību</w:t>
            </w:r>
            <w:proofErr w:type="spellEnd"/>
            <w:r w:rsidRPr="00074F53">
              <w:t xml:space="preserve"> </w:t>
            </w:r>
            <w:proofErr w:type="spellStart"/>
            <w:r w:rsidRPr="00074F53">
              <w:t>hartai</w:t>
            </w:r>
            <w:proofErr w:type="spellEnd"/>
            <w:r w:rsidRPr="00074F53">
              <w:t xml:space="preserve"> un ANO </w:t>
            </w:r>
            <w:proofErr w:type="spellStart"/>
            <w:r w:rsidRPr="00074F53">
              <w:t>Konvencijai</w:t>
            </w:r>
            <w:proofErr w:type="spellEnd"/>
            <w:r w:rsidRPr="00074F53">
              <w:t xml:space="preserve"> par </w:t>
            </w:r>
            <w:proofErr w:type="spellStart"/>
            <w:r w:rsidRPr="00074F53">
              <w:t>personu</w:t>
            </w:r>
            <w:proofErr w:type="spellEnd"/>
            <w:r w:rsidRPr="00074F53">
              <w:t xml:space="preserve"> </w:t>
            </w:r>
            <w:proofErr w:type="spellStart"/>
            <w:r w:rsidRPr="00074F53">
              <w:t>ar</w:t>
            </w:r>
            <w:proofErr w:type="spellEnd"/>
            <w:r w:rsidRPr="00074F53">
              <w:t xml:space="preserve"> </w:t>
            </w:r>
            <w:proofErr w:type="spellStart"/>
            <w:r w:rsidRPr="00074F53">
              <w:t>invaliditāti</w:t>
            </w:r>
            <w:proofErr w:type="spellEnd"/>
            <w:r w:rsidRPr="00074F53">
              <w:t xml:space="preserve"> </w:t>
            </w:r>
            <w:proofErr w:type="spellStart"/>
            <w:r w:rsidRPr="00074F53">
              <w:t>tiesībām</w:t>
            </w:r>
            <w:proofErr w:type="spellEnd"/>
            <w:r w:rsidRPr="00074F53">
              <w:t xml:space="preserve">, </w:t>
            </w:r>
            <w:proofErr w:type="spellStart"/>
            <w:r w:rsidRPr="00074F53">
              <w:t>paredzot</w:t>
            </w:r>
            <w:proofErr w:type="spellEnd"/>
            <w:r w:rsidRPr="00074F53">
              <w:t xml:space="preserve"> </w:t>
            </w:r>
            <w:proofErr w:type="spellStart"/>
            <w:r w:rsidRPr="00074F53">
              <w:t>iespēju</w:t>
            </w:r>
            <w:proofErr w:type="spellEnd"/>
            <w:r w:rsidRPr="00074F53">
              <w:t xml:space="preserve"> </w:t>
            </w:r>
            <w:proofErr w:type="spellStart"/>
            <w:r w:rsidRPr="00074F53">
              <w:t>vērsties</w:t>
            </w:r>
            <w:proofErr w:type="spellEnd"/>
            <w:r w:rsidRPr="00074F53">
              <w:t xml:space="preserve"> </w:t>
            </w:r>
            <w:proofErr w:type="spellStart"/>
            <w:r w:rsidRPr="00074F53">
              <w:t>arī</w:t>
            </w:r>
            <w:proofErr w:type="spellEnd"/>
            <w:r w:rsidRPr="00074F53">
              <w:t xml:space="preserve"> pie </w:t>
            </w:r>
            <w:proofErr w:type="spellStart"/>
            <w:r w:rsidRPr="00074F53">
              <w:t>Tiesībsarga</w:t>
            </w:r>
            <w:proofErr w:type="spellEnd"/>
            <w:r w:rsidRPr="00074F53">
              <w:t>.</w:t>
            </w:r>
          </w:p>
          <w:p w14:paraId="62D1639A" w14:textId="77777777" w:rsidR="0006054D" w:rsidRPr="00074F53" w:rsidRDefault="0006054D" w:rsidP="0006054D">
            <w:pPr>
              <w:numPr>
                <w:ilvl w:val="0"/>
                <w:numId w:val="37"/>
              </w:numPr>
              <w:spacing w:before="100" w:beforeAutospacing="1" w:after="100" w:afterAutospacing="1"/>
            </w:pPr>
            <w:r w:rsidRPr="00074F53">
              <w:rPr>
                <w:b/>
                <w:bCs/>
              </w:rPr>
              <w:t xml:space="preserve">ANO </w:t>
            </w:r>
            <w:proofErr w:type="spellStart"/>
            <w:r w:rsidRPr="00074F53">
              <w:rPr>
                <w:b/>
                <w:bCs/>
              </w:rPr>
              <w:t>Konvencijas</w:t>
            </w:r>
            <w:proofErr w:type="spellEnd"/>
            <w:r w:rsidRPr="00074F53">
              <w:rPr>
                <w:b/>
                <w:bCs/>
              </w:rPr>
              <w:t xml:space="preserve"> par </w:t>
            </w:r>
            <w:proofErr w:type="spellStart"/>
            <w:r w:rsidRPr="00074F53">
              <w:rPr>
                <w:b/>
                <w:bCs/>
              </w:rPr>
              <w:t>personu</w:t>
            </w:r>
            <w:proofErr w:type="spellEnd"/>
            <w:r w:rsidRPr="00074F53">
              <w:rPr>
                <w:b/>
                <w:bCs/>
              </w:rPr>
              <w:t xml:space="preserve"> </w:t>
            </w:r>
            <w:proofErr w:type="spellStart"/>
            <w:r w:rsidRPr="00074F53">
              <w:rPr>
                <w:b/>
                <w:bCs/>
              </w:rPr>
              <w:t>ar</w:t>
            </w:r>
            <w:proofErr w:type="spellEnd"/>
            <w:r w:rsidRPr="00074F53">
              <w:rPr>
                <w:b/>
                <w:bCs/>
              </w:rPr>
              <w:t xml:space="preserve"> </w:t>
            </w:r>
            <w:proofErr w:type="spellStart"/>
            <w:r w:rsidRPr="00074F53">
              <w:rPr>
                <w:b/>
                <w:bCs/>
              </w:rPr>
              <w:t>invaliditāti</w:t>
            </w:r>
            <w:proofErr w:type="spellEnd"/>
            <w:r w:rsidRPr="00074F53">
              <w:rPr>
                <w:b/>
                <w:bCs/>
              </w:rPr>
              <w:t xml:space="preserve"> </w:t>
            </w:r>
            <w:proofErr w:type="spellStart"/>
            <w:r w:rsidRPr="00074F53">
              <w:rPr>
                <w:b/>
                <w:bCs/>
              </w:rPr>
              <w:t>tiesībām</w:t>
            </w:r>
            <w:proofErr w:type="spellEnd"/>
            <w:r w:rsidRPr="00074F53">
              <w:rPr>
                <w:b/>
                <w:bCs/>
              </w:rPr>
              <w:t xml:space="preserve"> (UNCRPD) </w:t>
            </w:r>
            <w:proofErr w:type="spellStart"/>
            <w:r w:rsidRPr="00074F53">
              <w:rPr>
                <w:b/>
                <w:bCs/>
              </w:rPr>
              <w:t>īstenošana</w:t>
            </w:r>
            <w:proofErr w:type="spellEnd"/>
            <w:r w:rsidRPr="00074F53">
              <w:rPr>
                <w:b/>
                <w:bCs/>
              </w:rPr>
              <w:t xml:space="preserve"> un </w:t>
            </w:r>
            <w:proofErr w:type="spellStart"/>
            <w:r w:rsidRPr="00074F53">
              <w:rPr>
                <w:b/>
                <w:bCs/>
              </w:rPr>
              <w:t>piemērošana</w:t>
            </w:r>
            <w:proofErr w:type="spellEnd"/>
            <w:r w:rsidRPr="00074F53">
              <w:rPr>
                <w:b/>
                <w:bCs/>
              </w:rPr>
              <w:t>:</w:t>
            </w:r>
            <w:r w:rsidRPr="00074F53">
              <w:t xml:space="preserve"> </w:t>
            </w:r>
            <w:proofErr w:type="spellStart"/>
            <w:r w:rsidRPr="00074F53">
              <w:t>nodrošināta</w:t>
            </w:r>
            <w:proofErr w:type="spellEnd"/>
            <w:r w:rsidRPr="00074F53">
              <w:t xml:space="preserve"> </w:t>
            </w:r>
            <w:proofErr w:type="spellStart"/>
            <w:r w:rsidRPr="00074F53">
              <w:t>izpilde</w:t>
            </w:r>
            <w:proofErr w:type="spellEnd"/>
            <w:r w:rsidRPr="00074F53">
              <w:t xml:space="preserve"> </w:t>
            </w:r>
            <w:proofErr w:type="spellStart"/>
            <w:r w:rsidRPr="00074F53">
              <w:t>ar</w:t>
            </w:r>
            <w:proofErr w:type="spellEnd"/>
            <w:r w:rsidRPr="00074F53">
              <w:t xml:space="preserve"> </w:t>
            </w:r>
            <w:proofErr w:type="spellStart"/>
            <w:r w:rsidRPr="00074F53">
              <w:t>šādiem</w:t>
            </w:r>
            <w:proofErr w:type="spellEnd"/>
            <w:r w:rsidRPr="00074F53">
              <w:t xml:space="preserve"> </w:t>
            </w:r>
            <w:proofErr w:type="spellStart"/>
            <w:r w:rsidRPr="00074F53">
              <w:t>pasākumiem</w:t>
            </w:r>
            <w:proofErr w:type="spellEnd"/>
            <w:r w:rsidRPr="00074F53">
              <w:t>:</w:t>
            </w:r>
          </w:p>
          <w:p w14:paraId="15E6EB75" w14:textId="77777777" w:rsidR="0006054D" w:rsidRPr="00074F53" w:rsidRDefault="0006054D" w:rsidP="0006054D">
            <w:pPr>
              <w:numPr>
                <w:ilvl w:val="1"/>
                <w:numId w:val="37"/>
              </w:numPr>
              <w:spacing w:before="100" w:beforeAutospacing="1" w:after="100" w:afterAutospacing="1"/>
            </w:pPr>
            <w:proofErr w:type="spellStart"/>
            <w:r w:rsidRPr="00074F53">
              <w:t>apstiprināts</w:t>
            </w:r>
            <w:proofErr w:type="spellEnd"/>
            <w:r w:rsidRPr="00074F53">
              <w:t xml:space="preserve"> </w:t>
            </w:r>
            <w:proofErr w:type="spellStart"/>
            <w:r w:rsidRPr="00074F53">
              <w:t>Plāns</w:t>
            </w:r>
            <w:proofErr w:type="spellEnd"/>
            <w:r w:rsidRPr="00074F53">
              <w:t xml:space="preserve"> </w:t>
            </w:r>
            <w:proofErr w:type="spellStart"/>
            <w:r w:rsidRPr="00074F53">
              <w:t>personu</w:t>
            </w:r>
            <w:proofErr w:type="spellEnd"/>
            <w:r w:rsidRPr="00074F53">
              <w:t xml:space="preserve"> </w:t>
            </w:r>
            <w:proofErr w:type="spellStart"/>
            <w:r w:rsidRPr="00074F53">
              <w:t>ar</w:t>
            </w:r>
            <w:proofErr w:type="spellEnd"/>
            <w:r w:rsidRPr="00074F53">
              <w:t xml:space="preserve"> </w:t>
            </w:r>
            <w:proofErr w:type="spellStart"/>
            <w:r w:rsidRPr="00074F53">
              <w:t>invaliditāti</w:t>
            </w:r>
            <w:proofErr w:type="spellEnd"/>
            <w:r w:rsidRPr="00074F53">
              <w:t xml:space="preserve"> </w:t>
            </w:r>
            <w:proofErr w:type="spellStart"/>
            <w:r w:rsidRPr="00074F53">
              <w:t>iespēju</w:t>
            </w:r>
            <w:proofErr w:type="spellEnd"/>
            <w:r w:rsidRPr="00074F53">
              <w:t xml:space="preserve"> </w:t>
            </w:r>
            <w:proofErr w:type="spellStart"/>
            <w:r w:rsidRPr="00074F53">
              <w:t>veicināšanai</w:t>
            </w:r>
            <w:proofErr w:type="spellEnd"/>
            <w:r w:rsidRPr="00074F53">
              <w:t xml:space="preserve"> 2024.-2027. </w:t>
            </w:r>
            <w:proofErr w:type="spellStart"/>
            <w:r w:rsidRPr="00074F53">
              <w:t>gadam</w:t>
            </w:r>
            <w:proofErr w:type="spellEnd"/>
            <w:r w:rsidRPr="00074F53">
              <w:t xml:space="preserve">, kas </w:t>
            </w:r>
            <w:proofErr w:type="spellStart"/>
            <w:r w:rsidRPr="00074F53">
              <w:t>turpina</w:t>
            </w:r>
            <w:proofErr w:type="spellEnd"/>
            <w:r w:rsidRPr="00074F53">
              <w:t xml:space="preserve"> </w:t>
            </w:r>
            <w:proofErr w:type="spellStart"/>
            <w:r w:rsidRPr="00074F53">
              <w:t>iepriekšējā</w:t>
            </w:r>
            <w:proofErr w:type="spellEnd"/>
            <w:r w:rsidRPr="00074F53">
              <w:t xml:space="preserve"> </w:t>
            </w:r>
            <w:proofErr w:type="spellStart"/>
            <w:r w:rsidRPr="00074F53">
              <w:t>plāna</w:t>
            </w:r>
            <w:proofErr w:type="spellEnd"/>
            <w:r w:rsidRPr="00074F53">
              <w:t xml:space="preserve"> </w:t>
            </w:r>
            <w:proofErr w:type="spellStart"/>
            <w:r w:rsidRPr="00074F53">
              <w:t>pasākumus</w:t>
            </w:r>
            <w:proofErr w:type="spellEnd"/>
            <w:r w:rsidRPr="00074F53">
              <w:t xml:space="preserve"> un </w:t>
            </w:r>
            <w:proofErr w:type="spellStart"/>
            <w:r w:rsidRPr="00074F53">
              <w:t>izvirza</w:t>
            </w:r>
            <w:proofErr w:type="spellEnd"/>
            <w:r w:rsidRPr="00074F53">
              <w:t xml:space="preserve"> </w:t>
            </w:r>
            <w:proofErr w:type="spellStart"/>
            <w:r w:rsidRPr="00074F53">
              <w:t>jaunus</w:t>
            </w:r>
            <w:proofErr w:type="spellEnd"/>
            <w:r w:rsidRPr="00074F53">
              <w:t xml:space="preserve"> </w:t>
            </w:r>
            <w:proofErr w:type="spellStart"/>
            <w:r w:rsidRPr="00074F53">
              <w:t>rādītājus</w:t>
            </w:r>
            <w:proofErr w:type="spellEnd"/>
            <w:r w:rsidRPr="00074F53">
              <w:t xml:space="preserve">. </w:t>
            </w:r>
            <w:proofErr w:type="spellStart"/>
            <w:r w:rsidRPr="00074F53">
              <w:t>Plāns</w:t>
            </w:r>
            <w:proofErr w:type="spellEnd"/>
            <w:r w:rsidRPr="00074F53">
              <w:t xml:space="preserve"> </w:t>
            </w:r>
            <w:proofErr w:type="spellStart"/>
            <w:r w:rsidRPr="00074F53">
              <w:t>paredz</w:t>
            </w:r>
            <w:proofErr w:type="spellEnd"/>
            <w:r w:rsidRPr="00074F53">
              <w:t xml:space="preserve"> </w:t>
            </w:r>
            <w:proofErr w:type="spellStart"/>
            <w:r w:rsidRPr="00074F53">
              <w:t>pasākumus</w:t>
            </w:r>
            <w:proofErr w:type="spellEnd"/>
            <w:r w:rsidRPr="00074F53">
              <w:t xml:space="preserve"> vides, </w:t>
            </w:r>
            <w:proofErr w:type="spellStart"/>
            <w:r w:rsidRPr="00074F53">
              <w:t>informācijas</w:t>
            </w:r>
            <w:proofErr w:type="spellEnd"/>
            <w:r w:rsidRPr="00074F53">
              <w:t xml:space="preserve"> un </w:t>
            </w:r>
            <w:proofErr w:type="spellStart"/>
            <w:r w:rsidRPr="00074F53">
              <w:t>pakalpojumu</w:t>
            </w:r>
            <w:proofErr w:type="spellEnd"/>
            <w:r w:rsidRPr="00074F53">
              <w:t xml:space="preserve"> </w:t>
            </w:r>
            <w:proofErr w:type="spellStart"/>
            <w:r w:rsidRPr="00074F53">
              <w:t>piekļūstamības</w:t>
            </w:r>
            <w:proofErr w:type="spellEnd"/>
            <w:r w:rsidRPr="00074F53">
              <w:t xml:space="preserve"> </w:t>
            </w:r>
            <w:proofErr w:type="spellStart"/>
            <w:r w:rsidRPr="00074F53">
              <w:t>sekmēšanai</w:t>
            </w:r>
            <w:proofErr w:type="spellEnd"/>
            <w:r w:rsidRPr="00074F53">
              <w:t xml:space="preserve"> un </w:t>
            </w:r>
            <w:proofErr w:type="spellStart"/>
            <w:r w:rsidRPr="00074F53">
              <w:t>iekļaujošas</w:t>
            </w:r>
            <w:proofErr w:type="spellEnd"/>
            <w:r w:rsidRPr="00074F53">
              <w:t xml:space="preserve"> </w:t>
            </w:r>
            <w:proofErr w:type="spellStart"/>
            <w:r w:rsidRPr="00074F53">
              <w:t>sabiedrības</w:t>
            </w:r>
            <w:proofErr w:type="spellEnd"/>
            <w:r w:rsidRPr="00074F53">
              <w:t xml:space="preserve"> </w:t>
            </w:r>
            <w:proofErr w:type="spellStart"/>
            <w:r w:rsidRPr="00074F53">
              <w:t>veidošanai</w:t>
            </w:r>
            <w:proofErr w:type="spellEnd"/>
            <w:r w:rsidRPr="00074F53">
              <w:t xml:space="preserve">, </w:t>
            </w:r>
            <w:proofErr w:type="spellStart"/>
            <w:r w:rsidRPr="00074F53">
              <w:t>tostarp</w:t>
            </w:r>
            <w:proofErr w:type="spellEnd"/>
            <w:r w:rsidRPr="00074F53">
              <w:t xml:space="preserve"> </w:t>
            </w:r>
            <w:proofErr w:type="spellStart"/>
            <w:r w:rsidRPr="00074F53">
              <w:t>kultūras</w:t>
            </w:r>
            <w:proofErr w:type="spellEnd"/>
            <w:r w:rsidRPr="00074F53">
              <w:t xml:space="preserve"> </w:t>
            </w:r>
            <w:proofErr w:type="spellStart"/>
            <w:r w:rsidRPr="00074F53">
              <w:t>dzīves</w:t>
            </w:r>
            <w:proofErr w:type="spellEnd"/>
            <w:r w:rsidRPr="00074F53">
              <w:t xml:space="preserve">, </w:t>
            </w:r>
            <w:proofErr w:type="spellStart"/>
            <w:r w:rsidRPr="00074F53">
              <w:t>elektronisko</w:t>
            </w:r>
            <w:proofErr w:type="spellEnd"/>
            <w:r w:rsidRPr="00074F53">
              <w:t xml:space="preserve"> </w:t>
            </w:r>
            <w:proofErr w:type="spellStart"/>
            <w:r w:rsidRPr="00074F53">
              <w:t>plašsaziņas</w:t>
            </w:r>
            <w:proofErr w:type="spellEnd"/>
            <w:r w:rsidRPr="00074F53">
              <w:t xml:space="preserve"> </w:t>
            </w:r>
            <w:proofErr w:type="spellStart"/>
            <w:r w:rsidRPr="00074F53">
              <w:t>līdzekļu</w:t>
            </w:r>
            <w:proofErr w:type="spellEnd"/>
            <w:r w:rsidRPr="00074F53">
              <w:t xml:space="preserve"> un </w:t>
            </w:r>
            <w:proofErr w:type="spellStart"/>
            <w:r w:rsidRPr="00074F53">
              <w:t>multimediālā</w:t>
            </w:r>
            <w:proofErr w:type="spellEnd"/>
            <w:r w:rsidRPr="00074F53">
              <w:t xml:space="preserve"> </w:t>
            </w:r>
            <w:proofErr w:type="spellStart"/>
            <w:r w:rsidRPr="00074F53">
              <w:t>satura</w:t>
            </w:r>
            <w:proofErr w:type="spellEnd"/>
            <w:r w:rsidRPr="00074F53">
              <w:t xml:space="preserve"> </w:t>
            </w:r>
            <w:proofErr w:type="spellStart"/>
            <w:r w:rsidRPr="00074F53">
              <w:t>piekļūstamības</w:t>
            </w:r>
            <w:proofErr w:type="spellEnd"/>
            <w:r w:rsidRPr="00074F53">
              <w:t xml:space="preserve"> </w:t>
            </w:r>
            <w:proofErr w:type="spellStart"/>
            <w:r w:rsidRPr="00074F53">
              <w:t>veicināšanu</w:t>
            </w:r>
            <w:proofErr w:type="spellEnd"/>
            <w:r w:rsidRPr="00074F53">
              <w:t>;</w:t>
            </w:r>
          </w:p>
          <w:p w14:paraId="56E3992E" w14:textId="77777777" w:rsidR="0006054D" w:rsidRPr="00074F53" w:rsidRDefault="0006054D" w:rsidP="0006054D">
            <w:pPr>
              <w:numPr>
                <w:ilvl w:val="1"/>
                <w:numId w:val="37"/>
              </w:numPr>
              <w:spacing w:before="100" w:beforeAutospacing="1" w:after="100" w:afterAutospacing="1"/>
            </w:pPr>
            <w:proofErr w:type="spellStart"/>
            <w:r w:rsidRPr="00074F53">
              <w:t>piekļūstamības</w:t>
            </w:r>
            <w:proofErr w:type="spellEnd"/>
            <w:r w:rsidRPr="00074F53">
              <w:t xml:space="preserve"> </w:t>
            </w:r>
            <w:proofErr w:type="spellStart"/>
            <w:r w:rsidRPr="00074F53">
              <w:t>prasības</w:t>
            </w:r>
            <w:proofErr w:type="spellEnd"/>
            <w:r w:rsidRPr="00074F53">
              <w:t xml:space="preserve"> </w:t>
            </w:r>
            <w:proofErr w:type="spellStart"/>
            <w:r w:rsidRPr="00074F53">
              <w:t>noteiktas</w:t>
            </w:r>
            <w:proofErr w:type="spellEnd"/>
            <w:r w:rsidRPr="00074F53">
              <w:t xml:space="preserve"> </w:t>
            </w:r>
            <w:proofErr w:type="spellStart"/>
            <w:r w:rsidRPr="00074F53">
              <w:t>Latvijas</w:t>
            </w:r>
            <w:proofErr w:type="spellEnd"/>
            <w:r w:rsidRPr="00074F53">
              <w:t xml:space="preserve"> </w:t>
            </w:r>
            <w:proofErr w:type="spellStart"/>
            <w:r w:rsidRPr="00074F53">
              <w:t>normatīvajos</w:t>
            </w:r>
            <w:proofErr w:type="spellEnd"/>
            <w:r w:rsidRPr="00074F53">
              <w:t xml:space="preserve"> </w:t>
            </w:r>
            <w:proofErr w:type="spellStart"/>
            <w:r w:rsidRPr="00074F53">
              <w:t>aktos</w:t>
            </w:r>
            <w:proofErr w:type="spellEnd"/>
            <w:r w:rsidRPr="00074F53">
              <w:t xml:space="preserve">, </w:t>
            </w:r>
            <w:proofErr w:type="spellStart"/>
            <w:r w:rsidRPr="00074F53">
              <w:t>vadlīnijās</w:t>
            </w:r>
            <w:proofErr w:type="spellEnd"/>
            <w:r w:rsidRPr="00074F53">
              <w:t xml:space="preserve"> un </w:t>
            </w:r>
            <w:proofErr w:type="spellStart"/>
            <w:r w:rsidRPr="00074F53">
              <w:t>standartos</w:t>
            </w:r>
            <w:proofErr w:type="spellEnd"/>
            <w:r w:rsidRPr="00074F53">
              <w:t xml:space="preserve">. </w:t>
            </w:r>
            <w:proofErr w:type="spellStart"/>
            <w:r w:rsidRPr="00074F53">
              <w:t>Labklājības</w:t>
            </w:r>
            <w:proofErr w:type="spellEnd"/>
            <w:r w:rsidRPr="00074F53">
              <w:t xml:space="preserve"> </w:t>
            </w:r>
            <w:proofErr w:type="spellStart"/>
            <w:r w:rsidRPr="00074F53">
              <w:t>ministrija</w:t>
            </w:r>
            <w:proofErr w:type="spellEnd"/>
            <w:r w:rsidRPr="00074F53">
              <w:t xml:space="preserve"> </w:t>
            </w:r>
            <w:proofErr w:type="spellStart"/>
            <w:r w:rsidRPr="00074F53">
              <w:t>izstrādā</w:t>
            </w:r>
            <w:proofErr w:type="spellEnd"/>
            <w:r w:rsidRPr="00074F53">
              <w:t xml:space="preserve"> </w:t>
            </w:r>
            <w:proofErr w:type="spellStart"/>
            <w:r w:rsidRPr="00074F53">
              <w:t>ieteikumus</w:t>
            </w:r>
            <w:proofErr w:type="spellEnd"/>
            <w:r w:rsidRPr="00074F53">
              <w:t xml:space="preserve"> par </w:t>
            </w:r>
            <w:proofErr w:type="spellStart"/>
            <w:r w:rsidRPr="00074F53">
              <w:t>piekļūstamas</w:t>
            </w:r>
            <w:proofErr w:type="spellEnd"/>
            <w:r w:rsidRPr="00074F53">
              <w:t xml:space="preserve"> vides </w:t>
            </w:r>
            <w:proofErr w:type="spellStart"/>
            <w:r w:rsidRPr="00074F53">
              <w:t>veidošanu</w:t>
            </w:r>
            <w:proofErr w:type="spellEnd"/>
            <w:r w:rsidRPr="00074F53">
              <w:t xml:space="preserve"> un </w:t>
            </w:r>
            <w:proofErr w:type="spellStart"/>
            <w:r w:rsidRPr="00074F53">
              <w:t>publicē</w:t>
            </w:r>
            <w:proofErr w:type="spellEnd"/>
            <w:r w:rsidRPr="00074F53">
              <w:t xml:space="preserve"> </w:t>
            </w:r>
            <w:proofErr w:type="spellStart"/>
            <w:r w:rsidRPr="00074F53">
              <w:t>informatīvus</w:t>
            </w:r>
            <w:proofErr w:type="spellEnd"/>
            <w:r w:rsidRPr="00074F53">
              <w:t xml:space="preserve"> </w:t>
            </w:r>
            <w:proofErr w:type="spellStart"/>
            <w:r w:rsidRPr="00074F53">
              <w:t>materiālus</w:t>
            </w:r>
            <w:proofErr w:type="spellEnd"/>
            <w:r w:rsidRPr="00074F53">
              <w:t xml:space="preserve"> ES fondu </w:t>
            </w:r>
            <w:proofErr w:type="spellStart"/>
            <w:r w:rsidRPr="00074F53">
              <w:t>finansējuma</w:t>
            </w:r>
            <w:proofErr w:type="spellEnd"/>
            <w:r w:rsidRPr="00074F53">
              <w:t xml:space="preserve"> </w:t>
            </w:r>
            <w:proofErr w:type="spellStart"/>
            <w:r w:rsidRPr="00074F53">
              <w:t>saņēmējiem</w:t>
            </w:r>
            <w:proofErr w:type="spellEnd"/>
            <w:r w:rsidRPr="00074F53">
              <w:t>;</w:t>
            </w:r>
          </w:p>
          <w:p w14:paraId="747863F5" w14:textId="77777777" w:rsidR="0006054D" w:rsidRPr="00074F53" w:rsidRDefault="0006054D" w:rsidP="0006054D">
            <w:pPr>
              <w:numPr>
                <w:ilvl w:val="1"/>
                <w:numId w:val="37"/>
              </w:numPr>
              <w:spacing w:before="100" w:beforeAutospacing="1" w:after="100" w:afterAutospacing="1"/>
            </w:pPr>
            <w:proofErr w:type="spellStart"/>
            <w:r w:rsidRPr="00074F53">
              <w:t>tāpat</w:t>
            </w:r>
            <w:proofErr w:type="spellEnd"/>
            <w:r w:rsidRPr="00074F53">
              <w:t xml:space="preserve"> </w:t>
            </w:r>
            <w:proofErr w:type="spellStart"/>
            <w:r w:rsidRPr="00074F53">
              <w:t>kā</w:t>
            </w:r>
            <w:proofErr w:type="spellEnd"/>
            <w:r w:rsidRPr="00074F53">
              <w:t xml:space="preserve"> </w:t>
            </w:r>
            <w:proofErr w:type="spellStart"/>
            <w:r w:rsidRPr="00074F53">
              <w:t>Pamattiesību</w:t>
            </w:r>
            <w:proofErr w:type="spellEnd"/>
            <w:r w:rsidRPr="00074F53">
              <w:t xml:space="preserve"> </w:t>
            </w:r>
            <w:proofErr w:type="spellStart"/>
            <w:r w:rsidRPr="00074F53">
              <w:t>hartas</w:t>
            </w:r>
            <w:proofErr w:type="spellEnd"/>
            <w:r w:rsidRPr="00074F53">
              <w:t xml:space="preserve"> </w:t>
            </w:r>
            <w:proofErr w:type="spellStart"/>
            <w:r w:rsidRPr="00074F53">
              <w:t>gadījumā</w:t>
            </w:r>
            <w:proofErr w:type="spellEnd"/>
            <w:r w:rsidRPr="00074F53">
              <w:t xml:space="preserve">, </w:t>
            </w:r>
            <w:proofErr w:type="spellStart"/>
            <w:r w:rsidRPr="00074F53">
              <w:t>noteikta</w:t>
            </w:r>
            <w:proofErr w:type="spellEnd"/>
            <w:r w:rsidRPr="00074F53">
              <w:t xml:space="preserve"> </w:t>
            </w:r>
            <w:proofErr w:type="spellStart"/>
            <w:r w:rsidRPr="00074F53">
              <w:t>kārtība</w:t>
            </w:r>
            <w:proofErr w:type="spellEnd"/>
            <w:r w:rsidRPr="00074F53">
              <w:t xml:space="preserve">, </w:t>
            </w:r>
            <w:proofErr w:type="spellStart"/>
            <w:r w:rsidRPr="00074F53">
              <w:t>kādā</w:t>
            </w:r>
            <w:proofErr w:type="spellEnd"/>
            <w:r w:rsidRPr="00074F53">
              <w:t xml:space="preserve"> </w:t>
            </w:r>
            <w:proofErr w:type="spellStart"/>
            <w:r w:rsidRPr="00074F53">
              <w:t>ziņot</w:t>
            </w:r>
            <w:proofErr w:type="spellEnd"/>
            <w:r w:rsidRPr="00074F53">
              <w:t xml:space="preserve"> par </w:t>
            </w:r>
            <w:proofErr w:type="spellStart"/>
            <w:r w:rsidRPr="00074F53">
              <w:t>neatbilstību</w:t>
            </w:r>
            <w:proofErr w:type="spellEnd"/>
            <w:r w:rsidRPr="00074F53">
              <w:t xml:space="preserve"> ANO </w:t>
            </w:r>
            <w:proofErr w:type="spellStart"/>
            <w:r w:rsidRPr="00074F53">
              <w:t>Konvencijai</w:t>
            </w:r>
            <w:proofErr w:type="spellEnd"/>
            <w:r w:rsidRPr="00074F53">
              <w:t xml:space="preserve"> par </w:t>
            </w:r>
            <w:proofErr w:type="spellStart"/>
            <w:r w:rsidRPr="00074F53">
              <w:t>personu</w:t>
            </w:r>
            <w:proofErr w:type="spellEnd"/>
            <w:r w:rsidRPr="00074F53">
              <w:t xml:space="preserve"> </w:t>
            </w:r>
            <w:proofErr w:type="spellStart"/>
            <w:r w:rsidRPr="00074F53">
              <w:t>ar</w:t>
            </w:r>
            <w:proofErr w:type="spellEnd"/>
            <w:r w:rsidRPr="00074F53">
              <w:t xml:space="preserve"> </w:t>
            </w:r>
            <w:proofErr w:type="spellStart"/>
            <w:r w:rsidRPr="00074F53">
              <w:t>invaliditāti</w:t>
            </w:r>
            <w:proofErr w:type="spellEnd"/>
            <w:r w:rsidRPr="00074F53">
              <w:t xml:space="preserve"> </w:t>
            </w:r>
            <w:proofErr w:type="spellStart"/>
            <w:r w:rsidRPr="00074F53">
              <w:t>tiesībām</w:t>
            </w:r>
            <w:proofErr w:type="spellEnd"/>
            <w:r w:rsidRPr="00074F53">
              <w:t xml:space="preserve">, </w:t>
            </w:r>
            <w:proofErr w:type="spellStart"/>
            <w:r w:rsidRPr="00074F53">
              <w:t>paredzot</w:t>
            </w:r>
            <w:proofErr w:type="spellEnd"/>
            <w:r w:rsidRPr="00074F53">
              <w:t xml:space="preserve"> </w:t>
            </w:r>
            <w:proofErr w:type="spellStart"/>
            <w:r w:rsidRPr="00074F53">
              <w:t>iespēju</w:t>
            </w:r>
            <w:proofErr w:type="spellEnd"/>
            <w:r w:rsidRPr="00074F53">
              <w:t xml:space="preserve"> </w:t>
            </w:r>
            <w:proofErr w:type="spellStart"/>
            <w:r w:rsidRPr="00074F53">
              <w:t>vērsties</w:t>
            </w:r>
            <w:proofErr w:type="spellEnd"/>
            <w:r w:rsidRPr="00074F53">
              <w:t xml:space="preserve"> pie </w:t>
            </w:r>
            <w:proofErr w:type="spellStart"/>
            <w:r w:rsidRPr="00074F53">
              <w:t>Tiesībsarga</w:t>
            </w:r>
            <w:proofErr w:type="spellEnd"/>
            <w:r w:rsidRPr="00074F53">
              <w:t>.</w:t>
            </w:r>
          </w:p>
          <w:p w14:paraId="499F9D92" w14:textId="1CD8E391" w:rsidR="0006054D" w:rsidRDefault="0006054D" w:rsidP="0006054D">
            <w:pPr>
              <w:spacing w:before="100" w:beforeAutospacing="1" w:after="100" w:afterAutospacing="1"/>
              <w:ind w:firstLine="743"/>
            </w:pPr>
            <w:proofErr w:type="spellStart"/>
            <w:r w:rsidRPr="00074F53">
              <w:t>Grāmatvedības</w:t>
            </w:r>
            <w:proofErr w:type="spellEnd"/>
            <w:r w:rsidRPr="00074F53">
              <w:t xml:space="preserve"> </w:t>
            </w:r>
            <w:proofErr w:type="spellStart"/>
            <w:r w:rsidRPr="00074F53">
              <w:t>periodā</w:t>
            </w:r>
            <w:proofErr w:type="spellEnd"/>
            <w:r w:rsidRPr="00074F53">
              <w:t xml:space="preserve"> </w:t>
            </w:r>
            <w:proofErr w:type="spellStart"/>
            <w:r w:rsidRPr="00074F53">
              <w:t>iesniegumi</w:t>
            </w:r>
            <w:proofErr w:type="spellEnd"/>
            <w:r w:rsidRPr="00074F53">
              <w:t xml:space="preserve"> par </w:t>
            </w:r>
            <w:proofErr w:type="spellStart"/>
            <w:r w:rsidRPr="00074F53">
              <w:t>pārkāpumiem</w:t>
            </w:r>
            <w:proofErr w:type="spellEnd"/>
            <w:r w:rsidRPr="00074F53">
              <w:t xml:space="preserve"> nav </w:t>
            </w:r>
            <w:proofErr w:type="spellStart"/>
            <w:r w:rsidRPr="00074F53">
              <w:t>saņemti</w:t>
            </w:r>
            <w:proofErr w:type="spellEnd"/>
            <w:r w:rsidRPr="00074F53">
              <w:t>.</w:t>
            </w:r>
          </w:p>
          <w:p w14:paraId="479F00CD" w14:textId="757683B2" w:rsidR="0006054D" w:rsidRPr="0003467C" w:rsidRDefault="0006054D" w:rsidP="0003467C">
            <w:pPr>
              <w:pStyle w:val="Institutionquisigne"/>
              <w:spacing w:before="240" w:after="120"/>
              <w:rPr>
                <w:b/>
                <w:color w:val="000000" w:themeColor="text1"/>
              </w:rPr>
            </w:pPr>
            <w:r w:rsidRPr="00145E8B">
              <w:rPr>
                <w:b/>
                <w:i w:val="0"/>
                <w:color w:val="000000" w:themeColor="text1"/>
              </w:rPr>
              <w:t xml:space="preserve">g) To </w:t>
            </w:r>
            <w:proofErr w:type="spellStart"/>
            <w:r w:rsidRPr="00145E8B">
              <w:rPr>
                <w:b/>
                <w:i w:val="0"/>
                <w:color w:val="000000" w:themeColor="text1"/>
              </w:rPr>
              <w:t>personu</w:t>
            </w:r>
            <w:proofErr w:type="spellEnd"/>
            <w:r w:rsidRPr="00145E8B">
              <w:rPr>
                <w:b/>
                <w:i w:val="0"/>
                <w:color w:val="000000" w:themeColor="text1"/>
              </w:rPr>
              <w:t xml:space="preserve"> </w:t>
            </w:r>
            <w:proofErr w:type="spellStart"/>
            <w:r w:rsidRPr="00145E8B">
              <w:rPr>
                <w:b/>
                <w:i w:val="0"/>
                <w:color w:val="000000" w:themeColor="text1"/>
              </w:rPr>
              <w:t>skaits</w:t>
            </w:r>
            <w:proofErr w:type="spellEnd"/>
            <w:r w:rsidRPr="00145E8B">
              <w:rPr>
                <w:b/>
                <w:i w:val="0"/>
                <w:color w:val="000000" w:themeColor="text1"/>
              </w:rPr>
              <w:t xml:space="preserve">, </w:t>
            </w:r>
            <w:proofErr w:type="spellStart"/>
            <w:r w:rsidRPr="00145E8B">
              <w:rPr>
                <w:b/>
                <w:i w:val="0"/>
                <w:color w:val="000000" w:themeColor="text1"/>
              </w:rPr>
              <w:t>kuras</w:t>
            </w:r>
            <w:proofErr w:type="spellEnd"/>
            <w:r w:rsidRPr="00145E8B">
              <w:rPr>
                <w:b/>
                <w:i w:val="0"/>
                <w:color w:val="000000" w:themeColor="text1"/>
              </w:rPr>
              <w:t xml:space="preserve"> </w:t>
            </w:r>
            <w:proofErr w:type="spellStart"/>
            <w:r w:rsidRPr="00145E8B">
              <w:rPr>
                <w:b/>
                <w:i w:val="0"/>
                <w:color w:val="000000" w:themeColor="text1"/>
              </w:rPr>
              <w:t>uzņemtas</w:t>
            </w:r>
            <w:proofErr w:type="spellEnd"/>
            <w:r w:rsidRPr="00145E8B">
              <w:rPr>
                <w:b/>
                <w:i w:val="0"/>
                <w:color w:val="000000" w:themeColor="text1"/>
              </w:rPr>
              <w:t xml:space="preserve"> </w:t>
            </w:r>
            <w:proofErr w:type="spellStart"/>
            <w:r w:rsidRPr="00145E8B">
              <w:rPr>
                <w:b/>
                <w:i w:val="0"/>
                <w:color w:val="000000" w:themeColor="text1"/>
              </w:rPr>
              <w:t>ar</w:t>
            </w:r>
            <w:proofErr w:type="spellEnd"/>
            <w:r w:rsidRPr="00145E8B">
              <w:rPr>
                <w:b/>
                <w:i w:val="0"/>
                <w:color w:val="000000" w:themeColor="text1"/>
              </w:rPr>
              <w:t xml:space="preserve"> </w:t>
            </w:r>
            <w:proofErr w:type="spellStart"/>
            <w:r w:rsidRPr="00145E8B">
              <w:rPr>
                <w:b/>
                <w:i w:val="0"/>
                <w:color w:val="000000" w:themeColor="text1"/>
              </w:rPr>
              <w:t>pārmitināšanu</w:t>
            </w:r>
            <w:proofErr w:type="spellEnd"/>
            <w:r w:rsidRPr="00145E8B">
              <w:rPr>
                <w:b/>
                <w:i w:val="0"/>
                <w:color w:val="000000" w:themeColor="text1"/>
              </w:rPr>
              <w:t xml:space="preserve"> </w:t>
            </w:r>
            <w:proofErr w:type="spellStart"/>
            <w:r w:rsidRPr="00145E8B">
              <w:rPr>
                <w:b/>
                <w:i w:val="0"/>
                <w:color w:val="000000" w:themeColor="text1"/>
              </w:rPr>
              <w:t>vai</w:t>
            </w:r>
            <w:proofErr w:type="spellEnd"/>
            <w:r w:rsidRPr="00145E8B">
              <w:rPr>
                <w:b/>
                <w:i w:val="0"/>
                <w:color w:val="000000" w:themeColor="text1"/>
              </w:rPr>
              <w:t xml:space="preserve"> </w:t>
            </w:r>
            <w:proofErr w:type="spellStart"/>
            <w:r w:rsidRPr="00145E8B">
              <w:rPr>
                <w:b/>
                <w:i w:val="0"/>
                <w:color w:val="000000" w:themeColor="text1"/>
              </w:rPr>
              <w:t>humanitāro</w:t>
            </w:r>
            <w:proofErr w:type="spellEnd"/>
            <w:r w:rsidRPr="00145E8B">
              <w:rPr>
                <w:b/>
                <w:i w:val="0"/>
                <w:color w:val="000000" w:themeColor="text1"/>
              </w:rPr>
              <w:t xml:space="preserve"> </w:t>
            </w:r>
            <w:proofErr w:type="spellStart"/>
            <w:r w:rsidRPr="00145E8B">
              <w:rPr>
                <w:b/>
                <w:i w:val="0"/>
                <w:color w:val="000000" w:themeColor="text1"/>
              </w:rPr>
              <w:t>uzņemšanu</w:t>
            </w:r>
            <w:proofErr w:type="spellEnd"/>
          </w:p>
          <w:p w14:paraId="31C5B828" w14:textId="4EB31220" w:rsidR="0006054D" w:rsidRPr="007C1690" w:rsidRDefault="0006054D" w:rsidP="0006054D">
            <w:pPr>
              <w:pStyle w:val="Personnequisigne"/>
              <w:spacing w:before="240" w:after="120"/>
              <w:jc w:val="both"/>
              <w:rPr>
                <w:b/>
                <w:i w:val="0"/>
                <w:color w:val="000000" w:themeColor="text1"/>
                <w:szCs w:val="24"/>
              </w:rPr>
            </w:pPr>
            <w:r>
              <w:rPr>
                <w:b/>
                <w:i w:val="0"/>
                <w:color w:val="000000" w:themeColor="text1"/>
                <w:szCs w:val="24"/>
              </w:rPr>
              <w:t>h</w:t>
            </w:r>
            <w:r w:rsidRPr="007C1690">
              <w:rPr>
                <w:b/>
                <w:i w:val="0"/>
                <w:color w:val="000000" w:themeColor="text1"/>
                <w:szCs w:val="24"/>
              </w:rPr>
              <w:t xml:space="preserve">) </w:t>
            </w:r>
            <w:proofErr w:type="spellStart"/>
            <w:r w:rsidRPr="007C1690">
              <w:rPr>
                <w:b/>
                <w:i w:val="0"/>
                <w:color w:val="000000" w:themeColor="text1"/>
                <w:szCs w:val="24"/>
              </w:rPr>
              <w:t>Projektu</w:t>
            </w:r>
            <w:proofErr w:type="spellEnd"/>
            <w:r w:rsidRPr="007C1690">
              <w:rPr>
                <w:b/>
                <w:i w:val="0"/>
                <w:color w:val="000000" w:themeColor="text1"/>
                <w:szCs w:val="24"/>
              </w:rPr>
              <w:t xml:space="preserve"> </w:t>
            </w:r>
            <w:proofErr w:type="spellStart"/>
            <w:r w:rsidRPr="007C1690">
              <w:rPr>
                <w:b/>
                <w:i w:val="0"/>
                <w:color w:val="000000" w:themeColor="text1"/>
                <w:szCs w:val="24"/>
              </w:rPr>
              <w:t>īstenošana</w:t>
            </w:r>
            <w:proofErr w:type="spellEnd"/>
            <w:r w:rsidRPr="007C1690">
              <w:rPr>
                <w:b/>
                <w:i w:val="0"/>
                <w:color w:val="000000" w:themeColor="text1"/>
                <w:szCs w:val="24"/>
              </w:rPr>
              <w:t xml:space="preserve"> </w:t>
            </w:r>
            <w:proofErr w:type="spellStart"/>
            <w:r w:rsidRPr="007C1690">
              <w:rPr>
                <w:b/>
                <w:i w:val="0"/>
                <w:color w:val="000000" w:themeColor="text1"/>
                <w:szCs w:val="24"/>
              </w:rPr>
              <w:t>trešajās</w:t>
            </w:r>
            <w:proofErr w:type="spellEnd"/>
            <w:r w:rsidRPr="007C1690">
              <w:rPr>
                <w:b/>
                <w:i w:val="0"/>
                <w:color w:val="000000" w:themeColor="text1"/>
                <w:szCs w:val="24"/>
              </w:rPr>
              <w:t xml:space="preserve"> </w:t>
            </w:r>
            <w:proofErr w:type="spellStart"/>
            <w:r w:rsidRPr="007C1690">
              <w:rPr>
                <w:b/>
                <w:i w:val="0"/>
                <w:color w:val="000000" w:themeColor="text1"/>
                <w:szCs w:val="24"/>
              </w:rPr>
              <w:t>valstīs</w:t>
            </w:r>
            <w:proofErr w:type="spellEnd"/>
            <w:r w:rsidRPr="007C1690">
              <w:rPr>
                <w:b/>
                <w:i w:val="0"/>
                <w:color w:val="000000" w:themeColor="text1"/>
                <w:szCs w:val="24"/>
              </w:rPr>
              <w:t xml:space="preserve"> </w:t>
            </w:r>
            <w:proofErr w:type="spellStart"/>
            <w:r w:rsidRPr="007C1690">
              <w:rPr>
                <w:b/>
                <w:i w:val="0"/>
                <w:color w:val="000000" w:themeColor="text1"/>
                <w:szCs w:val="24"/>
              </w:rPr>
              <w:t>vai</w:t>
            </w:r>
            <w:proofErr w:type="spellEnd"/>
            <w:r w:rsidRPr="007C1690">
              <w:rPr>
                <w:b/>
                <w:i w:val="0"/>
                <w:color w:val="000000" w:themeColor="text1"/>
                <w:szCs w:val="24"/>
              </w:rPr>
              <w:t xml:space="preserve"> </w:t>
            </w:r>
            <w:proofErr w:type="spellStart"/>
            <w:r w:rsidRPr="007C1690">
              <w:rPr>
                <w:b/>
                <w:i w:val="0"/>
                <w:color w:val="000000" w:themeColor="text1"/>
                <w:szCs w:val="24"/>
              </w:rPr>
              <w:t>saistībā</w:t>
            </w:r>
            <w:proofErr w:type="spellEnd"/>
            <w:r w:rsidRPr="007C1690">
              <w:rPr>
                <w:b/>
                <w:i w:val="0"/>
                <w:color w:val="000000" w:themeColor="text1"/>
                <w:szCs w:val="24"/>
              </w:rPr>
              <w:t xml:space="preserve"> </w:t>
            </w:r>
            <w:proofErr w:type="spellStart"/>
            <w:r w:rsidRPr="007C1690">
              <w:rPr>
                <w:b/>
                <w:i w:val="0"/>
                <w:color w:val="000000" w:themeColor="text1"/>
                <w:szCs w:val="24"/>
              </w:rPr>
              <w:t>ar</w:t>
            </w:r>
            <w:proofErr w:type="spellEnd"/>
            <w:r w:rsidRPr="007C1690">
              <w:rPr>
                <w:b/>
                <w:i w:val="0"/>
                <w:color w:val="000000" w:themeColor="text1"/>
                <w:szCs w:val="24"/>
              </w:rPr>
              <w:t xml:space="preserve"> </w:t>
            </w:r>
            <w:proofErr w:type="spellStart"/>
            <w:r w:rsidRPr="007C1690">
              <w:rPr>
                <w:b/>
                <w:i w:val="0"/>
                <w:color w:val="000000" w:themeColor="text1"/>
                <w:szCs w:val="24"/>
              </w:rPr>
              <w:t>tām</w:t>
            </w:r>
            <w:proofErr w:type="spellEnd"/>
          </w:p>
          <w:p w14:paraId="3B4DD946" w14:textId="6E1AA853" w:rsidR="0006054D" w:rsidRPr="0003467C" w:rsidRDefault="0006054D" w:rsidP="0003467C">
            <w:pPr>
              <w:pStyle w:val="Personnequisigne"/>
              <w:ind w:firstLine="743"/>
            </w:pPr>
            <w:r w:rsidRPr="007C1690">
              <w:rPr>
                <w:i w:val="0"/>
                <w:color w:val="000000" w:themeColor="text1"/>
                <w:szCs w:val="24"/>
              </w:rPr>
              <w:t xml:space="preserve">Nav </w:t>
            </w:r>
            <w:proofErr w:type="spellStart"/>
            <w:r w:rsidRPr="007C1690">
              <w:rPr>
                <w:i w:val="0"/>
                <w:color w:val="000000" w:themeColor="text1"/>
                <w:szCs w:val="24"/>
              </w:rPr>
              <w:t>attiecināms</w:t>
            </w:r>
            <w:proofErr w:type="spellEnd"/>
            <w:r w:rsidRPr="007C1690">
              <w:rPr>
                <w:i w:val="0"/>
                <w:color w:val="000000" w:themeColor="text1"/>
                <w:szCs w:val="24"/>
              </w:rPr>
              <w:t xml:space="preserve">, jo </w:t>
            </w:r>
            <w:proofErr w:type="spellStart"/>
            <w:r w:rsidRPr="007C1690">
              <w:rPr>
                <w:i w:val="0"/>
                <w:color w:val="000000" w:themeColor="text1"/>
                <w:szCs w:val="24"/>
              </w:rPr>
              <w:t>grāmatvedības</w:t>
            </w:r>
            <w:proofErr w:type="spellEnd"/>
            <w:r>
              <w:rPr>
                <w:i w:val="0"/>
                <w:color w:val="000000" w:themeColor="text1"/>
                <w:szCs w:val="24"/>
              </w:rPr>
              <w:t xml:space="preserve"> </w:t>
            </w:r>
            <w:proofErr w:type="spellStart"/>
            <w:r>
              <w:rPr>
                <w:i w:val="0"/>
                <w:color w:val="000000" w:themeColor="text1"/>
                <w:szCs w:val="24"/>
              </w:rPr>
              <w:t>periodā</w:t>
            </w:r>
            <w:proofErr w:type="spellEnd"/>
            <w:r>
              <w:rPr>
                <w:i w:val="0"/>
                <w:color w:val="000000" w:themeColor="text1"/>
                <w:szCs w:val="24"/>
              </w:rPr>
              <w:t xml:space="preserve"> </w:t>
            </w:r>
            <w:proofErr w:type="spellStart"/>
            <w:r w:rsidRPr="007C1690">
              <w:rPr>
                <w:i w:val="0"/>
                <w:color w:val="000000" w:themeColor="text1"/>
                <w:szCs w:val="24"/>
              </w:rPr>
              <w:t>darbības</w:t>
            </w:r>
            <w:proofErr w:type="spellEnd"/>
            <w:r w:rsidRPr="007C1690">
              <w:rPr>
                <w:i w:val="0"/>
                <w:color w:val="000000" w:themeColor="text1"/>
                <w:szCs w:val="24"/>
              </w:rPr>
              <w:t xml:space="preserve"> </w:t>
            </w:r>
            <w:proofErr w:type="spellStart"/>
            <w:r w:rsidRPr="007C1690">
              <w:rPr>
                <w:i w:val="0"/>
                <w:color w:val="000000" w:themeColor="text1"/>
                <w:szCs w:val="24"/>
              </w:rPr>
              <w:t>trešajās</w:t>
            </w:r>
            <w:proofErr w:type="spellEnd"/>
            <w:r w:rsidRPr="007C1690">
              <w:rPr>
                <w:i w:val="0"/>
                <w:color w:val="000000" w:themeColor="text1"/>
                <w:szCs w:val="24"/>
              </w:rPr>
              <w:t xml:space="preserve"> </w:t>
            </w:r>
            <w:proofErr w:type="spellStart"/>
            <w:r w:rsidRPr="007C1690">
              <w:rPr>
                <w:i w:val="0"/>
                <w:color w:val="000000" w:themeColor="text1"/>
                <w:szCs w:val="24"/>
              </w:rPr>
              <w:t>valstīs</w:t>
            </w:r>
            <w:proofErr w:type="spellEnd"/>
            <w:r w:rsidRPr="007C1690">
              <w:rPr>
                <w:i w:val="0"/>
                <w:color w:val="000000" w:themeColor="text1"/>
                <w:szCs w:val="24"/>
              </w:rPr>
              <w:t xml:space="preserve"> </w:t>
            </w:r>
            <w:proofErr w:type="spellStart"/>
            <w:r w:rsidRPr="007C1690">
              <w:rPr>
                <w:i w:val="0"/>
                <w:color w:val="000000" w:themeColor="text1"/>
                <w:szCs w:val="24"/>
              </w:rPr>
              <w:t>vai</w:t>
            </w:r>
            <w:proofErr w:type="spellEnd"/>
            <w:r w:rsidRPr="007C1690">
              <w:rPr>
                <w:i w:val="0"/>
                <w:color w:val="000000" w:themeColor="text1"/>
                <w:szCs w:val="24"/>
              </w:rPr>
              <w:t xml:space="preserve"> </w:t>
            </w:r>
            <w:proofErr w:type="spellStart"/>
            <w:r w:rsidRPr="007C1690">
              <w:rPr>
                <w:i w:val="0"/>
                <w:color w:val="000000" w:themeColor="text1"/>
                <w:szCs w:val="24"/>
              </w:rPr>
              <w:t>saistībā</w:t>
            </w:r>
            <w:proofErr w:type="spellEnd"/>
            <w:r w:rsidRPr="007C1690">
              <w:rPr>
                <w:i w:val="0"/>
                <w:color w:val="000000" w:themeColor="text1"/>
                <w:szCs w:val="24"/>
              </w:rPr>
              <w:t xml:space="preserve"> </w:t>
            </w:r>
            <w:proofErr w:type="spellStart"/>
            <w:r w:rsidRPr="007C1690">
              <w:rPr>
                <w:i w:val="0"/>
                <w:color w:val="000000" w:themeColor="text1"/>
                <w:szCs w:val="24"/>
              </w:rPr>
              <w:t>ar</w:t>
            </w:r>
            <w:proofErr w:type="spellEnd"/>
            <w:r w:rsidRPr="007C1690">
              <w:rPr>
                <w:i w:val="0"/>
                <w:color w:val="000000" w:themeColor="text1"/>
                <w:szCs w:val="24"/>
              </w:rPr>
              <w:t xml:space="preserve"> </w:t>
            </w:r>
            <w:proofErr w:type="spellStart"/>
            <w:r w:rsidRPr="007C1690">
              <w:rPr>
                <w:i w:val="0"/>
                <w:color w:val="000000" w:themeColor="text1"/>
                <w:szCs w:val="24"/>
              </w:rPr>
              <w:t>tām</w:t>
            </w:r>
            <w:proofErr w:type="spellEnd"/>
            <w:r w:rsidRPr="007C1690">
              <w:rPr>
                <w:i w:val="0"/>
                <w:color w:val="000000" w:themeColor="text1"/>
                <w:szCs w:val="24"/>
              </w:rPr>
              <w:t xml:space="preserve"> nav </w:t>
            </w:r>
            <w:proofErr w:type="spellStart"/>
            <w:r w:rsidRPr="007C1690">
              <w:rPr>
                <w:i w:val="0"/>
                <w:color w:val="000000" w:themeColor="text1"/>
                <w:szCs w:val="24"/>
              </w:rPr>
              <w:t>īstenotas</w:t>
            </w:r>
            <w:proofErr w:type="spellEnd"/>
            <w:r w:rsidRPr="007C1690">
              <w:rPr>
                <w:i w:val="0"/>
                <w:color w:val="000000" w:themeColor="text1"/>
                <w:szCs w:val="24"/>
              </w:rPr>
              <w:t xml:space="preserve"> un nav </w:t>
            </w:r>
            <w:proofErr w:type="spellStart"/>
            <w:r w:rsidRPr="007C1690">
              <w:rPr>
                <w:i w:val="0"/>
                <w:color w:val="000000" w:themeColor="text1"/>
                <w:szCs w:val="24"/>
              </w:rPr>
              <w:t>paredzētas</w:t>
            </w:r>
            <w:proofErr w:type="spellEnd"/>
            <w:r w:rsidRPr="007C1690">
              <w:rPr>
                <w:i w:val="0"/>
                <w:color w:val="000000" w:themeColor="text1"/>
                <w:szCs w:val="24"/>
              </w:rPr>
              <w:t xml:space="preserve"> </w:t>
            </w:r>
            <w:proofErr w:type="spellStart"/>
            <w:r w:rsidRPr="007C1690">
              <w:rPr>
                <w:i w:val="0"/>
                <w:color w:val="000000" w:themeColor="text1"/>
                <w:szCs w:val="24"/>
              </w:rPr>
              <w:t>programmā</w:t>
            </w:r>
            <w:proofErr w:type="spellEnd"/>
            <w:r w:rsidRPr="007C1690">
              <w:rPr>
                <w:i w:val="0"/>
                <w:color w:val="000000" w:themeColor="text1"/>
                <w:szCs w:val="24"/>
              </w:rPr>
              <w:t>.</w:t>
            </w:r>
          </w:p>
        </w:tc>
      </w:tr>
    </w:tbl>
    <w:p w14:paraId="5B515368" w14:textId="77777777" w:rsidR="006A41E2" w:rsidRPr="00074F53" w:rsidRDefault="006A41E2" w:rsidP="006A41E2">
      <w:pPr>
        <w:rPr>
          <w:noProof/>
          <w:lang w:val="lv-LV"/>
        </w:rPr>
      </w:pPr>
    </w:p>
    <w:sectPr w:rsidR="006A41E2" w:rsidRPr="00074F53" w:rsidSect="003954DE">
      <w:footerReference w:type="default" r:id="rId13"/>
      <w:footerReference w:type="first" r:id="rId14"/>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29AB" w14:textId="77777777" w:rsidR="00B629CC" w:rsidRDefault="00B629CC" w:rsidP="00555224">
      <w:r>
        <w:separator/>
      </w:r>
    </w:p>
  </w:endnote>
  <w:endnote w:type="continuationSeparator" w:id="0">
    <w:p w14:paraId="248F5FF6" w14:textId="77777777" w:rsidR="00B629CC" w:rsidRDefault="00B629CC" w:rsidP="00555224">
      <w:r>
        <w:continuationSeparator/>
      </w:r>
    </w:p>
  </w:endnote>
  <w:endnote w:type="continuationNotice" w:id="1">
    <w:p w14:paraId="49036E75" w14:textId="77777777" w:rsidR="00B629CC" w:rsidRDefault="00B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23CA" w14:textId="07221D9A" w:rsidR="00B629CC" w:rsidRPr="003954DE" w:rsidRDefault="00B629CC" w:rsidP="003954DE">
    <w:pPr>
      <w:pStyle w:val="Footer"/>
      <w:rPr>
        <w:rFonts w:ascii="Arial" w:hAnsi="Arial" w:cs="Arial"/>
        <w:b/>
        <w:sz w:val="48"/>
      </w:rPr>
    </w:pPr>
    <w:r w:rsidRPr="003954DE">
      <w:rPr>
        <w:rFonts w:ascii="Arial" w:hAnsi="Arial" w:cs="Arial"/>
        <w:b/>
        <w:sz w:val="48"/>
      </w:rPr>
      <w:t>LV</w:t>
    </w:r>
    <w:r w:rsidRPr="003954D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954DE">
      <w:tab/>
    </w:r>
    <w:r w:rsidRPr="003954DE">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4A7C" w14:textId="77777777" w:rsidR="00B629CC" w:rsidRPr="003954DE" w:rsidRDefault="00B629CC" w:rsidP="00395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5E5A" w14:textId="77777777" w:rsidR="00B629CC" w:rsidRDefault="00B629CC" w:rsidP="00555224">
      <w:r>
        <w:separator/>
      </w:r>
    </w:p>
  </w:footnote>
  <w:footnote w:type="continuationSeparator" w:id="0">
    <w:p w14:paraId="4719A2A7" w14:textId="77777777" w:rsidR="00B629CC" w:rsidRDefault="00B629CC" w:rsidP="00555224">
      <w:r>
        <w:continuationSeparator/>
      </w:r>
    </w:p>
  </w:footnote>
  <w:footnote w:type="continuationNotice" w:id="1">
    <w:p w14:paraId="3563F8D2" w14:textId="77777777" w:rsidR="00B629CC" w:rsidRDefault="00B629CC"/>
  </w:footnote>
  <w:footnote w:id="2">
    <w:p w14:paraId="48A5CA33" w14:textId="5DBEF992" w:rsidR="00B629CC" w:rsidRPr="00556EC4" w:rsidRDefault="00B629CC" w:rsidP="00430D9E">
      <w:pPr>
        <w:pStyle w:val="FootnoteText"/>
        <w:ind w:left="0" w:firstLine="0"/>
        <w:rPr>
          <w:sz w:val="18"/>
          <w:szCs w:val="18"/>
          <w:lang w:val="lv-LV"/>
        </w:rPr>
      </w:pPr>
      <w:r w:rsidRPr="00556EC4">
        <w:rPr>
          <w:rStyle w:val="FootnoteReference"/>
          <w:sz w:val="18"/>
          <w:szCs w:val="18"/>
        </w:rPr>
        <w:footnoteRef/>
      </w:r>
      <w:r w:rsidRPr="00556EC4">
        <w:rPr>
          <w:sz w:val="18"/>
          <w:szCs w:val="18"/>
        </w:rPr>
        <w:tab/>
      </w:r>
      <w:r w:rsidRPr="00556EC4">
        <w:rPr>
          <w:sz w:val="18"/>
          <w:szCs w:val="18"/>
          <w:lang w:val="lv-LV"/>
        </w:rPr>
        <w:t>Tas attiecas uz situāciju, kad pastāv atšķirība starp nominālo mērķa sasniegšanas līmeni, ko mēra ar rādītājiem, un faktisko īstenošanā gūto progresu. Piemēram, nepilnības iznākumu un rezultātu paziņošanā var būt radušās tāpēc, ka ir problēmjautājumi, kas attiecas uz IT sistēmas izstrādi, notiekošajām operācijām, kuru iznākumi un rezultāti vēl nav paziņoti, attiecībā uz datu vākšanu, kuru dēļ ziņošana ir lēna, vai nepilnīga, utt.</w:t>
      </w:r>
    </w:p>
  </w:footnote>
  <w:footnote w:id="3">
    <w:p w14:paraId="1B4AED68" w14:textId="1C92A47D"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t>Tas attiecas uz situāciju, kad zemais mērķu sasniegšanas līmenis ir saistīts nevis ar lēnu progresu, bet drīzāk ar nepareizu vai nereālu mērķrādītāju noteikšanu. Šeit var ietvert pieredzi, kas gūta saistībā ar mērķrādītāju noteikšanas metodikas izstrādi (piemēram, pieņēmumi ir bijuši nepareizi vai nepilnīgi vai ir bijušas problēmas ar izvēlētajām līmeņatzīmju vērtībām) un jebkādām tajā plānotajām izmaiņām.</w:t>
      </w:r>
    </w:p>
  </w:footnote>
  <w:footnote w:id="4">
    <w:p w14:paraId="24827152" w14:textId="77777777"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t>Piemēram, jautājumi, kas saistīti ar iepirkuma procedūrām, revīzijas procedūrām vai resursu trūkumu vadošās iestādes līmenī, neparedzēta kavēšanās programmas pieņemšanā utt.</w:t>
      </w:r>
    </w:p>
  </w:footnote>
  <w:footnote w:id="5">
    <w:p w14:paraId="3B4215A8" w14:textId="77777777"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t>Tās var ietvert, piemēram, sociālekonomiskos vai politiskos faktorus, izmaiņas regulatīvajā kontekstā utt.</w:t>
      </w:r>
    </w:p>
  </w:footnote>
  <w:footnote w:id="6">
    <w:p w14:paraId="714590B7" w14:textId="77777777"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t>Piemēram, jautājumi, kas saistīti ar darbības jomu (kā atbilstības kritēriji), zema saņēmēju vai dalībnieku interese, jebkādas novirzes darbības īstenošanā utt.</w:t>
      </w:r>
    </w:p>
  </w:footnote>
  <w:footnote w:id="7">
    <w:p w14:paraId="544B1A48" w14:textId="1B470666" w:rsidR="00B629CC" w:rsidRPr="00556EC4" w:rsidRDefault="00B629CC" w:rsidP="00430D9E">
      <w:pPr>
        <w:pStyle w:val="FootnoteText"/>
        <w:ind w:left="0" w:firstLine="0"/>
        <w:rPr>
          <w:sz w:val="18"/>
          <w:szCs w:val="18"/>
          <w:lang w:val="lv-LV"/>
        </w:rPr>
      </w:pPr>
      <w:r w:rsidRPr="00556EC4">
        <w:rPr>
          <w:rStyle w:val="FootnoteReference"/>
          <w:sz w:val="18"/>
          <w:szCs w:val="18"/>
        </w:rPr>
        <w:footnoteRef/>
      </w:r>
      <w:r w:rsidRPr="00556EC4">
        <w:rPr>
          <w:sz w:val="18"/>
          <w:szCs w:val="18"/>
          <w:lang w:val="lv-LV"/>
        </w:rPr>
        <w:tab/>
        <w:t xml:space="preserve">Ja tas atbilst konkrētajam gadījumam, miniet ieteikumus, kas sniegti kvalitātes kontroles un izvērtēšanas mehānismu ietvaros, piemēram: i) Šengenas izvērtēšanas un uzraudzības mehānismā saskaņā ar Padomes Regulu (ES) Nr. 1053/2013 (2013. gada 7. oktobris), ar ko izveido izvērtēšanas un uzraudzības mehānismu, lai pārbaudītu Šengenas </w:t>
      </w:r>
      <w:r w:rsidRPr="00556EC4">
        <w:rPr>
          <w:i/>
          <w:sz w:val="18"/>
          <w:szCs w:val="18"/>
          <w:lang w:val="lv-LV"/>
        </w:rPr>
        <w:t>acquis</w:t>
      </w:r>
      <w:r w:rsidRPr="00556EC4">
        <w:rPr>
          <w:sz w:val="18"/>
          <w:szCs w:val="18"/>
          <w:lang w:val="lv-LV"/>
        </w:rPr>
        <w:t xml:space="preserve"> piemērošanu, un ar ko atceļ Izpildu komitejas lēmumu (1998. gada 16. septembris), ar ko izveido Šengenas izvērtēšanas un īstenošanas pastāvīgo komiteju (OV L 295, 6.11.2013., 27. lpp.), un Padomes Regulu (ES) 2022/922 (2022. gada 9. jūnijs) par tāda izvērtēšanas un uzraudzības mehānisma izveidi un darbību, kura mērķis ir pārbaudīt Šengenas </w:t>
      </w:r>
      <w:r w:rsidRPr="00556EC4">
        <w:rPr>
          <w:i/>
          <w:sz w:val="18"/>
          <w:szCs w:val="18"/>
          <w:lang w:val="lv-LV"/>
        </w:rPr>
        <w:t>acquis</w:t>
      </w:r>
      <w:r w:rsidRPr="00556EC4">
        <w:rPr>
          <w:sz w:val="18"/>
          <w:szCs w:val="18"/>
          <w:lang w:val="lv-LV"/>
        </w:rPr>
        <w:t xml:space="preserve"> piemērošanu, un ar ko atceļ Regulu (ES) Nr. 1053/2013 (OV L 160, 15.6.2022., 1. lpp.), vai ii) attiecīgā gadījumā citos kvalitātes kontroles un izvērtēšanas mehānismos. </w:t>
      </w:r>
    </w:p>
  </w:footnote>
  <w:footnote w:id="8">
    <w:p w14:paraId="4D62CC2C" w14:textId="40BD09C8"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t>Attiecībā uz konkrētām transnacionāla rakstura darbībām šīs iedaļas tvērums atšķiras atkarībā no tā, kāds ir lomu un pienākumu sadalījums starp vadošajām dalībvalstīm un citām iesaistītajām dalībvalstīm un kāda ir ziņošanas metode. Tas ir aprakstīts Komisijas 2022. gada 14. februāra informatīvajā piezīmē “Konkrētas transnacionālas darbības Patvēruma, migrācijas un integrācijas fonda (</w:t>
      </w:r>
      <w:r w:rsidRPr="00556EC4">
        <w:rPr>
          <w:i/>
          <w:sz w:val="18"/>
          <w:szCs w:val="18"/>
          <w:lang w:val="lv-LV"/>
        </w:rPr>
        <w:t>AMIF</w:t>
      </w:r>
      <w:r w:rsidRPr="00556EC4">
        <w:rPr>
          <w:sz w:val="18"/>
          <w:szCs w:val="18"/>
          <w:lang w:val="lv-LV"/>
        </w:rPr>
        <w:t>), finansiāla atbalsta instrumenta robežu pārvaldībai un vīzu politikai (</w:t>
      </w:r>
      <w:r w:rsidRPr="00556EC4">
        <w:rPr>
          <w:i/>
          <w:sz w:val="18"/>
          <w:szCs w:val="18"/>
          <w:lang w:val="lv-LV"/>
        </w:rPr>
        <w:t>BMVI</w:t>
      </w:r>
      <w:r w:rsidRPr="00556EC4">
        <w:rPr>
          <w:sz w:val="18"/>
          <w:szCs w:val="18"/>
          <w:lang w:val="lv-LV"/>
        </w:rPr>
        <w:t>) un Iekšējās drošības fonda (IDF) ietvaros – vienošanās starp partneriem” (Ares (2022)1060102).</w:t>
      </w:r>
    </w:p>
  </w:footnote>
  <w:footnote w:id="9">
    <w:p w14:paraId="623F89A0" w14:textId="017D0127"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t xml:space="preserve">Savienības pievienoto vērtību definē kā tādu rezultātu rašanos, kuri pārsniedz to, ko dalībvalstis būtu sasniegušas vienas pašas. </w:t>
      </w:r>
    </w:p>
  </w:footnote>
  <w:footnote w:id="10">
    <w:p w14:paraId="3A8FB091" w14:textId="77777777"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t>Piemēram, saistībā ar iepirkuma darbībām vai citiem veiktajiem sagatavošanās pasākumiem.</w:t>
      </w:r>
    </w:p>
  </w:footnote>
  <w:footnote w:id="11">
    <w:p w14:paraId="357584AA" w14:textId="77777777"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t>Piemēram, attiecībā uz nodevumiem, iznākumiem, rezultātiem utt.</w:t>
      </w:r>
    </w:p>
  </w:footnote>
  <w:footnote w:id="12">
    <w:p w14:paraId="786F4D5D" w14:textId="46D02EF5" w:rsidR="00B629CC" w:rsidRPr="00556EC4" w:rsidRDefault="00B629CC" w:rsidP="00430D9E">
      <w:pPr>
        <w:pStyle w:val="FootnoteText"/>
        <w:ind w:left="0" w:firstLine="0"/>
        <w:rPr>
          <w:sz w:val="18"/>
          <w:szCs w:val="18"/>
          <w:lang w:val="lv-LV"/>
        </w:rPr>
      </w:pPr>
      <w:r w:rsidRPr="00556EC4">
        <w:rPr>
          <w:rStyle w:val="FootnoteReference"/>
          <w:sz w:val="18"/>
          <w:szCs w:val="18"/>
        </w:rPr>
        <w:footnoteRef/>
      </w:r>
      <w:r w:rsidRPr="00556EC4">
        <w:rPr>
          <w:sz w:val="18"/>
          <w:szCs w:val="18"/>
        </w:rPr>
        <w:tab/>
      </w:r>
      <w:r w:rsidRPr="00556EC4">
        <w:rPr>
          <w:sz w:val="18"/>
          <w:szCs w:val="18"/>
          <w:lang w:val="lv-LV"/>
        </w:rPr>
        <w:t>Kā paredzēts Komisijas 2022. gada 14. februāra informatīvajā piezīmē (Ares (2022)1060102).</w:t>
      </w:r>
    </w:p>
  </w:footnote>
  <w:footnote w:id="13">
    <w:p w14:paraId="60F7E04B" w14:textId="3B6FC0C3" w:rsidR="00B629CC" w:rsidRPr="00556EC4" w:rsidRDefault="00B629CC" w:rsidP="00430D9E">
      <w:pPr>
        <w:pStyle w:val="FootnoteText"/>
        <w:ind w:left="0" w:firstLine="0"/>
        <w:rPr>
          <w:sz w:val="18"/>
          <w:szCs w:val="18"/>
          <w:lang w:val="lv-LV"/>
        </w:rPr>
      </w:pPr>
      <w:r w:rsidRPr="00556EC4">
        <w:rPr>
          <w:rStyle w:val="FootnoteReference"/>
          <w:sz w:val="18"/>
          <w:szCs w:val="18"/>
        </w:rPr>
        <w:footnoteRef/>
      </w:r>
      <w:r w:rsidR="003E3261">
        <w:rPr>
          <w:sz w:val="18"/>
          <w:szCs w:val="18"/>
          <w:lang w:val="lv-LV"/>
        </w:rPr>
        <w:t xml:space="preserve"> </w:t>
      </w:r>
      <w:r w:rsidRPr="00556EC4">
        <w:rPr>
          <w:sz w:val="18"/>
          <w:szCs w:val="18"/>
          <w:lang w:val="lv-LV"/>
        </w:rPr>
        <w:t xml:space="preserve">Atlasīto operāciju kopējās attiecināmās izmaksas, par kurām Komisijai paziņots līdz iepriekšējā grāmatvedības </w:t>
      </w:r>
      <w:r w:rsidR="0059347E">
        <w:rPr>
          <w:sz w:val="18"/>
          <w:szCs w:val="18"/>
          <w:lang w:val="lv-LV"/>
        </w:rPr>
        <w:t>perioda</w:t>
      </w:r>
      <w:r w:rsidRPr="00556EC4">
        <w:rPr>
          <w:sz w:val="18"/>
          <w:szCs w:val="18"/>
          <w:lang w:val="lv-LV"/>
        </w:rPr>
        <w:t xml:space="preserve"> 31. jūlijam.</w:t>
      </w:r>
    </w:p>
  </w:footnote>
  <w:footnote w:id="14">
    <w:p w14:paraId="206492A9" w14:textId="2051D4A6"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003E3261">
        <w:rPr>
          <w:sz w:val="18"/>
          <w:szCs w:val="18"/>
          <w:lang w:val="lv-LV"/>
        </w:rPr>
        <w:t xml:space="preserve"> </w:t>
      </w:r>
      <w:r w:rsidRPr="00556EC4">
        <w:rPr>
          <w:sz w:val="18"/>
          <w:szCs w:val="18"/>
          <w:lang w:val="lv-LV"/>
        </w:rPr>
        <w:t xml:space="preserve">Kopējie attiecināmie izdevumi, kurus saņēmēji deklarējuši vadošajai iestādei un par kuriem paziņots Komisijai līdz iepriekšējā grāmatvedības </w:t>
      </w:r>
      <w:r w:rsidR="0059347E">
        <w:rPr>
          <w:sz w:val="18"/>
          <w:szCs w:val="18"/>
          <w:lang w:val="lv-LV"/>
        </w:rPr>
        <w:t>perioda</w:t>
      </w:r>
      <w:r w:rsidRPr="00556EC4">
        <w:rPr>
          <w:sz w:val="18"/>
          <w:szCs w:val="18"/>
          <w:lang w:val="lv-LV"/>
        </w:rPr>
        <w:t xml:space="preserve"> 31. jūlijam.</w:t>
      </w:r>
    </w:p>
  </w:footnote>
  <w:footnote w:id="15">
    <w:p w14:paraId="4D5B2912" w14:textId="0371CDCB"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003E3261">
        <w:rPr>
          <w:sz w:val="18"/>
          <w:szCs w:val="18"/>
          <w:lang w:val="lv-LV"/>
        </w:rPr>
        <w:t xml:space="preserve"> </w:t>
      </w:r>
      <w:r w:rsidRPr="00556EC4">
        <w:rPr>
          <w:sz w:val="18"/>
          <w:szCs w:val="18"/>
          <w:lang w:val="lv-LV"/>
        </w:rPr>
        <w:t>Ja konkrētas darbības papildina iepriekšējās operācijas un nav īpašas uzraudzības kārtības, iznākumu un rezultātus paziņojiet pēc proporcionalitātes principa.</w:t>
      </w:r>
    </w:p>
  </w:footnote>
  <w:footnote w:id="16">
    <w:p w14:paraId="19152F7A" w14:textId="70BF2BF7" w:rsidR="003E3261" w:rsidRPr="003E3261" w:rsidRDefault="003E3261" w:rsidP="003E3261">
      <w:pPr>
        <w:pStyle w:val="FootnoteText"/>
        <w:ind w:left="0" w:hanging="11"/>
        <w:rPr>
          <w:lang w:val="lv-LV"/>
        </w:rPr>
      </w:pPr>
      <w:r>
        <w:rPr>
          <w:rStyle w:val="FootnoteReference"/>
        </w:rPr>
        <w:footnoteRef/>
      </w:r>
      <w:r>
        <w:t xml:space="preserve"> </w:t>
      </w:r>
      <w:r w:rsidRPr="003E3261">
        <w:rPr>
          <w:sz w:val="18"/>
          <w:szCs w:val="18"/>
          <w:lang w:val="lv-LV"/>
        </w:rPr>
        <w:t>Iekšlietu ministrija 2025. gada 23. jūlija vēstule Nr. 8.2.-6/1675/25 “Request for increase to the 35% threshold under Article 13(7) of Regulation (EU) 2021/1149”</w:t>
      </w:r>
    </w:p>
  </w:footnote>
  <w:footnote w:id="17">
    <w:p w14:paraId="75937517" w14:textId="3F789852" w:rsidR="008A60B2" w:rsidRPr="008A60B2" w:rsidRDefault="008A60B2" w:rsidP="008A60B2">
      <w:pPr>
        <w:pStyle w:val="Default"/>
      </w:pPr>
      <w:r>
        <w:rPr>
          <w:rStyle w:val="FootnoteReference"/>
        </w:rPr>
        <w:footnoteRef/>
      </w:r>
      <w:r>
        <w:t xml:space="preserve"> </w:t>
      </w:r>
      <w:r w:rsidRPr="008A60B2">
        <w:rPr>
          <w:color w:val="auto"/>
          <w:sz w:val="18"/>
          <w:szCs w:val="18"/>
        </w:rPr>
        <w:t>Eiropas Komisijas 2025. gada 7. augusta</w:t>
      </w:r>
      <w:r>
        <w:rPr>
          <w:color w:val="auto"/>
          <w:sz w:val="18"/>
          <w:szCs w:val="18"/>
        </w:rPr>
        <w:t xml:space="preserve"> atbildes</w:t>
      </w:r>
      <w:r w:rsidRPr="008A60B2">
        <w:rPr>
          <w:color w:val="auto"/>
          <w:sz w:val="18"/>
          <w:szCs w:val="18"/>
        </w:rPr>
        <w:t xml:space="preserve"> vēstule “Latvia – Internal Security Fund - Approval of request to increase the expenditure threshold under Article 13(7) of Regulation (EU) 2021/1149 (Ref. Ares(2025)6048552)”</w:t>
      </w:r>
    </w:p>
  </w:footnote>
  <w:footnote w:id="18">
    <w:p w14:paraId="3D4382E9" w14:textId="77777777" w:rsidR="00B629CC" w:rsidRPr="00556EC4" w:rsidRDefault="00B629CC" w:rsidP="00430D9E">
      <w:pPr>
        <w:pStyle w:val="FootnoteText"/>
        <w:ind w:left="0" w:firstLine="0"/>
        <w:rPr>
          <w:sz w:val="18"/>
          <w:szCs w:val="18"/>
          <w:lang w:val="lv-LV"/>
        </w:rPr>
      </w:pPr>
      <w:r w:rsidRPr="00556EC4">
        <w:rPr>
          <w:rStyle w:val="FootnoteReference"/>
          <w:sz w:val="18"/>
          <w:szCs w:val="18"/>
        </w:rPr>
        <w:footnoteRef/>
      </w:r>
      <w:r w:rsidRPr="00556EC4">
        <w:rPr>
          <w:sz w:val="18"/>
          <w:szCs w:val="18"/>
          <w:lang w:val="lv-LV"/>
        </w:rPr>
        <w:tab/>
      </w:r>
      <w:r w:rsidRPr="00556EC4">
        <w:rPr>
          <w:color w:val="333333"/>
          <w:sz w:val="18"/>
          <w:szCs w:val="18"/>
          <w:shd w:val="clear" w:color="auto" w:fill="FFFFFF"/>
          <w:lang w:val="lv-LV"/>
        </w:rPr>
        <w:t>Eiropas Parlamenta un Padomes Regula (ES) Nr. 513/2014 (2014. gada 16. aprīlis), ar ko kā daļu no Iekšējās drošības fonda izveido finansiālā atbalsta instrumentu policijas sadarbībai, noziedzības novēršanai un apkarošanai un krīžu pārvarēšanai un atceļ Padomes Lēmumu 2007/125/TI (OV L 150,</w:t>
      </w:r>
      <w:r w:rsidRPr="00556EC4">
        <w:rPr>
          <w:sz w:val="18"/>
          <w:szCs w:val="18"/>
          <w:lang w:val="lv-LV"/>
        </w:rPr>
        <w:t xml:space="preserve"> 20.5.2014., 93. lpp.).</w:t>
      </w:r>
    </w:p>
  </w:footnote>
  <w:footnote w:id="19">
    <w:p w14:paraId="620209A5" w14:textId="77777777"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r>
      <w:r w:rsidRPr="00556EC4">
        <w:rPr>
          <w:color w:val="333333"/>
          <w:sz w:val="18"/>
          <w:szCs w:val="18"/>
          <w:shd w:val="clear" w:color="auto" w:fill="FFFFFF"/>
          <w:lang w:val="lv-LV"/>
        </w:rPr>
        <w:t>Eiropas Parlamenta un Padomes Regula (ES) Nr. 514/2014 (2014. gada 16. aprīlis), ar ko paredz vispārīgus noteikumus Patvēruma, migrācijas un integrācijas fondam un finansiālā atbalsta instrumentam policijas sadarbībai, noziedzības novēršanai un apkarošanai un krīžu pārvarēšanai (OV L 150</w:t>
      </w:r>
      <w:r w:rsidRPr="00556EC4">
        <w:rPr>
          <w:sz w:val="18"/>
          <w:szCs w:val="18"/>
          <w:lang w:val="lv-LV"/>
        </w:rPr>
        <w:t>, 20.5.2014., 112. lpp.).</w:t>
      </w:r>
    </w:p>
    <w:p w14:paraId="0338F974" w14:textId="77777777" w:rsidR="00B629CC" w:rsidRPr="00556EC4" w:rsidRDefault="00B629CC" w:rsidP="00430D9E">
      <w:pPr>
        <w:pStyle w:val="FootnoteText"/>
        <w:ind w:left="0" w:firstLine="0"/>
        <w:rPr>
          <w:sz w:val="18"/>
          <w:szCs w:val="18"/>
          <w:lang w:val="lv-LV"/>
        </w:rPr>
      </w:pPr>
    </w:p>
  </w:footnote>
  <w:footnote w:id="20">
    <w:p w14:paraId="00D44AB9" w14:textId="1204DF9F"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t>Piemēram, aģentūru sadarbība Savienības līmenī dalībvalstu starpā un starp dalībvalstīm un attiecīgajām Savienības struktūrām, birojiem un aģentūrām, kā arī sadarbība valsts līmenī starp kompetentajām iestādēm katrā dalībvalstī.</w:t>
      </w:r>
    </w:p>
  </w:footnote>
  <w:footnote w:id="21">
    <w:p w14:paraId="751B4E8F" w14:textId="77777777" w:rsidR="00B629CC" w:rsidRPr="00556EC4" w:rsidRDefault="00B629CC" w:rsidP="00430D9E">
      <w:pPr>
        <w:pStyle w:val="FootnoteText"/>
        <w:ind w:left="0" w:firstLine="0"/>
        <w:rPr>
          <w:sz w:val="18"/>
          <w:szCs w:val="18"/>
          <w:lang w:val="lv-LV"/>
        </w:rPr>
      </w:pPr>
      <w:r w:rsidRPr="00556EC4">
        <w:rPr>
          <w:rStyle w:val="FootnoteReference"/>
          <w:sz w:val="18"/>
          <w:szCs w:val="18"/>
        </w:rPr>
        <w:footnoteRef/>
      </w:r>
      <w:r w:rsidRPr="00556EC4">
        <w:rPr>
          <w:sz w:val="18"/>
          <w:szCs w:val="18"/>
          <w:lang w:val="lv-LV"/>
        </w:rPr>
        <w:tab/>
        <w:t>Eiropas Parlamenta un Padomes Regula (ES) 2019/817 (2019. gada 20. maijs), ar ko izveido satvaru ES informācijas sistēmu sadarbspējai robežu un vīzu jomā un groza Eiropas Parlamenta un Padomes Regulas (EK) Nr. 767/2008, (ES) 2016/399, (ES) 2017/2226, (ES) 2018/1240, (ES) 2018/1726 un (ES) 2018/1861 un Padomes Lēmumus 2004/512/EK un 2008/633/TI (</w:t>
      </w:r>
      <w:hyperlink r:id="rId1" w:history="1">
        <w:r w:rsidRPr="00556EC4">
          <w:rPr>
            <w:sz w:val="18"/>
            <w:szCs w:val="18"/>
            <w:lang w:val="lv-LV"/>
          </w:rPr>
          <w:t>OV L 135, 22.5.2019., 27. lpp.</w:t>
        </w:r>
      </w:hyperlink>
      <w:r w:rsidRPr="00556EC4">
        <w:rPr>
          <w:sz w:val="18"/>
          <w:szCs w:val="18"/>
          <w:lang w:val="lv-LV"/>
        </w:rPr>
        <w:t>).</w:t>
      </w:r>
    </w:p>
    <w:p w14:paraId="6C6350F2" w14:textId="33A1BA43" w:rsidR="00B629CC" w:rsidRPr="00556EC4" w:rsidRDefault="00B629CC" w:rsidP="00430D9E">
      <w:pPr>
        <w:pStyle w:val="FootnoteText"/>
        <w:ind w:left="0" w:firstLine="0"/>
        <w:rPr>
          <w:sz w:val="18"/>
          <w:szCs w:val="18"/>
          <w:lang w:val="lv-LV"/>
        </w:rPr>
      </w:pPr>
      <w:r w:rsidRPr="00556EC4">
        <w:rPr>
          <w:sz w:val="18"/>
          <w:szCs w:val="18"/>
          <w:lang w:val="lv-LV"/>
        </w:rPr>
        <w:t>Eiropas Parlamenta un Padomes Regula (ES) 2019/818 (2019. gada 20. maijs), ar ko izveido satvaru ES informācijas sistēmu sadarbspējai policijas un tiesu iestāžu sadarbības, patvēruma un migrācijas jomā un groza Regulas (ES) 2018/1726, (ES) 2018/1862 un (ES) 2019/816 (</w:t>
      </w:r>
      <w:hyperlink r:id="rId2" w:history="1">
        <w:r w:rsidRPr="00556EC4">
          <w:rPr>
            <w:sz w:val="18"/>
            <w:szCs w:val="18"/>
            <w:lang w:val="lv-LV"/>
          </w:rPr>
          <w:t>OV L 135, 22.5.2019., 85. lpp.</w:t>
        </w:r>
      </w:hyperlink>
      <w:r w:rsidRPr="00556EC4">
        <w:rPr>
          <w:sz w:val="18"/>
          <w:szCs w:val="18"/>
          <w:lang w:val="lv-LV"/>
        </w:rPr>
        <w:t>).</w:t>
      </w:r>
    </w:p>
  </w:footnote>
  <w:footnote w:id="22">
    <w:p w14:paraId="7A7666EA" w14:textId="44F56BDA"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t xml:space="preserve">Atlasīto operāciju kopējās attiecināmās izmaksas, par kurām Komisijai paziņots līdz iepriekšējā grāmatvedības </w:t>
      </w:r>
      <w:r w:rsidR="0059347E">
        <w:rPr>
          <w:sz w:val="18"/>
          <w:szCs w:val="18"/>
          <w:lang w:val="lv-LV"/>
        </w:rPr>
        <w:t>perioda</w:t>
      </w:r>
      <w:r w:rsidRPr="00556EC4">
        <w:rPr>
          <w:sz w:val="18"/>
          <w:szCs w:val="18"/>
          <w:lang w:val="lv-LV"/>
        </w:rPr>
        <w:t xml:space="preserve"> 31. jūlijam.</w:t>
      </w:r>
    </w:p>
  </w:footnote>
  <w:footnote w:id="23">
    <w:p w14:paraId="2B570729" w14:textId="28CEEB64" w:rsidR="00B629CC" w:rsidRPr="00556EC4" w:rsidRDefault="00B629CC" w:rsidP="00430D9E">
      <w:pPr>
        <w:pStyle w:val="FootnoteText"/>
        <w:ind w:left="0" w:firstLine="0"/>
        <w:rPr>
          <w:sz w:val="18"/>
          <w:szCs w:val="18"/>
          <w:lang w:val="lv-LV"/>
        </w:rPr>
      </w:pPr>
      <w:r w:rsidRPr="00556EC4">
        <w:rPr>
          <w:rStyle w:val="FootnoteReference"/>
          <w:sz w:val="18"/>
          <w:szCs w:val="18"/>
          <w:lang w:val="lv-LV"/>
        </w:rPr>
        <w:footnoteRef/>
      </w:r>
      <w:r w:rsidRPr="00556EC4">
        <w:rPr>
          <w:sz w:val="18"/>
          <w:szCs w:val="18"/>
          <w:lang w:val="lv-LV"/>
        </w:rPr>
        <w:tab/>
        <w:t xml:space="preserve">Kopējie attiecināmie izdevumi, kurus saņēmēji deklarējuši vadošajai iestādei un par kuriem paziņots Komisijai līdz iepriekšējā grāmatvedības </w:t>
      </w:r>
      <w:r w:rsidR="0059347E">
        <w:rPr>
          <w:sz w:val="18"/>
          <w:szCs w:val="18"/>
          <w:lang w:val="lv-LV"/>
        </w:rPr>
        <w:t>perioda</w:t>
      </w:r>
      <w:r w:rsidRPr="00556EC4">
        <w:rPr>
          <w:sz w:val="18"/>
          <w:szCs w:val="18"/>
          <w:lang w:val="lv-LV"/>
        </w:rPr>
        <w:t xml:space="preserve"> 31. jūlijam.</w:t>
      </w:r>
    </w:p>
  </w:footnote>
  <w:footnote w:id="24">
    <w:p w14:paraId="561B7BEE" w14:textId="77777777" w:rsidR="00B629CC" w:rsidRPr="007D76A5" w:rsidRDefault="00B629CC" w:rsidP="007D76A5">
      <w:pPr>
        <w:pStyle w:val="FootnoteText"/>
        <w:ind w:left="0" w:firstLine="0"/>
        <w:rPr>
          <w:sz w:val="18"/>
          <w:szCs w:val="18"/>
          <w:lang w:val="lv-LV"/>
        </w:rPr>
      </w:pPr>
      <w:r w:rsidRPr="009E5911">
        <w:rPr>
          <w:rStyle w:val="FootnoteReference"/>
          <w:sz w:val="18"/>
          <w:szCs w:val="18"/>
        </w:rPr>
        <w:footnoteRef/>
      </w:r>
      <w:hyperlink r:id="rId3" w:history="1">
        <w:r w:rsidRPr="007D76A5">
          <w:rPr>
            <w:rStyle w:val="Hyperlink"/>
            <w:sz w:val="18"/>
            <w:szCs w:val="18"/>
            <w:lang w:val="lv-LV"/>
          </w:rPr>
          <w:t>https://www.lm.gov.lv/lv/vadlinijas-horizontala-principa-vienlidziba-ieklausana-nediskriminacija-un-pamattiesibu-ieverosana-istenosanai-un-uzraudzibai-idf-irpvp-pmif-2021-2027</w:t>
        </w:r>
      </w:hyperlink>
      <w:r w:rsidRPr="007D76A5">
        <w:rPr>
          <w:sz w:val="18"/>
          <w:szCs w:val="18"/>
          <w:lang w:val="lv-LV"/>
        </w:rPr>
        <w:t xml:space="preserve"> </w:t>
      </w:r>
    </w:p>
  </w:footnote>
  <w:footnote w:id="25">
    <w:p w14:paraId="776E4368" w14:textId="77777777" w:rsidR="00B629CC" w:rsidRPr="007D76A5" w:rsidRDefault="00B629CC" w:rsidP="007D76A5">
      <w:pPr>
        <w:pStyle w:val="FootnoteText"/>
        <w:ind w:left="0" w:firstLine="0"/>
        <w:rPr>
          <w:sz w:val="18"/>
          <w:szCs w:val="18"/>
          <w:lang w:val="lv-LV"/>
        </w:rPr>
      </w:pPr>
      <w:r w:rsidRPr="009E5911">
        <w:rPr>
          <w:rStyle w:val="FootnoteReference"/>
          <w:sz w:val="18"/>
          <w:szCs w:val="18"/>
        </w:rPr>
        <w:footnoteRef/>
      </w:r>
      <w:r w:rsidRPr="007D76A5">
        <w:rPr>
          <w:sz w:val="18"/>
          <w:szCs w:val="18"/>
          <w:lang w:val="lv-LV"/>
        </w:rPr>
        <w:t xml:space="preserve"> </w:t>
      </w:r>
      <w:bookmarkStart w:id="21" w:name="_Hlk190095358"/>
      <w:r w:rsidRPr="007D76A5">
        <w:rPr>
          <w:sz w:val="18"/>
          <w:szCs w:val="18"/>
          <w:lang w:val="lv-LV"/>
        </w:rPr>
        <w:t xml:space="preserve">Ministru kabineta 2022. gada 18. oktobra noteikumi Nr. 651 </w:t>
      </w:r>
      <w:bookmarkStart w:id="22" w:name="_Hlk190095216"/>
      <w:r w:rsidRPr="007D76A5">
        <w:rPr>
          <w:sz w:val="18"/>
          <w:szCs w:val="18"/>
          <w:lang w:val="lv-LV"/>
        </w:rPr>
        <w:t xml:space="preserve">“Iekšējās drošības fonda, Patvēruma, migrācijas un integrācijas fonda un Finansiāla atbalsta instrumenta robežu pārvaldībai un vīzu politikai 2021.–2027. gada plānošanas perioda īstenošanas vadības kārtība”, pieejams: https://likumi.lv/ta/id/336499-ieksejas-drosibas-fonda-patveruma-migracijas-un-integracijas-fonda-un-finansiala-atbalsta-instrumenta-robezu-parvaldibai </w:t>
      </w:r>
      <w:bookmarkEnd w:id="21"/>
      <w:bookmarkEnd w:id="22"/>
    </w:p>
  </w:footnote>
  <w:footnote w:id="26">
    <w:p w14:paraId="5C1CE6D7" w14:textId="77777777" w:rsidR="00B629CC" w:rsidRPr="007D76A5" w:rsidRDefault="00B629CC" w:rsidP="007D76A5">
      <w:pPr>
        <w:pStyle w:val="FootnoteText"/>
        <w:ind w:left="0" w:firstLine="0"/>
        <w:rPr>
          <w:sz w:val="18"/>
          <w:szCs w:val="18"/>
          <w:lang w:val="lv-LV"/>
        </w:rPr>
      </w:pPr>
      <w:r w:rsidRPr="009E5911">
        <w:rPr>
          <w:rStyle w:val="FootnoteReference"/>
          <w:sz w:val="18"/>
          <w:szCs w:val="18"/>
        </w:rPr>
        <w:footnoteRef/>
      </w:r>
      <w:r w:rsidRPr="007D76A5">
        <w:rPr>
          <w:sz w:val="18"/>
          <w:szCs w:val="18"/>
          <w:lang w:val="lv-LV"/>
        </w:rPr>
        <w:t xml:space="preserve"> Ministru kabineta 2024. gada 21. maija rīkojums Nr. 396 “Plāns personu ar invaliditāti vienlīdzīgu iespēju veicināšanai 2024.–2027. gadam” https://likumi.lv/ta/id/352154-plans-personu-ar-invaliditati-vienlidzigu-iespeju-veicinasanai-20242027-gadam</w:t>
      </w:r>
    </w:p>
  </w:footnote>
  <w:footnote w:id="27">
    <w:p w14:paraId="5BD09BE6" w14:textId="77777777" w:rsidR="00B629CC" w:rsidRPr="009E5911" w:rsidRDefault="00B629CC" w:rsidP="007D76A5">
      <w:pPr>
        <w:pStyle w:val="FootnoteText"/>
        <w:ind w:left="0" w:firstLine="0"/>
        <w:rPr>
          <w:sz w:val="18"/>
          <w:szCs w:val="18"/>
          <w:lang w:val="en-GB"/>
        </w:rPr>
      </w:pPr>
      <w:r w:rsidRPr="009E5911">
        <w:rPr>
          <w:rStyle w:val="FootnoteReference"/>
          <w:sz w:val="18"/>
          <w:szCs w:val="18"/>
        </w:rPr>
        <w:footnoteRef/>
      </w:r>
      <w:r w:rsidRPr="009E5911">
        <w:rPr>
          <w:sz w:val="18"/>
          <w:szCs w:val="18"/>
        </w:rPr>
        <w:t xml:space="preserve"> Sociālās aizsardzības un darba tirgus politikas pamatnostādnes 2021.-2027.gadam</w:t>
      </w:r>
    </w:p>
  </w:footnote>
  <w:footnote w:id="28">
    <w:p w14:paraId="6CF99F91" w14:textId="77777777" w:rsidR="00B629CC" w:rsidRPr="009E5911" w:rsidRDefault="00B629CC" w:rsidP="007D76A5">
      <w:pPr>
        <w:pStyle w:val="FootnoteText"/>
        <w:ind w:left="0" w:firstLine="0"/>
        <w:rPr>
          <w:sz w:val="18"/>
          <w:szCs w:val="18"/>
          <w:lang w:val="en-GB"/>
        </w:rPr>
      </w:pPr>
      <w:r w:rsidRPr="009E5911">
        <w:rPr>
          <w:rStyle w:val="FootnoteReference"/>
          <w:sz w:val="18"/>
          <w:szCs w:val="18"/>
        </w:rPr>
        <w:footnoteRef/>
      </w:r>
      <w:r w:rsidRPr="009E5911">
        <w:rPr>
          <w:sz w:val="18"/>
          <w:szCs w:val="18"/>
        </w:rPr>
        <w:t xml:space="preserve"> </w:t>
      </w:r>
      <w:r>
        <w:rPr>
          <w:sz w:val="18"/>
          <w:szCs w:val="18"/>
          <w:lang w:val="en-GB"/>
        </w:rPr>
        <w:t>Apvienoto</w:t>
      </w:r>
      <w:r w:rsidRPr="009E5911">
        <w:rPr>
          <w:sz w:val="18"/>
          <w:szCs w:val="18"/>
          <w:lang w:val="en-GB"/>
        </w:rPr>
        <w:t xml:space="preserve"> Nāciju Organizācijas Konvencija par personu ar invaliditāti tiesībām</w:t>
      </w:r>
    </w:p>
  </w:footnote>
  <w:footnote w:id="29">
    <w:p w14:paraId="2A6CB002" w14:textId="77777777" w:rsidR="00B629CC" w:rsidRPr="00550BFC" w:rsidRDefault="00B629CC" w:rsidP="00550BFC">
      <w:pPr>
        <w:pStyle w:val="FootnoteText"/>
        <w:rPr>
          <w:sz w:val="18"/>
          <w:szCs w:val="18"/>
          <w:lang w:val="lv-LV"/>
        </w:rPr>
      </w:pPr>
      <w:r w:rsidRPr="009E5911">
        <w:rPr>
          <w:rStyle w:val="FootnoteReference"/>
          <w:sz w:val="18"/>
          <w:szCs w:val="18"/>
        </w:rPr>
        <w:footnoteRef/>
      </w:r>
      <w:r w:rsidRPr="00550BFC">
        <w:rPr>
          <w:sz w:val="18"/>
          <w:szCs w:val="18"/>
          <w:lang w:val="lv-LV"/>
        </w:rPr>
        <w:t xml:space="preserve"> Ministru kabineta 2022. gada 18. oktobra noteikumu Nr. 651 “Iekšējās drošības fonda, Patvēruma, migrācijas un integrācijas fonda un Finansiāla atbalsta instrumenta robežu pārvaldībai un vīzu politikai 2021.–2027. gada plānošanas perioda īstenošanas vadības kārtība”, pieejams: https://likumi.lv/ta/id/336499-ieksejas-drosibas-fonda-patveruma-migracijas-un-integracijas-fonda-un-finansiala-atbalsta-instrumenta-robezu-parvaldibai </w:t>
      </w:r>
    </w:p>
    <w:p w14:paraId="26A90C9A" w14:textId="77777777" w:rsidR="00B629CC" w:rsidRPr="009E5911" w:rsidRDefault="00B629CC" w:rsidP="00550BFC">
      <w:pPr>
        <w:pStyle w:val="FootnoteText"/>
        <w:rPr>
          <w:i/>
          <w:sz w:val="18"/>
          <w:szCs w:val="18"/>
        </w:rPr>
      </w:pPr>
      <w:r w:rsidRPr="009E5911">
        <w:rPr>
          <w:sz w:val="18"/>
          <w:szCs w:val="18"/>
        </w:rPr>
        <w:t>https://likumi.lv/ta/id/336499-ieksejas-drosibas-fonda-patveruma-migracijas-un-integracijas-fonda-un-finansiala-atbalsta-instrumenta-robezu-parvaldibai, 120.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9E2164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8640207"/>
    <w:multiLevelType w:val="hybridMultilevel"/>
    <w:tmpl w:val="CB0E4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9E84C0B"/>
    <w:multiLevelType w:val="hybridMultilevel"/>
    <w:tmpl w:val="F16EA0D8"/>
    <w:lvl w:ilvl="0" w:tplc="04260001">
      <w:start w:val="1"/>
      <w:numFmt w:val="bullet"/>
      <w:lvlText w:val=""/>
      <w:lvlJc w:val="left"/>
      <w:pPr>
        <w:ind w:left="862" w:hanging="360"/>
      </w:pPr>
      <w:rPr>
        <w:rFonts w:ascii="Symbol" w:hAnsi="Symbol"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10" w15:restartNumberingAfterBreak="0">
    <w:nsid w:val="1A2373C8"/>
    <w:multiLevelType w:val="hybridMultilevel"/>
    <w:tmpl w:val="1B34E166"/>
    <w:lvl w:ilvl="0" w:tplc="899815BC">
      <w:start w:val="1"/>
      <w:numFmt w:val="decimal"/>
      <w:lvlText w:val="%1."/>
      <w:lvlJc w:val="left"/>
      <w:pPr>
        <w:ind w:left="458" w:hanging="360"/>
      </w:pPr>
      <w:rPr>
        <w:rFonts w:hint="default"/>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1AEE4648"/>
    <w:multiLevelType w:val="hybridMultilevel"/>
    <w:tmpl w:val="E5547F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FE41918"/>
    <w:multiLevelType w:val="hybridMultilevel"/>
    <w:tmpl w:val="4F8AD244"/>
    <w:lvl w:ilvl="0" w:tplc="2E1EB1D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EE3F40"/>
    <w:multiLevelType w:val="hybridMultilevel"/>
    <w:tmpl w:val="320681A8"/>
    <w:lvl w:ilvl="0" w:tplc="C70A4924">
      <w:start w:val="1"/>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563363"/>
    <w:multiLevelType w:val="hybridMultilevel"/>
    <w:tmpl w:val="EB1AFD0E"/>
    <w:lvl w:ilvl="0" w:tplc="ABF0C980">
      <w:start w:val="1"/>
      <w:numFmt w:val="decimal"/>
      <w:lvlText w:val="%1."/>
      <w:lvlJc w:val="left"/>
      <w:pPr>
        <w:ind w:left="751"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8" w15:restartNumberingAfterBreak="0">
    <w:nsid w:val="2CD10B7B"/>
    <w:multiLevelType w:val="hybridMultilevel"/>
    <w:tmpl w:val="8A9276B0"/>
    <w:lvl w:ilvl="0" w:tplc="E58240DC">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0" w15:restartNumberingAfterBreak="0">
    <w:nsid w:val="2DC05DD2"/>
    <w:multiLevelType w:val="hybridMultilevel"/>
    <w:tmpl w:val="1FFA03F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314D0248"/>
    <w:multiLevelType w:val="hybridMultilevel"/>
    <w:tmpl w:val="8376CF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8F12E60"/>
    <w:multiLevelType w:val="hybridMultilevel"/>
    <w:tmpl w:val="9A2ACF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3F2673"/>
    <w:multiLevelType w:val="hybridMultilevel"/>
    <w:tmpl w:val="222A2896"/>
    <w:lvl w:ilvl="0" w:tplc="BB8A344A">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856B8F"/>
    <w:multiLevelType w:val="hybridMultilevel"/>
    <w:tmpl w:val="53BA8A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D9675C4"/>
    <w:multiLevelType w:val="hybridMultilevel"/>
    <w:tmpl w:val="B60A39B8"/>
    <w:lvl w:ilvl="0" w:tplc="D194D452">
      <w:start w:val="1"/>
      <w:numFmt w:val="decimal"/>
      <w:lvlText w:val="%1."/>
      <w:lvlJc w:val="left"/>
      <w:pPr>
        <w:ind w:left="360" w:hanging="360"/>
      </w:pPr>
      <w:rPr>
        <w:rFonts w:hint="default"/>
        <w:b/>
        <w:bCs/>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26" w15:restartNumberingAfterBreak="0">
    <w:nsid w:val="416448A1"/>
    <w:multiLevelType w:val="multilevel"/>
    <w:tmpl w:val="F9EC6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3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4A8A5AD9"/>
    <w:multiLevelType w:val="hybridMultilevel"/>
    <w:tmpl w:val="60AAC9C0"/>
    <w:lvl w:ilvl="0" w:tplc="551C638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B5660B0"/>
    <w:multiLevelType w:val="multilevel"/>
    <w:tmpl w:val="4B5660B0"/>
    <w:lvl w:ilvl="0">
      <w:start w:val="1"/>
      <w:numFmt w:val="bullet"/>
      <w:pStyle w:val="VPBullet"/>
      <w:lvlText w:val=""/>
      <w:lvlJc w:val="left"/>
      <w:pPr>
        <w:ind w:left="423" w:hanging="360"/>
      </w:pPr>
      <w:rPr>
        <w:rFonts w:ascii="Symbol" w:hAnsi="Symbol"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2A8150C"/>
    <w:multiLevelType w:val="hybridMultilevel"/>
    <w:tmpl w:val="AAB463F2"/>
    <w:lvl w:ilvl="0" w:tplc="BB8A34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56F259D"/>
    <w:multiLevelType w:val="hybridMultilevel"/>
    <w:tmpl w:val="5B7CFF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1" w15:restartNumberingAfterBreak="0">
    <w:nsid w:val="6D146094"/>
    <w:multiLevelType w:val="multilevel"/>
    <w:tmpl w:val="C2A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A92BB3"/>
    <w:multiLevelType w:val="hybridMultilevel"/>
    <w:tmpl w:val="69AEC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5AC2197"/>
    <w:multiLevelType w:val="multilevel"/>
    <w:tmpl w:val="AD563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6426A8"/>
    <w:multiLevelType w:val="hybridMultilevel"/>
    <w:tmpl w:val="7F6489F4"/>
    <w:lvl w:ilvl="0" w:tplc="551C6384">
      <w:start w:val="1"/>
      <w:numFmt w:val="decimal"/>
      <w:lvlText w:val="%1."/>
      <w:lvlJc w:val="left"/>
      <w:pPr>
        <w:ind w:left="679" w:hanging="360"/>
      </w:pPr>
      <w:rPr>
        <w:b/>
        <w:bCs/>
      </w:rPr>
    </w:lvl>
    <w:lvl w:ilvl="1" w:tplc="04260019" w:tentative="1">
      <w:start w:val="1"/>
      <w:numFmt w:val="lowerLetter"/>
      <w:lvlText w:val="%2."/>
      <w:lvlJc w:val="left"/>
      <w:pPr>
        <w:ind w:left="1399" w:hanging="360"/>
      </w:pPr>
    </w:lvl>
    <w:lvl w:ilvl="2" w:tplc="0426001B" w:tentative="1">
      <w:start w:val="1"/>
      <w:numFmt w:val="lowerRoman"/>
      <w:lvlText w:val="%3."/>
      <w:lvlJc w:val="right"/>
      <w:pPr>
        <w:ind w:left="2119" w:hanging="180"/>
      </w:pPr>
    </w:lvl>
    <w:lvl w:ilvl="3" w:tplc="0426000F" w:tentative="1">
      <w:start w:val="1"/>
      <w:numFmt w:val="decimal"/>
      <w:lvlText w:val="%4."/>
      <w:lvlJc w:val="left"/>
      <w:pPr>
        <w:ind w:left="2839" w:hanging="360"/>
      </w:pPr>
    </w:lvl>
    <w:lvl w:ilvl="4" w:tplc="04260019" w:tentative="1">
      <w:start w:val="1"/>
      <w:numFmt w:val="lowerLetter"/>
      <w:lvlText w:val="%5."/>
      <w:lvlJc w:val="left"/>
      <w:pPr>
        <w:ind w:left="3559" w:hanging="360"/>
      </w:pPr>
    </w:lvl>
    <w:lvl w:ilvl="5" w:tplc="0426001B" w:tentative="1">
      <w:start w:val="1"/>
      <w:numFmt w:val="lowerRoman"/>
      <w:lvlText w:val="%6."/>
      <w:lvlJc w:val="right"/>
      <w:pPr>
        <w:ind w:left="4279" w:hanging="180"/>
      </w:pPr>
    </w:lvl>
    <w:lvl w:ilvl="6" w:tplc="0426000F" w:tentative="1">
      <w:start w:val="1"/>
      <w:numFmt w:val="decimal"/>
      <w:lvlText w:val="%7."/>
      <w:lvlJc w:val="left"/>
      <w:pPr>
        <w:ind w:left="4999" w:hanging="360"/>
      </w:pPr>
    </w:lvl>
    <w:lvl w:ilvl="7" w:tplc="04260019" w:tentative="1">
      <w:start w:val="1"/>
      <w:numFmt w:val="lowerLetter"/>
      <w:lvlText w:val="%8."/>
      <w:lvlJc w:val="left"/>
      <w:pPr>
        <w:ind w:left="5719" w:hanging="360"/>
      </w:pPr>
    </w:lvl>
    <w:lvl w:ilvl="8" w:tplc="0426001B" w:tentative="1">
      <w:start w:val="1"/>
      <w:numFmt w:val="lowerRoman"/>
      <w:lvlText w:val="%9."/>
      <w:lvlJc w:val="right"/>
      <w:pPr>
        <w:ind w:left="6439" w:hanging="180"/>
      </w:pPr>
    </w:lvl>
  </w:abstractNum>
  <w:abstractNum w:abstractNumId="4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6" w15:restartNumberingAfterBreak="0">
    <w:nsid w:val="7F4B29C9"/>
    <w:multiLevelType w:val="hybridMultilevel"/>
    <w:tmpl w:val="592202C8"/>
    <w:lvl w:ilvl="0" w:tplc="85F21FC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36"/>
    <w:lvlOverride w:ilvl="0">
      <w:startOverride w:val="1"/>
    </w:lvlOverride>
  </w:num>
  <w:num w:numId="10">
    <w:abstractNumId w:val="36"/>
    <w:lvlOverride w:ilvl="0">
      <w:startOverride w:val="1"/>
    </w:lvlOverride>
  </w:num>
  <w:num w:numId="11">
    <w:abstractNumId w:val="36"/>
    <w:lvlOverride w:ilvl="0">
      <w:startOverride w:val="1"/>
    </w:lvlOverride>
  </w:num>
  <w:num w:numId="12">
    <w:abstractNumId w:val="36"/>
  </w:num>
  <w:num w:numId="13">
    <w:abstractNumId w:val="27"/>
  </w:num>
  <w:num w:numId="14">
    <w:abstractNumId w:val="40"/>
  </w:num>
  <w:num w:numId="15">
    <w:abstractNumId w:val="19"/>
  </w:num>
  <w:num w:numId="16">
    <w:abstractNumId w:val="28"/>
  </w:num>
  <w:num w:numId="17">
    <w:abstractNumId w:val="29"/>
  </w:num>
  <w:num w:numId="18">
    <w:abstractNumId w:val="14"/>
  </w:num>
  <w:num w:numId="19">
    <w:abstractNumId w:val="38"/>
  </w:num>
  <w:num w:numId="20">
    <w:abstractNumId w:val="12"/>
  </w:num>
  <w:num w:numId="21">
    <w:abstractNumId w:val="30"/>
  </w:num>
  <w:num w:numId="22">
    <w:abstractNumId w:val="34"/>
  </w:num>
  <w:num w:numId="23">
    <w:abstractNumId w:val="35"/>
  </w:num>
  <w:num w:numId="24">
    <w:abstractNumId w:val="17"/>
  </w:num>
  <w:num w:numId="25">
    <w:abstractNumId w:val="33"/>
  </w:num>
  <w:num w:numId="26">
    <w:abstractNumId w:val="45"/>
  </w:num>
  <w:num w:numId="27">
    <w:abstractNumId w:val="15"/>
  </w:num>
  <w:num w:numId="28">
    <w:abstractNumId w:val="32"/>
  </w:num>
  <w:num w:numId="29">
    <w:abstractNumId w:val="13"/>
  </w:num>
  <w:num w:numId="30">
    <w:abstractNumId w:val="10"/>
  </w:num>
  <w:num w:numId="31">
    <w:abstractNumId w:val="25"/>
  </w:num>
  <w:num w:numId="32">
    <w:abstractNumId w:val="26"/>
  </w:num>
  <w:num w:numId="33">
    <w:abstractNumId w:val="16"/>
  </w:num>
  <w:num w:numId="34">
    <w:abstractNumId w:val="31"/>
  </w:num>
  <w:num w:numId="35">
    <w:abstractNumId w:val="44"/>
  </w:num>
  <w:num w:numId="36">
    <w:abstractNumId w:val="41"/>
  </w:num>
  <w:num w:numId="37">
    <w:abstractNumId w:val="43"/>
  </w:num>
  <w:num w:numId="38">
    <w:abstractNumId w:val="9"/>
  </w:num>
  <w:num w:numId="39">
    <w:abstractNumId w:val="39"/>
  </w:num>
  <w:num w:numId="40">
    <w:abstractNumId w:val="23"/>
  </w:num>
  <w:num w:numId="41">
    <w:abstractNumId w:val="37"/>
  </w:num>
  <w:num w:numId="42">
    <w:abstractNumId w:val="11"/>
  </w:num>
  <w:num w:numId="43">
    <w:abstractNumId w:val="46"/>
  </w:num>
  <w:num w:numId="44">
    <w:abstractNumId w:val="22"/>
  </w:num>
  <w:num w:numId="45">
    <w:abstractNumId w:val="20"/>
  </w:num>
  <w:num w:numId="46">
    <w:abstractNumId w:val="8"/>
  </w:num>
  <w:num w:numId="47">
    <w:abstractNumId w:val="24"/>
  </w:num>
  <w:num w:numId="48">
    <w:abstractNumId w:val="42"/>
  </w:num>
  <w:num w:numId="49">
    <w:abstractNumId w:val="18"/>
  </w:num>
  <w:num w:numId="50">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defaultTabStop w:val="720"/>
  <w:hyphenationZone w:val="425"/>
  <w:characterSpacingControl w:val="doNotCompress"/>
  <w:hdrShapeDefaults>
    <o:shapedefaults v:ext="edit" spidmax="18022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3-01-17 08:31: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okumentam"/>
    <w:docVar w:name="LW_ACCOMPAGNANT.CP" w:val="dokumentam"/>
    <w:docVar w:name="LW_ANNEX_NBR_FIRST" w:val="1"/>
    <w:docVar w:name="LW_ANNEX_NBR_LAST" w:val="1"/>
    <w:docVar w:name="LW_ANNEX_UNIQUE" w:val="1"/>
    <w:docVar w:name="LW_CORRIGENDUM" w:val="&lt;UNUSED&gt;"/>
    <w:docVar w:name="LW_COVERPAGE_EXISTS" w:val="True"/>
    <w:docVar w:name="LW_COVERPAGE_GUID" w:val="886FB634-73E8-4F58-AD71-D9A43B57DE46"/>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isel\u275?, "/>
    <w:docVar w:name="LW_EMISSION_SUFFIX" w:val="."/>
    <w:docVar w:name="LW_ID_DOCSTRUCTURE" w:val="COM/ANNEX"/>
    <w:docVar w:name="LW_ID_DOCTYPE" w:val="SG-068"/>
    <w:docVar w:name="LW_LANGUE" w:val="LV"/>
    <w:docVar w:name="LW_LEVEL_OF_SENSITIVITY" w:val="Standard treatment"/>
    <w:docVar w:name="LW_NOM.INST" w:val="EIROPAS KOMISIJA"/>
    <w:docVar w:name="LW_NOM.INST_JOINTDOC" w:val="&lt;EMPTY&gt;"/>
    <w:docVar w:name="LW_OBJETACTEPRINCIPAL" w:val="ar ko saska\u326?\u257? ar Regulu (ES) 2021/1149 izveido paraugu gada snieguma zi\u326?ojumiem par Iek\u353?\u275?j\u257?s dro\u353?\u299?bas fondu 2021.\u8211?2027. gada pl\u257?no\u353?anas period\u257?"/>
    <w:docVar w:name="LW_OBJETACTEPRINCIPAL.CP" w:val="ar ko saskaņā ar Regulu (ES) 2021/1149 izveido paraugu gada snieguma ziņojumiem par Iekšējās drošības fondu 2021.–2027. gada plānošanas periodā"/>
    <w:docVar w:name="LW_PART_NBR" w:val="1"/>
    <w:docVar w:name="LW_PART_NBR_TOTAL" w:val="1"/>
    <w:docVar w:name="LW_REF.INST.NEW" w:val="C"/>
    <w:docVar w:name="LW_REF.INST.NEW_ADOPTED" w:val="final"/>
    <w:docVar w:name="LW_REF.INST.NEW_TEXT" w:val="(2023) 5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IELIKUMS"/>
    <w:docVar w:name="LW_TYPE.DOC.CP" w:val="PIELIKUMS"/>
    <w:docVar w:name="LW_TYPEACTEPRINCIPAL" w:val="Komisijas \u298?steno\u353?anas regula,"/>
    <w:docVar w:name="LW_TYPEACTEPRINCIPAL.CP" w:val="Komisijas Īstenošanas regula,"/>
    <w:docVar w:name="LwApiVersions" w:val="LW4CoDe 1.23.2.0; LW 8.0, Build 20211117"/>
  </w:docVars>
  <w:rsids>
    <w:rsidRoot w:val="00555224"/>
    <w:rsid w:val="0000016F"/>
    <w:rsid w:val="00004773"/>
    <w:rsid w:val="000055DE"/>
    <w:rsid w:val="000066B0"/>
    <w:rsid w:val="0001069A"/>
    <w:rsid w:val="000114FF"/>
    <w:rsid w:val="000133CF"/>
    <w:rsid w:val="00014F7C"/>
    <w:rsid w:val="0001528B"/>
    <w:rsid w:val="0002060C"/>
    <w:rsid w:val="00022124"/>
    <w:rsid w:val="000267BF"/>
    <w:rsid w:val="0003467C"/>
    <w:rsid w:val="000351F0"/>
    <w:rsid w:val="00037FD2"/>
    <w:rsid w:val="00040782"/>
    <w:rsid w:val="00042E85"/>
    <w:rsid w:val="0004431E"/>
    <w:rsid w:val="0004435A"/>
    <w:rsid w:val="00046462"/>
    <w:rsid w:val="0005122B"/>
    <w:rsid w:val="00053829"/>
    <w:rsid w:val="00056D63"/>
    <w:rsid w:val="0006054D"/>
    <w:rsid w:val="0006545D"/>
    <w:rsid w:val="00070021"/>
    <w:rsid w:val="00074F53"/>
    <w:rsid w:val="00075EDB"/>
    <w:rsid w:val="00077A0B"/>
    <w:rsid w:val="00080846"/>
    <w:rsid w:val="00081CCF"/>
    <w:rsid w:val="00083808"/>
    <w:rsid w:val="00085A16"/>
    <w:rsid w:val="00085D54"/>
    <w:rsid w:val="00086624"/>
    <w:rsid w:val="000903CC"/>
    <w:rsid w:val="000918D6"/>
    <w:rsid w:val="00092F97"/>
    <w:rsid w:val="00093D5B"/>
    <w:rsid w:val="0009416F"/>
    <w:rsid w:val="000A0779"/>
    <w:rsid w:val="000A1C8F"/>
    <w:rsid w:val="000B1C92"/>
    <w:rsid w:val="000B4420"/>
    <w:rsid w:val="000C122F"/>
    <w:rsid w:val="000C254C"/>
    <w:rsid w:val="000C28BD"/>
    <w:rsid w:val="000C2EA5"/>
    <w:rsid w:val="000C30B0"/>
    <w:rsid w:val="000C3158"/>
    <w:rsid w:val="000C4CC6"/>
    <w:rsid w:val="000D1693"/>
    <w:rsid w:val="000D21EF"/>
    <w:rsid w:val="000D3B8F"/>
    <w:rsid w:val="000D44D0"/>
    <w:rsid w:val="000D5E2F"/>
    <w:rsid w:val="000E45B7"/>
    <w:rsid w:val="000F1C58"/>
    <w:rsid w:val="000F3987"/>
    <w:rsid w:val="0010092C"/>
    <w:rsid w:val="00100B3C"/>
    <w:rsid w:val="0010245F"/>
    <w:rsid w:val="00103274"/>
    <w:rsid w:val="00103A21"/>
    <w:rsid w:val="00104E34"/>
    <w:rsid w:val="00111D07"/>
    <w:rsid w:val="00113E4B"/>
    <w:rsid w:val="001162D0"/>
    <w:rsid w:val="001162EC"/>
    <w:rsid w:val="00122018"/>
    <w:rsid w:val="00127F06"/>
    <w:rsid w:val="00132870"/>
    <w:rsid w:val="00141E24"/>
    <w:rsid w:val="001501F7"/>
    <w:rsid w:val="00152894"/>
    <w:rsid w:val="00153209"/>
    <w:rsid w:val="0015448D"/>
    <w:rsid w:val="00154541"/>
    <w:rsid w:val="00160B21"/>
    <w:rsid w:val="00160E49"/>
    <w:rsid w:val="0016130D"/>
    <w:rsid w:val="00163461"/>
    <w:rsid w:val="001668BA"/>
    <w:rsid w:val="00171B24"/>
    <w:rsid w:val="00181A3F"/>
    <w:rsid w:val="001831DD"/>
    <w:rsid w:val="0019152D"/>
    <w:rsid w:val="001A1F71"/>
    <w:rsid w:val="001A292A"/>
    <w:rsid w:val="001A34FF"/>
    <w:rsid w:val="001B037F"/>
    <w:rsid w:val="001B436A"/>
    <w:rsid w:val="001B5B59"/>
    <w:rsid w:val="001B7FE6"/>
    <w:rsid w:val="001C0807"/>
    <w:rsid w:val="001C15FC"/>
    <w:rsid w:val="001C1F05"/>
    <w:rsid w:val="001C3BDA"/>
    <w:rsid w:val="001C4994"/>
    <w:rsid w:val="001C588A"/>
    <w:rsid w:val="001C5D09"/>
    <w:rsid w:val="001D175D"/>
    <w:rsid w:val="001D2E88"/>
    <w:rsid w:val="001D7456"/>
    <w:rsid w:val="001E0269"/>
    <w:rsid w:val="001E0672"/>
    <w:rsid w:val="001E12A7"/>
    <w:rsid w:val="001E1588"/>
    <w:rsid w:val="001E3E4B"/>
    <w:rsid w:val="001E7E11"/>
    <w:rsid w:val="001F71DC"/>
    <w:rsid w:val="001F7F00"/>
    <w:rsid w:val="00200C0C"/>
    <w:rsid w:val="00202C38"/>
    <w:rsid w:val="00203F71"/>
    <w:rsid w:val="00205FA5"/>
    <w:rsid w:val="00206FA7"/>
    <w:rsid w:val="00214C7E"/>
    <w:rsid w:val="00216061"/>
    <w:rsid w:val="00216D79"/>
    <w:rsid w:val="002229DC"/>
    <w:rsid w:val="00231338"/>
    <w:rsid w:val="00233087"/>
    <w:rsid w:val="0023486B"/>
    <w:rsid w:val="0023493B"/>
    <w:rsid w:val="002357EB"/>
    <w:rsid w:val="002361D0"/>
    <w:rsid w:val="002374ED"/>
    <w:rsid w:val="00237C3B"/>
    <w:rsid w:val="00244632"/>
    <w:rsid w:val="00244A46"/>
    <w:rsid w:val="00245E3A"/>
    <w:rsid w:val="00251735"/>
    <w:rsid w:val="00254824"/>
    <w:rsid w:val="00260785"/>
    <w:rsid w:val="00262C1A"/>
    <w:rsid w:val="002642C0"/>
    <w:rsid w:val="00267706"/>
    <w:rsid w:val="00277AF0"/>
    <w:rsid w:val="00280B86"/>
    <w:rsid w:val="00284373"/>
    <w:rsid w:val="00284D38"/>
    <w:rsid w:val="0028509C"/>
    <w:rsid w:val="00292B4B"/>
    <w:rsid w:val="00296314"/>
    <w:rsid w:val="002A2E2F"/>
    <w:rsid w:val="002A48C2"/>
    <w:rsid w:val="002A4E0C"/>
    <w:rsid w:val="002A4FD7"/>
    <w:rsid w:val="002A6B7D"/>
    <w:rsid w:val="002C0831"/>
    <w:rsid w:val="002C372E"/>
    <w:rsid w:val="002C4716"/>
    <w:rsid w:val="002C4A46"/>
    <w:rsid w:val="002C4C72"/>
    <w:rsid w:val="002C600B"/>
    <w:rsid w:val="002C60F2"/>
    <w:rsid w:val="002C7AFB"/>
    <w:rsid w:val="002D548B"/>
    <w:rsid w:val="002E13C5"/>
    <w:rsid w:val="002E355D"/>
    <w:rsid w:val="002F1935"/>
    <w:rsid w:val="002F5106"/>
    <w:rsid w:val="003003B7"/>
    <w:rsid w:val="00304DF0"/>
    <w:rsid w:val="00305958"/>
    <w:rsid w:val="00310023"/>
    <w:rsid w:val="00310640"/>
    <w:rsid w:val="003121DB"/>
    <w:rsid w:val="003124B7"/>
    <w:rsid w:val="00312819"/>
    <w:rsid w:val="00314E9E"/>
    <w:rsid w:val="0031617C"/>
    <w:rsid w:val="003166C3"/>
    <w:rsid w:val="00317D44"/>
    <w:rsid w:val="00321DF1"/>
    <w:rsid w:val="003231A3"/>
    <w:rsid w:val="0032373D"/>
    <w:rsid w:val="00323AA1"/>
    <w:rsid w:val="00326BDD"/>
    <w:rsid w:val="00327883"/>
    <w:rsid w:val="00331034"/>
    <w:rsid w:val="00331C00"/>
    <w:rsid w:val="00332A4B"/>
    <w:rsid w:val="00333B45"/>
    <w:rsid w:val="00337D53"/>
    <w:rsid w:val="00345144"/>
    <w:rsid w:val="00346230"/>
    <w:rsid w:val="003471D8"/>
    <w:rsid w:val="00347EE8"/>
    <w:rsid w:val="0035085A"/>
    <w:rsid w:val="00351C18"/>
    <w:rsid w:val="00352119"/>
    <w:rsid w:val="0035484F"/>
    <w:rsid w:val="00364D1C"/>
    <w:rsid w:val="003651F7"/>
    <w:rsid w:val="0037111C"/>
    <w:rsid w:val="00371AD5"/>
    <w:rsid w:val="0037254B"/>
    <w:rsid w:val="0037290B"/>
    <w:rsid w:val="00385618"/>
    <w:rsid w:val="00385D77"/>
    <w:rsid w:val="003923CA"/>
    <w:rsid w:val="00393EEC"/>
    <w:rsid w:val="003945F3"/>
    <w:rsid w:val="003954DE"/>
    <w:rsid w:val="00397A63"/>
    <w:rsid w:val="003A30A1"/>
    <w:rsid w:val="003A3A17"/>
    <w:rsid w:val="003A5978"/>
    <w:rsid w:val="003A6A89"/>
    <w:rsid w:val="003B217D"/>
    <w:rsid w:val="003B5C2B"/>
    <w:rsid w:val="003B616F"/>
    <w:rsid w:val="003D2A12"/>
    <w:rsid w:val="003D5DFD"/>
    <w:rsid w:val="003E1520"/>
    <w:rsid w:val="003E30A6"/>
    <w:rsid w:val="003E3261"/>
    <w:rsid w:val="003E338B"/>
    <w:rsid w:val="003E36B0"/>
    <w:rsid w:val="003E3A27"/>
    <w:rsid w:val="003E46D4"/>
    <w:rsid w:val="003E4922"/>
    <w:rsid w:val="003E49B2"/>
    <w:rsid w:val="003E7D66"/>
    <w:rsid w:val="003E7F9C"/>
    <w:rsid w:val="003F4F12"/>
    <w:rsid w:val="003F695F"/>
    <w:rsid w:val="004012B7"/>
    <w:rsid w:val="0040191A"/>
    <w:rsid w:val="00405D43"/>
    <w:rsid w:val="004063D5"/>
    <w:rsid w:val="00410DEC"/>
    <w:rsid w:val="004119DA"/>
    <w:rsid w:val="0041224B"/>
    <w:rsid w:val="00425B0B"/>
    <w:rsid w:val="00427E21"/>
    <w:rsid w:val="00430D9E"/>
    <w:rsid w:val="00432B0C"/>
    <w:rsid w:val="00437336"/>
    <w:rsid w:val="0044327D"/>
    <w:rsid w:val="00446E37"/>
    <w:rsid w:val="00453788"/>
    <w:rsid w:val="004630E2"/>
    <w:rsid w:val="004708BF"/>
    <w:rsid w:val="00475B8F"/>
    <w:rsid w:val="00481574"/>
    <w:rsid w:val="00490445"/>
    <w:rsid w:val="0049785B"/>
    <w:rsid w:val="004A30F9"/>
    <w:rsid w:val="004A463D"/>
    <w:rsid w:val="004B28D5"/>
    <w:rsid w:val="004B4566"/>
    <w:rsid w:val="004C6282"/>
    <w:rsid w:val="004C6B7E"/>
    <w:rsid w:val="004D6284"/>
    <w:rsid w:val="004E137F"/>
    <w:rsid w:val="004E19E0"/>
    <w:rsid w:val="004F00F8"/>
    <w:rsid w:val="004F1E95"/>
    <w:rsid w:val="004F52C4"/>
    <w:rsid w:val="004F5C72"/>
    <w:rsid w:val="004F5E71"/>
    <w:rsid w:val="005000D5"/>
    <w:rsid w:val="00515026"/>
    <w:rsid w:val="005202F1"/>
    <w:rsid w:val="00520A2F"/>
    <w:rsid w:val="00532177"/>
    <w:rsid w:val="00535AC2"/>
    <w:rsid w:val="005365AB"/>
    <w:rsid w:val="00537BCF"/>
    <w:rsid w:val="00540062"/>
    <w:rsid w:val="00540164"/>
    <w:rsid w:val="00543FEE"/>
    <w:rsid w:val="00544AB4"/>
    <w:rsid w:val="00544E72"/>
    <w:rsid w:val="00545857"/>
    <w:rsid w:val="00550BFC"/>
    <w:rsid w:val="00552A8B"/>
    <w:rsid w:val="00554DAE"/>
    <w:rsid w:val="00555224"/>
    <w:rsid w:val="00555916"/>
    <w:rsid w:val="00556EC4"/>
    <w:rsid w:val="00560987"/>
    <w:rsid w:val="0056184E"/>
    <w:rsid w:val="00561E3E"/>
    <w:rsid w:val="0056447F"/>
    <w:rsid w:val="00565D19"/>
    <w:rsid w:val="00566425"/>
    <w:rsid w:val="00571255"/>
    <w:rsid w:val="005712C1"/>
    <w:rsid w:val="00572981"/>
    <w:rsid w:val="00577FFB"/>
    <w:rsid w:val="00582244"/>
    <w:rsid w:val="005856EF"/>
    <w:rsid w:val="00586750"/>
    <w:rsid w:val="00591AB0"/>
    <w:rsid w:val="0059250C"/>
    <w:rsid w:val="0059347E"/>
    <w:rsid w:val="005A2946"/>
    <w:rsid w:val="005A2C76"/>
    <w:rsid w:val="005A34FA"/>
    <w:rsid w:val="005A4005"/>
    <w:rsid w:val="005A77D9"/>
    <w:rsid w:val="005B266A"/>
    <w:rsid w:val="005B2F16"/>
    <w:rsid w:val="005B2FA1"/>
    <w:rsid w:val="005B37D1"/>
    <w:rsid w:val="005B5ADD"/>
    <w:rsid w:val="005B69E9"/>
    <w:rsid w:val="005C2B1E"/>
    <w:rsid w:val="005C47C3"/>
    <w:rsid w:val="005D4ACD"/>
    <w:rsid w:val="005E2473"/>
    <w:rsid w:val="005F7766"/>
    <w:rsid w:val="006004FC"/>
    <w:rsid w:val="00602FBB"/>
    <w:rsid w:val="00604E84"/>
    <w:rsid w:val="0060652B"/>
    <w:rsid w:val="00615B4A"/>
    <w:rsid w:val="00616C0E"/>
    <w:rsid w:val="00620009"/>
    <w:rsid w:val="006219CA"/>
    <w:rsid w:val="00621FCD"/>
    <w:rsid w:val="0062377B"/>
    <w:rsid w:val="00624528"/>
    <w:rsid w:val="00635028"/>
    <w:rsid w:val="00636FE6"/>
    <w:rsid w:val="00646073"/>
    <w:rsid w:val="00647B11"/>
    <w:rsid w:val="00650495"/>
    <w:rsid w:val="00651A7C"/>
    <w:rsid w:val="00652D07"/>
    <w:rsid w:val="00655A42"/>
    <w:rsid w:val="00656EC7"/>
    <w:rsid w:val="00657189"/>
    <w:rsid w:val="006604CA"/>
    <w:rsid w:val="00670205"/>
    <w:rsid w:val="00674774"/>
    <w:rsid w:val="00683DBB"/>
    <w:rsid w:val="00685324"/>
    <w:rsid w:val="00685792"/>
    <w:rsid w:val="00691C5C"/>
    <w:rsid w:val="00692AF9"/>
    <w:rsid w:val="0069526B"/>
    <w:rsid w:val="006960C7"/>
    <w:rsid w:val="006968E5"/>
    <w:rsid w:val="00697942"/>
    <w:rsid w:val="006A35F0"/>
    <w:rsid w:val="006A41E2"/>
    <w:rsid w:val="006A4B05"/>
    <w:rsid w:val="006A7EFE"/>
    <w:rsid w:val="006B0C85"/>
    <w:rsid w:val="006B24AF"/>
    <w:rsid w:val="006B3536"/>
    <w:rsid w:val="006B3D0C"/>
    <w:rsid w:val="006B5B67"/>
    <w:rsid w:val="006B71D8"/>
    <w:rsid w:val="006C0D1D"/>
    <w:rsid w:val="006C4EFB"/>
    <w:rsid w:val="006C5C3B"/>
    <w:rsid w:val="006D05D8"/>
    <w:rsid w:val="006D7F5F"/>
    <w:rsid w:val="006E268C"/>
    <w:rsid w:val="006E2BC6"/>
    <w:rsid w:val="006F1357"/>
    <w:rsid w:val="006F1BF7"/>
    <w:rsid w:val="006F1E13"/>
    <w:rsid w:val="006F3C12"/>
    <w:rsid w:val="006F5ACE"/>
    <w:rsid w:val="006F64DA"/>
    <w:rsid w:val="007027D4"/>
    <w:rsid w:val="007105D2"/>
    <w:rsid w:val="00713C8D"/>
    <w:rsid w:val="00714C40"/>
    <w:rsid w:val="0071685A"/>
    <w:rsid w:val="00716E07"/>
    <w:rsid w:val="00722756"/>
    <w:rsid w:val="00722DBD"/>
    <w:rsid w:val="0072491C"/>
    <w:rsid w:val="0072518C"/>
    <w:rsid w:val="007261C3"/>
    <w:rsid w:val="00734A20"/>
    <w:rsid w:val="00734BDE"/>
    <w:rsid w:val="00734F22"/>
    <w:rsid w:val="0074216E"/>
    <w:rsid w:val="007434CF"/>
    <w:rsid w:val="00743B6E"/>
    <w:rsid w:val="007478DA"/>
    <w:rsid w:val="00747C96"/>
    <w:rsid w:val="00753C85"/>
    <w:rsid w:val="00754AB4"/>
    <w:rsid w:val="00761619"/>
    <w:rsid w:val="00764088"/>
    <w:rsid w:val="00766A91"/>
    <w:rsid w:val="00766BB4"/>
    <w:rsid w:val="00766E1D"/>
    <w:rsid w:val="00767C9E"/>
    <w:rsid w:val="00772E74"/>
    <w:rsid w:val="007738C1"/>
    <w:rsid w:val="0077621B"/>
    <w:rsid w:val="007806E9"/>
    <w:rsid w:val="00780742"/>
    <w:rsid w:val="0078415E"/>
    <w:rsid w:val="007850C9"/>
    <w:rsid w:val="00790F74"/>
    <w:rsid w:val="007A1EA7"/>
    <w:rsid w:val="007A386C"/>
    <w:rsid w:val="007B0CF8"/>
    <w:rsid w:val="007B1C2A"/>
    <w:rsid w:val="007B5C18"/>
    <w:rsid w:val="007B6CFB"/>
    <w:rsid w:val="007C0F5E"/>
    <w:rsid w:val="007C6174"/>
    <w:rsid w:val="007C7AAC"/>
    <w:rsid w:val="007D0D22"/>
    <w:rsid w:val="007D11F7"/>
    <w:rsid w:val="007D3AE7"/>
    <w:rsid w:val="007D42A1"/>
    <w:rsid w:val="007D76A5"/>
    <w:rsid w:val="007F17A7"/>
    <w:rsid w:val="007F1A68"/>
    <w:rsid w:val="007F25CB"/>
    <w:rsid w:val="007F289C"/>
    <w:rsid w:val="007F3EDC"/>
    <w:rsid w:val="007F6345"/>
    <w:rsid w:val="008008F2"/>
    <w:rsid w:val="00800E63"/>
    <w:rsid w:val="0080216F"/>
    <w:rsid w:val="00804283"/>
    <w:rsid w:val="00807454"/>
    <w:rsid w:val="00811661"/>
    <w:rsid w:val="00813448"/>
    <w:rsid w:val="008168D9"/>
    <w:rsid w:val="00824438"/>
    <w:rsid w:val="00826444"/>
    <w:rsid w:val="00830E61"/>
    <w:rsid w:val="00831111"/>
    <w:rsid w:val="00832C25"/>
    <w:rsid w:val="00836645"/>
    <w:rsid w:val="008366B8"/>
    <w:rsid w:val="00840866"/>
    <w:rsid w:val="00844529"/>
    <w:rsid w:val="008459BB"/>
    <w:rsid w:val="00857043"/>
    <w:rsid w:val="008570D3"/>
    <w:rsid w:val="00857C22"/>
    <w:rsid w:val="00860CF3"/>
    <w:rsid w:val="00861BF7"/>
    <w:rsid w:val="00863EA6"/>
    <w:rsid w:val="008664F8"/>
    <w:rsid w:val="008671BE"/>
    <w:rsid w:val="00870992"/>
    <w:rsid w:val="0087247F"/>
    <w:rsid w:val="0087657F"/>
    <w:rsid w:val="008908D4"/>
    <w:rsid w:val="00892376"/>
    <w:rsid w:val="00893A65"/>
    <w:rsid w:val="0089411A"/>
    <w:rsid w:val="00894A2F"/>
    <w:rsid w:val="00894B1A"/>
    <w:rsid w:val="008A02D6"/>
    <w:rsid w:val="008A082C"/>
    <w:rsid w:val="008A2793"/>
    <w:rsid w:val="008A5DA7"/>
    <w:rsid w:val="008A60B2"/>
    <w:rsid w:val="008B1A84"/>
    <w:rsid w:val="008B6114"/>
    <w:rsid w:val="008C3D9E"/>
    <w:rsid w:val="008C7216"/>
    <w:rsid w:val="008D1226"/>
    <w:rsid w:val="008D327B"/>
    <w:rsid w:val="008D3763"/>
    <w:rsid w:val="008E1CAB"/>
    <w:rsid w:val="008E5798"/>
    <w:rsid w:val="008F0A35"/>
    <w:rsid w:val="008F1C32"/>
    <w:rsid w:val="008F1DB4"/>
    <w:rsid w:val="008F4E6A"/>
    <w:rsid w:val="008F5483"/>
    <w:rsid w:val="008F5F36"/>
    <w:rsid w:val="008F652B"/>
    <w:rsid w:val="00900D70"/>
    <w:rsid w:val="00900E66"/>
    <w:rsid w:val="00901E53"/>
    <w:rsid w:val="009079AD"/>
    <w:rsid w:val="00912E10"/>
    <w:rsid w:val="00914B22"/>
    <w:rsid w:val="009170CA"/>
    <w:rsid w:val="009176E4"/>
    <w:rsid w:val="00921E86"/>
    <w:rsid w:val="00925C70"/>
    <w:rsid w:val="0092600C"/>
    <w:rsid w:val="009261DF"/>
    <w:rsid w:val="009261FE"/>
    <w:rsid w:val="00926CF6"/>
    <w:rsid w:val="00930399"/>
    <w:rsid w:val="00930AD9"/>
    <w:rsid w:val="0093257C"/>
    <w:rsid w:val="009326C6"/>
    <w:rsid w:val="009339B0"/>
    <w:rsid w:val="00933FC4"/>
    <w:rsid w:val="009362A9"/>
    <w:rsid w:val="00940E4A"/>
    <w:rsid w:val="009462A4"/>
    <w:rsid w:val="009466F7"/>
    <w:rsid w:val="00946903"/>
    <w:rsid w:val="00947F13"/>
    <w:rsid w:val="0095219B"/>
    <w:rsid w:val="00957881"/>
    <w:rsid w:val="00957DCA"/>
    <w:rsid w:val="009618C6"/>
    <w:rsid w:val="00963E2C"/>
    <w:rsid w:val="009668A9"/>
    <w:rsid w:val="00967035"/>
    <w:rsid w:val="00967CB2"/>
    <w:rsid w:val="00971D40"/>
    <w:rsid w:val="00975B5E"/>
    <w:rsid w:val="00980EBC"/>
    <w:rsid w:val="0098268A"/>
    <w:rsid w:val="00982DE1"/>
    <w:rsid w:val="00983339"/>
    <w:rsid w:val="00987B61"/>
    <w:rsid w:val="0099231A"/>
    <w:rsid w:val="00997390"/>
    <w:rsid w:val="009A48FE"/>
    <w:rsid w:val="009B18E0"/>
    <w:rsid w:val="009B36A7"/>
    <w:rsid w:val="009B5345"/>
    <w:rsid w:val="009C1184"/>
    <w:rsid w:val="009D1E06"/>
    <w:rsid w:val="009D3A7D"/>
    <w:rsid w:val="009D7228"/>
    <w:rsid w:val="009E0599"/>
    <w:rsid w:val="009E4A0C"/>
    <w:rsid w:val="009E5C5D"/>
    <w:rsid w:val="009E75AB"/>
    <w:rsid w:val="009E7D43"/>
    <w:rsid w:val="009F1880"/>
    <w:rsid w:val="009F61F6"/>
    <w:rsid w:val="009F690C"/>
    <w:rsid w:val="009F716C"/>
    <w:rsid w:val="00A002B3"/>
    <w:rsid w:val="00A02CE9"/>
    <w:rsid w:val="00A0708A"/>
    <w:rsid w:val="00A139CF"/>
    <w:rsid w:val="00A13EFD"/>
    <w:rsid w:val="00A2118B"/>
    <w:rsid w:val="00A21690"/>
    <w:rsid w:val="00A24854"/>
    <w:rsid w:val="00A251EC"/>
    <w:rsid w:val="00A37983"/>
    <w:rsid w:val="00A41C4C"/>
    <w:rsid w:val="00A44041"/>
    <w:rsid w:val="00A4477E"/>
    <w:rsid w:val="00A45DF0"/>
    <w:rsid w:val="00A53DE8"/>
    <w:rsid w:val="00A554B6"/>
    <w:rsid w:val="00A61670"/>
    <w:rsid w:val="00A66EB8"/>
    <w:rsid w:val="00A7322A"/>
    <w:rsid w:val="00A73330"/>
    <w:rsid w:val="00A80912"/>
    <w:rsid w:val="00A827C2"/>
    <w:rsid w:val="00A8385D"/>
    <w:rsid w:val="00A847E6"/>
    <w:rsid w:val="00A87C9F"/>
    <w:rsid w:val="00A95791"/>
    <w:rsid w:val="00A97818"/>
    <w:rsid w:val="00AA09EA"/>
    <w:rsid w:val="00AA4D08"/>
    <w:rsid w:val="00AA72E3"/>
    <w:rsid w:val="00AB0131"/>
    <w:rsid w:val="00AB0A1F"/>
    <w:rsid w:val="00AB3E17"/>
    <w:rsid w:val="00AB4FA4"/>
    <w:rsid w:val="00AC5462"/>
    <w:rsid w:val="00AD33CE"/>
    <w:rsid w:val="00AD4539"/>
    <w:rsid w:val="00AD502C"/>
    <w:rsid w:val="00AD7CB5"/>
    <w:rsid w:val="00AE2964"/>
    <w:rsid w:val="00AE5793"/>
    <w:rsid w:val="00AE5AA2"/>
    <w:rsid w:val="00AE65E2"/>
    <w:rsid w:val="00AE76F4"/>
    <w:rsid w:val="00AF2D41"/>
    <w:rsid w:val="00AF4ECA"/>
    <w:rsid w:val="00B00D91"/>
    <w:rsid w:val="00B03177"/>
    <w:rsid w:val="00B03A44"/>
    <w:rsid w:val="00B043A6"/>
    <w:rsid w:val="00B049E6"/>
    <w:rsid w:val="00B06517"/>
    <w:rsid w:val="00B07595"/>
    <w:rsid w:val="00B103F8"/>
    <w:rsid w:val="00B22BCD"/>
    <w:rsid w:val="00B2365F"/>
    <w:rsid w:val="00B26458"/>
    <w:rsid w:val="00B329A8"/>
    <w:rsid w:val="00B32C89"/>
    <w:rsid w:val="00B3367E"/>
    <w:rsid w:val="00B34721"/>
    <w:rsid w:val="00B40A51"/>
    <w:rsid w:val="00B42B23"/>
    <w:rsid w:val="00B455FE"/>
    <w:rsid w:val="00B515C5"/>
    <w:rsid w:val="00B524AA"/>
    <w:rsid w:val="00B54804"/>
    <w:rsid w:val="00B5488D"/>
    <w:rsid w:val="00B54958"/>
    <w:rsid w:val="00B62194"/>
    <w:rsid w:val="00B629CC"/>
    <w:rsid w:val="00B62FA7"/>
    <w:rsid w:val="00B63E06"/>
    <w:rsid w:val="00B64AC8"/>
    <w:rsid w:val="00B6561F"/>
    <w:rsid w:val="00B67418"/>
    <w:rsid w:val="00B67D57"/>
    <w:rsid w:val="00B71583"/>
    <w:rsid w:val="00B72B08"/>
    <w:rsid w:val="00B75806"/>
    <w:rsid w:val="00B76584"/>
    <w:rsid w:val="00B800FE"/>
    <w:rsid w:val="00B80600"/>
    <w:rsid w:val="00B8067B"/>
    <w:rsid w:val="00B83642"/>
    <w:rsid w:val="00B8569E"/>
    <w:rsid w:val="00B86258"/>
    <w:rsid w:val="00B97728"/>
    <w:rsid w:val="00BA580F"/>
    <w:rsid w:val="00BA6E76"/>
    <w:rsid w:val="00BB125B"/>
    <w:rsid w:val="00BB3C0E"/>
    <w:rsid w:val="00BC0B53"/>
    <w:rsid w:val="00BC1BEF"/>
    <w:rsid w:val="00BC294D"/>
    <w:rsid w:val="00BC3884"/>
    <w:rsid w:val="00BC54D3"/>
    <w:rsid w:val="00BD00C0"/>
    <w:rsid w:val="00BD1D3F"/>
    <w:rsid w:val="00BD38B4"/>
    <w:rsid w:val="00BD5A8A"/>
    <w:rsid w:val="00BE0854"/>
    <w:rsid w:val="00BE5512"/>
    <w:rsid w:val="00BE65A0"/>
    <w:rsid w:val="00BE662A"/>
    <w:rsid w:val="00BF0850"/>
    <w:rsid w:val="00BF1F9E"/>
    <w:rsid w:val="00C12AA5"/>
    <w:rsid w:val="00C150E0"/>
    <w:rsid w:val="00C20A50"/>
    <w:rsid w:val="00C21271"/>
    <w:rsid w:val="00C21D44"/>
    <w:rsid w:val="00C222B3"/>
    <w:rsid w:val="00C267A3"/>
    <w:rsid w:val="00C268D8"/>
    <w:rsid w:val="00C273E4"/>
    <w:rsid w:val="00C338CD"/>
    <w:rsid w:val="00C40454"/>
    <w:rsid w:val="00C40797"/>
    <w:rsid w:val="00C43B9B"/>
    <w:rsid w:val="00C45A19"/>
    <w:rsid w:val="00C45E1A"/>
    <w:rsid w:val="00C51C64"/>
    <w:rsid w:val="00C51DB8"/>
    <w:rsid w:val="00C54C5C"/>
    <w:rsid w:val="00C56E81"/>
    <w:rsid w:val="00C62604"/>
    <w:rsid w:val="00C629AE"/>
    <w:rsid w:val="00C65618"/>
    <w:rsid w:val="00C66DD5"/>
    <w:rsid w:val="00C71B80"/>
    <w:rsid w:val="00C71FC6"/>
    <w:rsid w:val="00C7226E"/>
    <w:rsid w:val="00C72821"/>
    <w:rsid w:val="00C73F20"/>
    <w:rsid w:val="00C74EBB"/>
    <w:rsid w:val="00C77660"/>
    <w:rsid w:val="00C8307A"/>
    <w:rsid w:val="00C83AA3"/>
    <w:rsid w:val="00C85B28"/>
    <w:rsid w:val="00C85BC5"/>
    <w:rsid w:val="00C86961"/>
    <w:rsid w:val="00C942F8"/>
    <w:rsid w:val="00CA1861"/>
    <w:rsid w:val="00CA4A64"/>
    <w:rsid w:val="00CA78DA"/>
    <w:rsid w:val="00CB0B3D"/>
    <w:rsid w:val="00CB0BD9"/>
    <w:rsid w:val="00CB52F7"/>
    <w:rsid w:val="00CB565B"/>
    <w:rsid w:val="00CB6E99"/>
    <w:rsid w:val="00CC0C3A"/>
    <w:rsid w:val="00CC162E"/>
    <w:rsid w:val="00CC31F2"/>
    <w:rsid w:val="00CC3B2E"/>
    <w:rsid w:val="00CD26D4"/>
    <w:rsid w:val="00CD2BC1"/>
    <w:rsid w:val="00CD3D87"/>
    <w:rsid w:val="00CE6AF8"/>
    <w:rsid w:val="00CF524F"/>
    <w:rsid w:val="00CF6AFB"/>
    <w:rsid w:val="00CF73D2"/>
    <w:rsid w:val="00CF742E"/>
    <w:rsid w:val="00D05DEF"/>
    <w:rsid w:val="00D0691F"/>
    <w:rsid w:val="00D069FF"/>
    <w:rsid w:val="00D07095"/>
    <w:rsid w:val="00D12B9E"/>
    <w:rsid w:val="00D138D3"/>
    <w:rsid w:val="00D21661"/>
    <w:rsid w:val="00D23A6D"/>
    <w:rsid w:val="00D24F61"/>
    <w:rsid w:val="00D2663D"/>
    <w:rsid w:val="00D26D63"/>
    <w:rsid w:val="00D27059"/>
    <w:rsid w:val="00D27C44"/>
    <w:rsid w:val="00D428FD"/>
    <w:rsid w:val="00D43DC8"/>
    <w:rsid w:val="00D50164"/>
    <w:rsid w:val="00D61B53"/>
    <w:rsid w:val="00D61B85"/>
    <w:rsid w:val="00D61C87"/>
    <w:rsid w:val="00D6590A"/>
    <w:rsid w:val="00D67DEC"/>
    <w:rsid w:val="00D70BC5"/>
    <w:rsid w:val="00D74E7A"/>
    <w:rsid w:val="00D763B7"/>
    <w:rsid w:val="00D76B35"/>
    <w:rsid w:val="00D821C7"/>
    <w:rsid w:val="00D8312A"/>
    <w:rsid w:val="00D839EF"/>
    <w:rsid w:val="00D87CB8"/>
    <w:rsid w:val="00D90245"/>
    <w:rsid w:val="00D92717"/>
    <w:rsid w:val="00D95A83"/>
    <w:rsid w:val="00D96527"/>
    <w:rsid w:val="00DA44BA"/>
    <w:rsid w:val="00DA5AB9"/>
    <w:rsid w:val="00DA660B"/>
    <w:rsid w:val="00DA70A3"/>
    <w:rsid w:val="00DA7319"/>
    <w:rsid w:val="00DA7455"/>
    <w:rsid w:val="00DB1D8E"/>
    <w:rsid w:val="00DB557B"/>
    <w:rsid w:val="00DC3C8A"/>
    <w:rsid w:val="00DC6A55"/>
    <w:rsid w:val="00DC728D"/>
    <w:rsid w:val="00DD025D"/>
    <w:rsid w:val="00DD1128"/>
    <w:rsid w:val="00DD30F8"/>
    <w:rsid w:val="00DD3108"/>
    <w:rsid w:val="00DD31A8"/>
    <w:rsid w:val="00DE4A49"/>
    <w:rsid w:val="00DE6181"/>
    <w:rsid w:val="00DF176B"/>
    <w:rsid w:val="00DF1E54"/>
    <w:rsid w:val="00DF469A"/>
    <w:rsid w:val="00DF49E1"/>
    <w:rsid w:val="00DF66DE"/>
    <w:rsid w:val="00DF68E6"/>
    <w:rsid w:val="00DF77FD"/>
    <w:rsid w:val="00E028A8"/>
    <w:rsid w:val="00E10E56"/>
    <w:rsid w:val="00E20371"/>
    <w:rsid w:val="00E23C83"/>
    <w:rsid w:val="00E304F0"/>
    <w:rsid w:val="00E32323"/>
    <w:rsid w:val="00E3390F"/>
    <w:rsid w:val="00E34B23"/>
    <w:rsid w:val="00E4031C"/>
    <w:rsid w:val="00E41DC4"/>
    <w:rsid w:val="00E42546"/>
    <w:rsid w:val="00E427B5"/>
    <w:rsid w:val="00E42D11"/>
    <w:rsid w:val="00E43934"/>
    <w:rsid w:val="00E45665"/>
    <w:rsid w:val="00E457CC"/>
    <w:rsid w:val="00E55D50"/>
    <w:rsid w:val="00E611BF"/>
    <w:rsid w:val="00E65701"/>
    <w:rsid w:val="00E7528B"/>
    <w:rsid w:val="00E76930"/>
    <w:rsid w:val="00E80570"/>
    <w:rsid w:val="00E81168"/>
    <w:rsid w:val="00E9081D"/>
    <w:rsid w:val="00E9229D"/>
    <w:rsid w:val="00E9573D"/>
    <w:rsid w:val="00E9783C"/>
    <w:rsid w:val="00EA1A2F"/>
    <w:rsid w:val="00EA22A4"/>
    <w:rsid w:val="00EA2959"/>
    <w:rsid w:val="00EA2A8E"/>
    <w:rsid w:val="00EA7986"/>
    <w:rsid w:val="00EB15FB"/>
    <w:rsid w:val="00EB48FD"/>
    <w:rsid w:val="00EB4DBF"/>
    <w:rsid w:val="00EC1A7E"/>
    <w:rsid w:val="00EC3F69"/>
    <w:rsid w:val="00EC7936"/>
    <w:rsid w:val="00EC7CDD"/>
    <w:rsid w:val="00EC7F3A"/>
    <w:rsid w:val="00ED111D"/>
    <w:rsid w:val="00ED2514"/>
    <w:rsid w:val="00ED3594"/>
    <w:rsid w:val="00ED3E23"/>
    <w:rsid w:val="00ED58F1"/>
    <w:rsid w:val="00ED6215"/>
    <w:rsid w:val="00ED6995"/>
    <w:rsid w:val="00ED6B28"/>
    <w:rsid w:val="00EE2CA4"/>
    <w:rsid w:val="00EE5052"/>
    <w:rsid w:val="00EE6CE8"/>
    <w:rsid w:val="00EF1DF1"/>
    <w:rsid w:val="00EF24F7"/>
    <w:rsid w:val="00EF3955"/>
    <w:rsid w:val="00EF5842"/>
    <w:rsid w:val="00F01869"/>
    <w:rsid w:val="00F042A6"/>
    <w:rsid w:val="00F052A0"/>
    <w:rsid w:val="00F06AA3"/>
    <w:rsid w:val="00F07BDE"/>
    <w:rsid w:val="00F20874"/>
    <w:rsid w:val="00F2361F"/>
    <w:rsid w:val="00F248DA"/>
    <w:rsid w:val="00F268E8"/>
    <w:rsid w:val="00F2692D"/>
    <w:rsid w:val="00F272A3"/>
    <w:rsid w:val="00F30684"/>
    <w:rsid w:val="00F32466"/>
    <w:rsid w:val="00F32C33"/>
    <w:rsid w:val="00F3358C"/>
    <w:rsid w:val="00F34E83"/>
    <w:rsid w:val="00F42C44"/>
    <w:rsid w:val="00F46311"/>
    <w:rsid w:val="00F46BD5"/>
    <w:rsid w:val="00F47EA7"/>
    <w:rsid w:val="00F51232"/>
    <w:rsid w:val="00F56532"/>
    <w:rsid w:val="00F56982"/>
    <w:rsid w:val="00F611C1"/>
    <w:rsid w:val="00F71F42"/>
    <w:rsid w:val="00F72229"/>
    <w:rsid w:val="00F73530"/>
    <w:rsid w:val="00F749D7"/>
    <w:rsid w:val="00F7790E"/>
    <w:rsid w:val="00F815C4"/>
    <w:rsid w:val="00F84738"/>
    <w:rsid w:val="00F87A70"/>
    <w:rsid w:val="00F96B79"/>
    <w:rsid w:val="00F971BB"/>
    <w:rsid w:val="00FA14B4"/>
    <w:rsid w:val="00FA20C5"/>
    <w:rsid w:val="00FA3952"/>
    <w:rsid w:val="00FA5A5C"/>
    <w:rsid w:val="00FB6F86"/>
    <w:rsid w:val="00FB7FAB"/>
    <w:rsid w:val="00FC1EE3"/>
    <w:rsid w:val="00FC395E"/>
    <w:rsid w:val="00FC3F33"/>
    <w:rsid w:val="00FC7A5E"/>
    <w:rsid w:val="00FD3D92"/>
    <w:rsid w:val="00FD4B90"/>
    <w:rsid w:val="00FD70E4"/>
    <w:rsid w:val="00FE0F19"/>
    <w:rsid w:val="00FF0E7F"/>
    <w:rsid w:val="00FF3A12"/>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3AA14A59"/>
  <w15:docId w15:val="{C813A8A0-E19E-488F-A944-549927D6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F71"/>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657F"/>
    <w:rPr>
      <w:sz w:val="16"/>
      <w:szCs w:val="16"/>
    </w:rPr>
  </w:style>
  <w:style w:type="paragraph" w:styleId="CommentText">
    <w:name w:val="annotation text"/>
    <w:basedOn w:val="Normal"/>
    <w:link w:val="CommentTextChar"/>
    <w:uiPriority w:val="99"/>
    <w:unhideWhenUsed/>
    <w:qFormat/>
    <w:rsid w:val="0087657F"/>
    <w:rPr>
      <w:sz w:val="20"/>
      <w:szCs w:val="20"/>
    </w:rPr>
  </w:style>
  <w:style w:type="character" w:customStyle="1" w:styleId="CommentTextChar">
    <w:name w:val="Comment Text Char"/>
    <w:basedOn w:val="DefaultParagraphFont"/>
    <w:link w:val="CommentText"/>
    <w:uiPriority w:val="99"/>
    <w:qFormat/>
    <w:rsid w:val="0087657F"/>
    <w:rPr>
      <w:rFonts w:ascii="Times New Roman" w:hAnsi="Times New Roman" w:cs="Times New Roman"/>
      <w:sz w:val="20"/>
      <w:szCs w:val="20"/>
      <w:lang w:val="lv-LV"/>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2,Strip"/>
    <w:basedOn w:val="Normal"/>
    <w:link w:val="ListParagraphChar"/>
    <w:uiPriority w:val="34"/>
    <w:qFormat/>
    <w:rsid w:val="0087657F"/>
    <w:pPr>
      <w:ind w:left="720"/>
      <w:contextualSpacing/>
    </w:pPr>
  </w:style>
  <w:style w:type="table" w:styleId="TableGrid">
    <w:name w:val="Table Grid"/>
    <w:basedOn w:val="TableNormal"/>
    <w:uiPriority w:val="59"/>
    <w:rsid w:val="00876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7657F"/>
    <w:pPr>
      <w:spacing w:after="200"/>
    </w:pPr>
    <w:rPr>
      <w:i/>
      <w:iCs/>
      <w:color w:val="1F497D" w:themeColor="text2"/>
      <w:sz w:val="18"/>
      <w:szCs w:val="18"/>
    </w:rPr>
  </w:style>
  <w:style w:type="character" w:customStyle="1" w:styleId="Mention1">
    <w:name w:val="Mention1"/>
    <w:basedOn w:val="DefaultParagraphFont"/>
    <w:uiPriority w:val="99"/>
    <w:unhideWhenUsed/>
    <w:rsid w:val="0087657F"/>
    <w:rPr>
      <w:color w:val="2B579A"/>
      <w:shd w:val="clear" w:color="auto" w:fill="E6E6E6"/>
    </w:rPr>
  </w:style>
  <w:style w:type="table" w:styleId="TableGridLight">
    <w:name w:val="Grid Table Light"/>
    <w:basedOn w:val="TableNormal"/>
    <w:uiPriority w:val="40"/>
    <w:rsid w:val="008765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765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57F"/>
    <w:rPr>
      <w:rFonts w:ascii="Segoe UI" w:hAnsi="Segoe UI" w:cs="Segoe UI"/>
      <w:sz w:val="18"/>
      <w:szCs w:val="18"/>
      <w:lang w:val="lv-LV"/>
    </w:rPr>
  </w:style>
  <w:style w:type="paragraph" w:styleId="TableofFigures">
    <w:name w:val="table of figures"/>
    <w:basedOn w:val="Normal"/>
    <w:next w:val="Normal"/>
    <w:uiPriority w:val="99"/>
    <w:semiHidden/>
    <w:unhideWhenUsed/>
    <w:rsid w:val="00244A46"/>
  </w:style>
  <w:style w:type="paragraph" w:styleId="ListBullet">
    <w:name w:val="List Bullet"/>
    <w:basedOn w:val="Normal"/>
    <w:uiPriority w:val="99"/>
    <w:semiHidden/>
    <w:unhideWhenUsed/>
    <w:rsid w:val="00244A46"/>
    <w:pPr>
      <w:numPr>
        <w:numId w:val="1"/>
      </w:numPr>
      <w:contextualSpacing/>
    </w:pPr>
  </w:style>
  <w:style w:type="paragraph" w:styleId="ListBullet2">
    <w:name w:val="List Bullet 2"/>
    <w:basedOn w:val="Normal"/>
    <w:uiPriority w:val="99"/>
    <w:semiHidden/>
    <w:unhideWhenUsed/>
    <w:rsid w:val="00244A46"/>
    <w:pPr>
      <w:numPr>
        <w:numId w:val="2"/>
      </w:numPr>
      <w:tabs>
        <w:tab w:val="clear" w:pos="643"/>
        <w:tab w:val="num" w:pos="360"/>
      </w:tabs>
      <w:ind w:left="0" w:firstLine="0"/>
      <w:contextualSpacing/>
    </w:pPr>
  </w:style>
  <w:style w:type="paragraph" w:styleId="ListBullet3">
    <w:name w:val="List Bullet 3"/>
    <w:basedOn w:val="Normal"/>
    <w:uiPriority w:val="99"/>
    <w:semiHidden/>
    <w:unhideWhenUsed/>
    <w:rsid w:val="00244A46"/>
    <w:pPr>
      <w:numPr>
        <w:numId w:val="3"/>
      </w:numPr>
      <w:contextualSpacing/>
    </w:pPr>
  </w:style>
  <w:style w:type="paragraph" w:styleId="ListBullet4">
    <w:name w:val="List Bullet 4"/>
    <w:basedOn w:val="Normal"/>
    <w:uiPriority w:val="99"/>
    <w:semiHidden/>
    <w:unhideWhenUsed/>
    <w:rsid w:val="00244A46"/>
    <w:pPr>
      <w:numPr>
        <w:numId w:val="4"/>
      </w:numPr>
      <w:contextualSpacing/>
    </w:pPr>
  </w:style>
  <w:style w:type="paragraph" w:styleId="ListNumber">
    <w:name w:val="List Number"/>
    <w:basedOn w:val="Normal"/>
    <w:uiPriority w:val="99"/>
    <w:semiHidden/>
    <w:unhideWhenUsed/>
    <w:rsid w:val="00244A46"/>
    <w:pPr>
      <w:numPr>
        <w:numId w:val="5"/>
      </w:numPr>
      <w:contextualSpacing/>
    </w:pPr>
  </w:style>
  <w:style w:type="paragraph" w:styleId="ListNumber2">
    <w:name w:val="List Number 2"/>
    <w:basedOn w:val="Normal"/>
    <w:uiPriority w:val="99"/>
    <w:semiHidden/>
    <w:unhideWhenUsed/>
    <w:rsid w:val="00244A46"/>
    <w:pPr>
      <w:numPr>
        <w:numId w:val="6"/>
      </w:numPr>
      <w:contextualSpacing/>
    </w:pPr>
  </w:style>
  <w:style w:type="paragraph" w:styleId="ListNumber3">
    <w:name w:val="List Number 3"/>
    <w:basedOn w:val="Normal"/>
    <w:uiPriority w:val="99"/>
    <w:semiHidden/>
    <w:unhideWhenUsed/>
    <w:rsid w:val="00244A46"/>
    <w:pPr>
      <w:numPr>
        <w:numId w:val="7"/>
      </w:numPr>
      <w:contextualSpacing/>
    </w:pPr>
  </w:style>
  <w:style w:type="paragraph" w:styleId="ListNumber4">
    <w:name w:val="List Number 4"/>
    <w:basedOn w:val="Normal"/>
    <w:uiPriority w:val="99"/>
    <w:semiHidden/>
    <w:unhideWhenUsed/>
    <w:rsid w:val="00244A46"/>
    <w:pPr>
      <w:numPr>
        <w:numId w:val="8"/>
      </w:numPr>
      <w:contextualSpacing/>
    </w:pPr>
  </w:style>
  <w:style w:type="paragraph" w:styleId="Revision">
    <w:name w:val="Revision"/>
    <w:hidden/>
    <w:uiPriority w:val="99"/>
    <w:semiHidden/>
    <w:rsid w:val="00C8307A"/>
    <w:rPr>
      <w:sz w:val="24"/>
    </w:rPr>
  </w:style>
  <w:style w:type="paragraph" w:styleId="CommentSubject">
    <w:name w:val="annotation subject"/>
    <w:basedOn w:val="CommentText"/>
    <w:next w:val="CommentText"/>
    <w:link w:val="CommentSubjectChar"/>
    <w:uiPriority w:val="99"/>
    <w:semiHidden/>
    <w:unhideWhenUsed/>
    <w:rsid w:val="00AD502C"/>
    <w:rPr>
      <w:b/>
      <w:bCs/>
    </w:rPr>
  </w:style>
  <w:style w:type="character" w:customStyle="1" w:styleId="CommentSubjectChar">
    <w:name w:val="Comment Subject Char"/>
    <w:basedOn w:val="CommentTextChar"/>
    <w:link w:val="CommentSubject"/>
    <w:uiPriority w:val="99"/>
    <w:semiHidden/>
    <w:rsid w:val="00AD502C"/>
    <w:rPr>
      <w:rFonts w:ascii="Times New Roman" w:hAnsi="Times New Roman" w:cs="Times New Roman"/>
      <w:b/>
      <w:bCs/>
      <w:sz w:val="20"/>
      <w:szCs w:val="20"/>
      <w:lang w:val="lv-LV"/>
    </w:rPr>
  </w:style>
  <w:style w:type="character" w:styleId="Hyperlink">
    <w:name w:val="Hyperlink"/>
    <w:basedOn w:val="DefaultParagraphFont"/>
    <w:uiPriority w:val="99"/>
    <w:unhideWhenUsed/>
    <w:rsid w:val="00AD502C"/>
    <w:rPr>
      <w:color w:val="0000FF" w:themeColor="hyperlink"/>
      <w:u w:val="single"/>
    </w:rPr>
  </w:style>
  <w:style w:type="table" w:styleId="GridTable1Light">
    <w:name w:val="Grid Table 1 Light"/>
    <w:basedOn w:val="TableNormal"/>
    <w:uiPriority w:val="46"/>
    <w:rsid w:val="00AD50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AD502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AD50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141E24"/>
    <w:rPr>
      <w:color w:val="800080" w:themeColor="followedHyperlink"/>
      <w:u w:val="single"/>
    </w:rPr>
  </w:style>
  <w:style w:type="paragraph" w:styleId="Header">
    <w:name w:val="header"/>
    <w:basedOn w:val="Normal"/>
    <w:link w:val="HeaderChar"/>
    <w:uiPriority w:val="99"/>
    <w:unhideWhenUsed/>
    <w:rsid w:val="003954DE"/>
    <w:pPr>
      <w:tabs>
        <w:tab w:val="center" w:pos="4535"/>
        <w:tab w:val="right" w:pos="9071"/>
      </w:tabs>
    </w:pPr>
  </w:style>
  <w:style w:type="character" w:customStyle="1" w:styleId="HeaderChar">
    <w:name w:val="Header Char"/>
    <w:basedOn w:val="DefaultParagraphFont"/>
    <w:link w:val="Header"/>
    <w:uiPriority w:val="99"/>
    <w:rsid w:val="003954DE"/>
    <w:rPr>
      <w:rFonts w:ascii="Times New Roman" w:hAnsi="Times New Roman" w:cs="Times New Roman"/>
      <w:sz w:val="24"/>
      <w:lang w:val="lv-LV"/>
    </w:rPr>
  </w:style>
  <w:style w:type="paragraph" w:styleId="Footer">
    <w:name w:val="footer"/>
    <w:basedOn w:val="Normal"/>
    <w:link w:val="FooterChar"/>
    <w:uiPriority w:val="99"/>
    <w:unhideWhenUsed/>
    <w:rsid w:val="003954DE"/>
    <w:pPr>
      <w:tabs>
        <w:tab w:val="center" w:pos="4535"/>
        <w:tab w:val="right" w:pos="9071"/>
        <w:tab w:val="right" w:pos="9921"/>
      </w:tabs>
      <w:spacing w:before="360"/>
      <w:ind w:left="-850" w:right="-850"/>
      <w:jc w:val="left"/>
    </w:pPr>
  </w:style>
  <w:style w:type="character" w:customStyle="1" w:styleId="FooterChar">
    <w:name w:val="Footer Char"/>
    <w:basedOn w:val="DefaultParagraphFont"/>
    <w:link w:val="Footer"/>
    <w:uiPriority w:val="99"/>
    <w:rsid w:val="003954DE"/>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Cs w:val="28"/>
    </w:rPr>
  </w:style>
  <w:style w:type="character" w:customStyle="1" w:styleId="Heading2Char">
    <w:name w:val="Heading 2 Char"/>
    <w:basedOn w:val="DefaultParagraphFont"/>
    <w:link w:val="Heading2"/>
    <w:uiPriority w:val="9"/>
    <w:semiHidden/>
    <w:rPr>
      <w:rFonts w:eastAsiaTheme="majorEastAsia"/>
      <w:b/>
      <w:bCs/>
      <w:szCs w:val="26"/>
    </w:rPr>
  </w:style>
  <w:style w:type="character" w:customStyle="1" w:styleId="Heading3Char">
    <w:name w:val="Heading 3 Char"/>
    <w:basedOn w:val="DefaultParagraphFont"/>
    <w:link w:val="Heading3"/>
    <w:uiPriority w:val="9"/>
    <w:semiHidden/>
    <w:rPr>
      <w:rFonts w:eastAsiaTheme="majorEastAsia"/>
      <w:bCs/>
      <w:i/>
    </w:rPr>
  </w:style>
  <w:style w:type="character" w:customStyle="1" w:styleId="Heading4Char">
    <w:name w:val="Heading 4 Char"/>
    <w:basedOn w:val="DefaultParagraphFont"/>
    <w:link w:val="Heading4"/>
    <w:uiPriority w:val="9"/>
    <w:semiHidden/>
    <w:rPr>
      <w:rFonts w:eastAsiaTheme="majorEastAsia"/>
      <w:bCs/>
      <w:iCs/>
    </w:rPr>
  </w:style>
  <w:style w:type="character" w:customStyle="1" w:styleId="Heading5Char">
    <w:name w:val="Heading 5 Char"/>
    <w:basedOn w:val="DefaultParagraphFont"/>
    <w:link w:val="Heading5"/>
    <w:uiPriority w:val="9"/>
    <w:semiHidden/>
    <w:rPr>
      <w:rFonts w:eastAsiaTheme="majorEastAsia"/>
    </w:rPr>
  </w:style>
  <w:style w:type="character" w:customStyle="1" w:styleId="Heading6Char">
    <w:name w:val="Heading 6 Char"/>
    <w:basedOn w:val="DefaultParagraphFont"/>
    <w:link w:val="Heading6"/>
    <w:uiPriority w:val="9"/>
    <w:semiHidden/>
    <w:rPr>
      <w:rFonts w:eastAsiaTheme="majorEastAsia"/>
      <w:iCs/>
    </w:rPr>
  </w:style>
  <w:style w:type="character" w:customStyle="1" w:styleId="Heading7Char">
    <w:name w:val="Heading 7 Char"/>
    <w:basedOn w:val="DefaultParagraphFont"/>
    <w:link w:val="Heading7"/>
    <w:uiPriority w:val="9"/>
    <w:semiHidden/>
    <w:rPr>
      <w:rFonts w:eastAsiaTheme="majorEastAsia"/>
      <w:iCs/>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3954DE"/>
    <w:pPr>
      <w:tabs>
        <w:tab w:val="center" w:pos="7285"/>
        <w:tab w:val="right" w:pos="14003"/>
      </w:tabs>
    </w:pPr>
  </w:style>
  <w:style w:type="paragraph" w:customStyle="1" w:styleId="FooterLandscape">
    <w:name w:val="FooterLandscape"/>
    <w:basedOn w:val="Normal"/>
    <w:rsid w:val="003954DE"/>
    <w:pPr>
      <w:tabs>
        <w:tab w:val="center" w:pos="7285"/>
        <w:tab w:val="center" w:pos="10913"/>
        <w:tab w:val="right" w:pos="15137"/>
      </w:tabs>
      <w:spacing w:before="36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954DE"/>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al"/>
    <w:rsid w:val="003954DE"/>
    <w:pPr>
      <w:jc w:val="right"/>
    </w:pPr>
    <w:rPr>
      <w:sz w:val="28"/>
    </w:rPr>
  </w:style>
  <w:style w:type="paragraph" w:customStyle="1" w:styleId="FooterSensitivity">
    <w:name w:val="Footer Sensitivity"/>
    <w:basedOn w:val="Normal"/>
    <w:rsid w:val="003954DE"/>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B76584"/>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after="600"/>
      <w:jc w:val="center"/>
    </w:pPr>
    <w:rPr>
      <w:b/>
      <w:caps/>
    </w:rPr>
  </w:style>
  <w:style w:type="paragraph" w:customStyle="1" w:styleId="Nomdelinstitution">
    <w:name w:val="Nom de l'institution"/>
    <w:basedOn w:val="Normal"/>
    <w:next w:val="Emission"/>
    <w:pPr>
      <w:jc w:val="left"/>
    </w:pPr>
    <w:rPr>
      <w:rFonts w:ascii="Arial" w:hAnsi="Arial" w:cs="Arial"/>
    </w:rPr>
  </w:style>
  <w:style w:type="paragraph" w:customStyle="1" w:styleId="Emission">
    <w:name w:val="Emission"/>
    <w:basedOn w:val="Normal"/>
    <w:next w:val="Rfrenceinstitutionnelle"/>
    <w:pPr>
      <w:ind w:left="5103"/>
      <w:jc w:val="left"/>
    </w:pPr>
  </w:style>
  <w:style w:type="paragraph" w:customStyle="1" w:styleId="Rfrenceinstitutionnelle">
    <w:name w:val="Référence institutionnelle"/>
    <w:basedOn w:val="Normal"/>
    <w:next w:val="Confidentialit"/>
    <w:pPr>
      <w:spacing w:after="240"/>
      <w:ind w:left="5103"/>
      <w:jc w:val="left"/>
    </w:pPr>
  </w:style>
  <w:style w:type="paragraph" w:customStyle="1" w:styleId="Pagedecouverture">
    <w:name w:val="Page de couverture"/>
    <w:basedOn w:val="Normal"/>
    <w:next w:val="Normal"/>
  </w:style>
  <w:style w:type="paragraph" w:customStyle="1" w:styleId="Declassification">
    <w:name w:val="Declassification"/>
    <w:basedOn w:val="Normal"/>
    <w:next w:val="Normal"/>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line="276" w:lineRule="auto"/>
      <w:ind w:left="5103"/>
      <w:jc w:val="left"/>
    </w:pPr>
    <w:rPr>
      <w:sz w:val="28"/>
    </w:rPr>
  </w:style>
  <w:style w:type="paragraph" w:customStyle="1" w:styleId="DateMarking">
    <w:name w:val="DateMarking"/>
    <w:basedOn w:val="Normal"/>
    <w:pPr>
      <w:spacing w:line="276" w:lineRule="auto"/>
      <w:ind w:left="5103"/>
      <w:jc w:val="left"/>
    </w:pPr>
    <w:rPr>
      <w:i/>
      <w:sz w:val="28"/>
    </w:rPr>
  </w:style>
  <w:style w:type="paragraph" w:customStyle="1" w:styleId="ReleasableTo">
    <w:name w:val="ReleasableTo"/>
    <w:basedOn w:val="Normal"/>
    <w:pPr>
      <w:spacing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after="240"/>
      <w:jc w:val="left"/>
    </w:pPr>
  </w:style>
  <w:style w:type="paragraph" w:customStyle="1" w:styleId="Datedadoption">
    <w:name w:val="Date d'adoption"/>
    <w:basedOn w:val="Normal"/>
    <w:next w:val="IntrtEEE"/>
    <w:pPr>
      <w:spacing w:before="36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jc w:val="left"/>
    </w:pPr>
    <w:rPr>
      <w:i/>
    </w:rPr>
  </w:style>
  <w:style w:type="paragraph" w:customStyle="1" w:styleId="Rfrenceinterinstitutionnelle">
    <w:name w:val="Référence interinstitutionnelle"/>
    <w:basedOn w:val="Normal"/>
    <w:next w:val="Statut"/>
    <w:pPr>
      <w:ind w:left="5103"/>
      <w:jc w:val="left"/>
    </w:pPr>
  </w:style>
  <w:style w:type="paragraph" w:customStyle="1" w:styleId="Rfrenceinterne">
    <w:name w:val="Référence interne"/>
    <w:basedOn w:val="Normal"/>
    <w:next w:val="Rfrenceinterinstitutionnelle"/>
    <w:pPr>
      <w:ind w:left="5103"/>
      <w:jc w:val="left"/>
    </w:pPr>
  </w:style>
  <w:style w:type="paragraph" w:customStyle="1" w:styleId="Statut">
    <w:name w:val="Statut"/>
    <w:basedOn w:val="Normal"/>
    <w:next w:val="Typedudocument"/>
    <w:pPr>
      <w:spacing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after="600"/>
      <w:jc w:val="center"/>
    </w:pPr>
    <w:rPr>
      <w:b/>
    </w:rPr>
  </w:style>
  <w:style w:type="paragraph" w:customStyle="1" w:styleId="Languesfaisantfoi">
    <w:name w:val="Langues faisant foi"/>
    <w:basedOn w:val="Normal"/>
    <w:next w:val="Normal"/>
    <w:pPr>
      <w:spacing w:before="360"/>
      <w:jc w:val="center"/>
    </w:pPr>
  </w:style>
  <w:style w:type="paragraph" w:customStyle="1" w:styleId="Rfrencecroise">
    <w:name w:val="Référence croisée"/>
    <w:basedOn w:val="Normal"/>
    <w:pPr>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after="240"/>
      <w:jc w:val="center"/>
    </w:pPr>
    <w:rPr>
      <w:b/>
    </w:rPr>
  </w:style>
  <w:style w:type="paragraph" w:customStyle="1" w:styleId="Objetacteprincipal">
    <w:name w:val="Objet acte principal"/>
    <w:basedOn w:val="Normal"/>
    <w:next w:val="Titrearticle"/>
    <w:pPr>
      <w:spacing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jc w:val="center"/>
    </w:pPr>
  </w:style>
  <w:style w:type="character" w:styleId="UnresolvedMention">
    <w:name w:val="Unresolved Mention"/>
    <w:basedOn w:val="DefaultParagraphFont"/>
    <w:uiPriority w:val="99"/>
    <w:semiHidden/>
    <w:unhideWhenUsed/>
    <w:rsid w:val="00446E37"/>
    <w:rPr>
      <w:color w:val="605E5C"/>
      <w:shd w:val="clear" w:color="auto" w:fill="E1DFDD"/>
    </w:rPr>
  </w:style>
  <w:style w:type="paragraph" w:styleId="NormalWeb">
    <w:name w:val="Normal (Web)"/>
    <w:basedOn w:val="Normal"/>
    <w:uiPriority w:val="99"/>
    <w:semiHidden/>
    <w:unhideWhenUsed/>
    <w:rsid w:val="00DA7319"/>
    <w:pPr>
      <w:spacing w:before="100" w:beforeAutospacing="1" w:after="100" w:afterAutospacing="1"/>
      <w:jc w:val="left"/>
    </w:pPr>
    <w:rPr>
      <w:rFonts w:eastAsia="Times New Roman"/>
      <w:szCs w:val="24"/>
      <w:lang w:eastAsia="lv-LV"/>
    </w:rPr>
  </w:style>
  <w:style w:type="paragraph" w:styleId="NoSpacing">
    <w:name w:val="No Spacing"/>
    <w:uiPriority w:val="1"/>
    <w:qFormat/>
    <w:rsid w:val="00453788"/>
    <w:pPr>
      <w:widowControl w:val="0"/>
    </w:pPr>
    <w:rPr>
      <w:rFonts w:eastAsia="Calibri"/>
      <w:sz w:val="28"/>
    </w:rPr>
  </w:style>
  <w:style w:type="character" w:customStyle="1" w:styleId="rynqvb">
    <w:name w:val="rynqvb"/>
    <w:basedOn w:val="DefaultParagraphFont"/>
    <w:rsid w:val="00604E84"/>
  </w:style>
  <w:style w:type="character" w:customStyle="1" w:styleId="hwtze">
    <w:name w:val="hwtze"/>
    <w:basedOn w:val="DefaultParagraphFont"/>
    <w:rsid w:val="00604E84"/>
  </w:style>
  <w:style w:type="paragraph" w:customStyle="1" w:styleId="oj-normal">
    <w:name w:val="oj-normal"/>
    <w:basedOn w:val="Normal"/>
    <w:rsid w:val="00BC0B53"/>
    <w:pPr>
      <w:spacing w:before="100" w:beforeAutospacing="1" w:after="100" w:afterAutospacing="1"/>
      <w:jc w:val="left"/>
    </w:pPr>
    <w:rPr>
      <w:rFonts w:eastAsia="Times New Roman"/>
      <w:szCs w:val="24"/>
      <w:lang w:eastAsia="lv-LV"/>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2 Char"/>
    <w:link w:val="ListParagraph"/>
    <w:uiPriority w:val="34"/>
    <w:qFormat/>
    <w:locked/>
    <w:rsid w:val="00B40A51"/>
    <w:rPr>
      <w:rFonts w:ascii="Times New Roman" w:hAnsi="Times New Roman" w:cs="Times New Roman"/>
      <w:sz w:val="24"/>
      <w:lang w:val="lv-LV"/>
    </w:rPr>
  </w:style>
  <w:style w:type="paragraph" w:customStyle="1" w:styleId="tv213">
    <w:name w:val="tv213"/>
    <w:basedOn w:val="Normal"/>
    <w:rsid w:val="00B8067B"/>
    <w:pPr>
      <w:spacing w:before="100" w:beforeAutospacing="1" w:after="100" w:afterAutospacing="1"/>
      <w:jc w:val="left"/>
    </w:pPr>
    <w:rPr>
      <w:rFonts w:eastAsia="Times New Roman"/>
      <w:sz w:val="24"/>
      <w:szCs w:val="24"/>
      <w:lang w:val="lv-LV" w:eastAsia="lv-LV"/>
    </w:rPr>
  </w:style>
  <w:style w:type="character" w:styleId="Strong">
    <w:name w:val="Strong"/>
    <w:basedOn w:val="DefaultParagraphFont"/>
    <w:uiPriority w:val="22"/>
    <w:qFormat/>
    <w:rsid w:val="00E028A8"/>
    <w:rPr>
      <w:b/>
      <w:bCs/>
    </w:rPr>
  </w:style>
  <w:style w:type="paragraph" w:customStyle="1" w:styleId="Default">
    <w:name w:val="Default"/>
    <w:rsid w:val="008E5798"/>
    <w:pPr>
      <w:autoSpaceDE w:val="0"/>
      <w:autoSpaceDN w:val="0"/>
      <w:adjustRightInd w:val="0"/>
      <w:jc w:val="left"/>
    </w:pPr>
    <w:rPr>
      <w:color w:val="000000"/>
      <w:sz w:val="24"/>
      <w:szCs w:val="24"/>
      <w:lang w:val="lv-LV"/>
    </w:rPr>
  </w:style>
  <w:style w:type="paragraph" w:customStyle="1" w:styleId="VPBullet">
    <w:name w:val="VP Bullet"/>
    <w:basedOn w:val="Normal"/>
    <w:qFormat/>
    <w:rsid w:val="00EE6CE8"/>
    <w:pPr>
      <w:numPr>
        <w:numId w:val="28"/>
      </w:numPr>
      <w:tabs>
        <w:tab w:val="left" w:pos="0"/>
      </w:tabs>
      <w:spacing w:before="80" w:after="80"/>
    </w:pPr>
    <w:rPr>
      <w:rFonts w:eastAsiaTheme="minorEastAsia"/>
      <w:bCs/>
      <w:sz w:val="24"/>
      <w:lang w:val="zh-CN"/>
    </w:rPr>
  </w:style>
  <w:style w:type="paragraph" w:customStyle="1" w:styleId="VPBulletTable">
    <w:name w:val="VP Bullet Table"/>
    <w:basedOn w:val="VPBullet"/>
    <w:qFormat/>
    <w:rsid w:val="00EE6CE8"/>
    <w:pPr>
      <w:tabs>
        <w:tab w:val="clear" w:pos="0"/>
        <w:tab w:val="left" w:pos="266"/>
      </w:tabs>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8914">
      <w:bodyDiv w:val="1"/>
      <w:marLeft w:val="0"/>
      <w:marRight w:val="0"/>
      <w:marTop w:val="0"/>
      <w:marBottom w:val="0"/>
      <w:divBdr>
        <w:top w:val="none" w:sz="0" w:space="0" w:color="auto"/>
        <w:left w:val="none" w:sz="0" w:space="0" w:color="auto"/>
        <w:bottom w:val="none" w:sz="0" w:space="0" w:color="auto"/>
        <w:right w:val="none" w:sz="0" w:space="0" w:color="auto"/>
      </w:divBdr>
    </w:div>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579943717">
      <w:bodyDiv w:val="1"/>
      <w:marLeft w:val="0"/>
      <w:marRight w:val="0"/>
      <w:marTop w:val="0"/>
      <w:marBottom w:val="0"/>
      <w:divBdr>
        <w:top w:val="none" w:sz="0" w:space="0" w:color="auto"/>
        <w:left w:val="none" w:sz="0" w:space="0" w:color="auto"/>
        <w:bottom w:val="none" w:sz="0" w:space="0" w:color="auto"/>
        <w:right w:val="none" w:sz="0" w:space="0" w:color="auto"/>
      </w:divBdr>
    </w:div>
    <w:div w:id="661007972">
      <w:bodyDiv w:val="1"/>
      <w:marLeft w:val="0"/>
      <w:marRight w:val="0"/>
      <w:marTop w:val="0"/>
      <w:marBottom w:val="0"/>
      <w:divBdr>
        <w:top w:val="none" w:sz="0" w:space="0" w:color="auto"/>
        <w:left w:val="none" w:sz="0" w:space="0" w:color="auto"/>
        <w:bottom w:val="none" w:sz="0" w:space="0" w:color="auto"/>
        <w:right w:val="none" w:sz="0" w:space="0" w:color="auto"/>
      </w:divBdr>
    </w:div>
    <w:div w:id="684526190">
      <w:bodyDiv w:val="1"/>
      <w:marLeft w:val="0"/>
      <w:marRight w:val="0"/>
      <w:marTop w:val="0"/>
      <w:marBottom w:val="0"/>
      <w:divBdr>
        <w:top w:val="none" w:sz="0" w:space="0" w:color="auto"/>
        <w:left w:val="none" w:sz="0" w:space="0" w:color="auto"/>
        <w:bottom w:val="none" w:sz="0" w:space="0" w:color="auto"/>
        <w:right w:val="none" w:sz="0" w:space="0" w:color="auto"/>
      </w:divBdr>
    </w:div>
    <w:div w:id="739450932">
      <w:bodyDiv w:val="1"/>
      <w:marLeft w:val="0"/>
      <w:marRight w:val="0"/>
      <w:marTop w:val="0"/>
      <w:marBottom w:val="0"/>
      <w:divBdr>
        <w:top w:val="none" w:sz="0" w:space="0" w:color="auto"/>
        <w:left w:val="none" w:sz="0" w:space="0" w:color="auto"/>
        <w:bottom w:val="none" w:sz="0" w:space="0" w:color="auto"/>
        <w:right w:val="none" w:sz="0" w:space="0" w:color="auto"/>
      </w:divBdr>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919943964">
      <w:bodyDiv w:val="1"/>
      <w:marLeft w:val="0"/>
      <w:marRight w:val="0"/>
      <w:marTop w:val="0"/>
      <w:marBottom w:val="0"/>
      <w:divBdr>
        <w:top w:val="none" w:sz="0" w:space="0" w:color="auto"/>
        <w:left w:val="none" w:sz="0" w:space="0" w:color="auto"/>
        <w:bottom w:val="none" w:sz="0" w:space="0" w:color="auto"/>
        <w:right w:val="none" w:sz="0" w:space="0" w:color="auto"/>
      </w:divBdr>
    </w:div>
    <w:div w:id="1115754737">
      <w:bodyDiv w:val="1"/>
      <w:marLeft w:val="0"/>
      <w:marRight w:val="0"/>
      <w:marTop w:val="0"/>
      <w:marBottom w:val="0"/>
      <w:divBdr>
        <w:top w:val="none" w:sz="0" w:space="0" w:color="auto"/>
        <w:left w:val="none" w:sz="0" w:space="0" w:color="auto"/>
        <w:bottom w:val="none" w:sz="0" w:space="0" w:color="auto"/>
        <w:right w:val="none" w:sz="0" w:space="0" w:color="auto"/>
      </w:divBdr>
    </w:div>
    <w:div w:id="1247419415">
      <w:bodyDiv w:val="1"/>
      <w:marLeft w:val="0"/>
      <w:marRight w:val="0"/>
      <w:marTop w:val="0"/>
      <w:marBottom w:val="0"/>
      <w:divBdr>
        <w:top w:val="none" w:sz="0" w:space="0" w:color="auto"/>
        <w:left w:val="none" w:sz="0" w:space="0" w:color="auto"/>
        <w:bottom w:val="none" w:sz="0" w:space="0" w:color="auto"/>
        <w:right w:val="none" w:sz="0" w:space="0" w:color="auto"/>
      </w:divBdr>
    </w:div>
    <w:div w:id="1277181047">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1353260981">
      <w:bodyDiv w:val="1"/>
      <w:marLeft w:val="0"/>
      <w:marRight w:val="0"/>
      <w:marTop w:val="0"/>
      <w:marBottom w:val="0"/>
      <w:divBdr>
        <w:top w:val="none" w:sz="0" w:space="0" w:color="auto"/>
        <w:left w:val="none" w:sz="0" w:space="0" w:color="auto"/>
        <w:bottom w:val="none" w:sz="0" w:space="0" w:color="auto"/>
        <w:right w:val="none" w:sz="0" w:space="0" w:color="auto"/>
      </w:divBdr>
    </w:div>
    <w:div w:id="1760368726">
      <w:bodyDiv w:val="1"/>
      <w:marLeft w:val="0"/>
      <w:marRight w:val="0"/>
      <w:marTop w:val="0"/>
      <w:marBottom w:val="0"/>
      <w:divBdr>
        <w:top w:val="none" w:sz="0" w:space="0" w:color="auto"/>
        <w:left w:val="none" w:sz="0" w:space="0" w:color="auto"/>
        <w:bottom w:val="none" w:sz="0" w:space="0" w:color="auto"/>
        <w:right w:val="none" w:sz="0" w:space="0" w:color="auto"/>
      </w:divBdr>
    </w:div>
    <w:div w:id="2016111490">
      <w:bodyDiv w:val="1"/>
      <w:marLeft w:val="0"/>
      <w:marRight w:val="0"/>
      <w:marTop w:val="0"/>
      <w:marBottom w:val="0"/>
      <w:divBdr>
        <w:top w:val="none" w:sz="0" w:space="0" w:color="auto"/>
        <w:left w:val="none" w:sz="0" w:space="0" w:color="auto"/>
        <w:bottom w:val="none" w:sz="0" w:space="0" w:color="auto"/>
        <w:right w:val="none" w:sz="0" w:space="0" w:color="auto"/>
      </w:divBdr>
    </w:div>
    <w:div w:id="2017461473">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 w:id="2109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vides-un-informacijas-pieklustamib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em.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vadlinijas-horizontala-principa-vienlidziba-ieklausana-nediskriminacija-un-pamattiesibu-ieverosana-istenosanai-un-uzraudzibai-idf-irpvp-pmif-2021-2027" TargetMode="External"/><Relationship Id="rId2" Type="http://schemas.openxmlformats.org/officeDocument/2006/relationships/hyperlink" Target="https://eur-lex.europa.eu/legal-content/LV/AUTO/?uri=OJ:L:2019:135:TOC" TargetMode="External"/><Relationship Id="rId1" Type="http://schemas.openxmlformats.org/officeDocument/2006/relationships/hyperlink" Target="https://eur-lex.europa.eu/legal-content/LV/AUTO/?uri=OJ:L:2019:135: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56D46-FC06-4E2C-B7DB-6E99CB91049A}">
  <ds:schemaRefs>
    <ds:schemaRef ds:uri="ac131f03-315b-4cd8-8e3a-6189969fd4f0"/>
    <ds:schemaRef ds:uri="http://schemas.microsoft.com/office/2006/documentManagement/types"/>
    <ds:schemaRef ds:uri="http://purl.org/dc/dcmitype/"/>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5843c966-cb45-4885-93fc-2ce78a94204b"/>
  </ds:schemaRefs>
</ds:datastoreItem>
</file>

<file path=customXml/itemProps2.xml><?xml version="1.0" encoding="utf-8"?>
<ds:datastoreItem xmlns:ds="http://schemas.openxmlformats.org/officeDocument/2006/customXml" ds:itemID="{24F46FEB-191F-4390-B79A-1CCCD66FB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39082-2ABB-48E2-BFC0-19CA2A1BDB60}">
  <ds:schemaRefs>
    <ds:schemaRef ds:uri="http://schemas.openxmlformats.org/officeDocument/2006/bibliography"/>
  </ds:schemaRefs>
</ds:datastoreItem>
</file>

<file path=customXml/itemProps4.xml><?xml version="1.0" encoding="utf-8"?>
<ds:datastoreItem xmlns:ds="http://schemas.openxmlformats.org/officeDocument/2006/customXml" ds:itemID="{5F20130C-A2DA-48C9-9464-810060B69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Template>
  <TotalTime>4</TotalTime>
  <Pages>19</Pages>
  <Words>40380</Words>
  <Characters>23017</Characters>
  <Application>Microsoft Office Word</Application>
  <DocSecurity>0</DocSecurity>
  <Lines>191</Lines>
  <Paragraphs>126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Manager/>
  <Company/>
  <LinksUpToDate>false</LinksUpToDate>
  <CharactersWithSpaces>63271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Jankovskis</dc:creator>
  <cp:keywords/>
  <dc:description/>
  <cp:lastModifiedBy>Elīna Laura Maļugina</cp:lastModifiedBy>
  <cp:revision>3</cp:revision>
  <cp:lastPrinted>2024-10-21T13:37:00Z</cp:lastPrinted>
  <dcterms:created xsi:type="dcterms:W3CDTF">2026-02-12T10:37:00Z</dcterms:created>
  <dcterms:modified xsi:type="dcterms:W3CDTF">2026-02-12T10:46:00Z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