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4474B" w14:textId="1FA4FCCA" w:rsidR="00E66912" w:rsidRPr="00B60ED2" w:rsidRDefault="003940F3" w:rsidP="002C3FE8">
      <w:pPr>
        <w:pStyle w:val="Heading1"/>
      </w:pPr>
      <w:bookmarkStart w:id="0" w:name="_GoBack"/>
      <w:bookmarkEnd w:id="0"/>
      <w:r>
        <w:t>1</w:t>
      </w:r>
      <w:sdt>
        <w:sdtPr>
          <w:id w:val="925998357"/>
          <w:docPartObj>
            <w:docPartGallery w:val="Cover Pages"/>
            <w:docPartUnique/>
          </w:docPartObj>
        </w:sdtPr>
        <w:sdtEndPr/>
        <w:sdtContent>
          <w:r w:rsidR="00E66912" w:rsidRPr="00B60ED2">
            <w:rPr>
              <w:noProof/>
              <w:lang w:eastAsia="lv-LV"/>
            </w:rPr>
            <mc:AlternateContent>
              <mc:Choice Requires="wps">
                <w:drawing>
                  <wp:anchor distT="0" distB="0" distL="114300" distR="114300" simplePos="0" relativeHeight="251681792" behindDoc="0" locked="0" layoutInCell="1" allowOverlap="1" wp14:anchorId="2943133C" wp14:editId="0D45B905">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370"/>
                                  <w:gridCol w:w="4806"/>
                                </w:tblGrid>
                                <w:tr w:rsidR="00796BAF" w14:paraId="11D401FE" w14:textId="77777777" w:rsidTr="00A87463">
                                  <w:trPr>
                                    <w:jc w:val="center"/>
                                  </w:trPr>
                                  <w:tc>
                                    <w:tcPr>
                                      <w:tcW w:w="2850" w:type="pct"/>
                                      <w:vAlign w:val="center"/>
                                    </w:tcPr>
                                    <w:p w14:paraId="29873B9F" w14:textId="77777777" w:rsidR="00796BAF" w:rsidRDefault="00796BAF">
                                      <w:pPr>
                                        <w:jc w:val="right"/>
                                      </w:pPr>
                                      <w:r>
                                        <w:rPr>
                                          <w:noProof/>
                                          <w:lang w:eastAsia="lv-LV"/>
                                        </w:rPr>
                                        <w:drawing>
                                          <wp:inline distT="0" distB="0" distL="0" distR="0" wp14:anchorId="5C3E1EA6" wp14:editId="562AAF0E">
                                            <wp:extent cx="2673734" cy="2499360"/>
                                            <wp:effectExtent l="0" t="0" r="0" b="0"/>
                                            <wp:docPr id="19" name="Picture 2" descr="Iekšlietu ministrija">
                                              <a:extLst xmlns:a="http://schemas.openxmlformats.org/drawingml/2006/main">
                                                <a:ext uri="{FF2B5EF4-FFF2-40B4-BE49-F238E27FC236}">
                                                  <a16:creationId xmlns:a16="http://schemas.microsoft.com/office/drawing/2014/main" id="{CC7C68E2-3C71-474B-81AD-026C3AFD3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ekšlietu ministrija">
                                                      <a:extLst>
                                                        <a:ext uri="{FF2B5EF4-FFF2-40B4-BE49-F238E27FC236}">
                                                          <a16:creationId xmlns:a16="http://schemas.microsoft.com/office/drawing/2014/main" id="{CC7C68E2-3C71-474B-81AD-026C3AFD361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851" cy="2519100"/>
                                                    </a:xfrm>
                                                    <a:prstGeom prst="rect">
                                                      <a:avLst/>
                                                    </a:prstGeom>
                                                    <a:noFill/>
                                                  </pic:spPr>
                                                </pic:pic>
                                              </a:graphicData>
                                            </a:graphic>
                                          </wp:inline>
                                        </w:drawing>
                                      </w:r>
                                    </w:p>
                                    <w:p w14:paraId="44070A51" w14:textId="77777777" w:rsidR="00796BAF" w:rsidRDefault="00796BAF">
                                      <w:pPr>
                                        <w:jc w:val="right"/>
                                      </w:pPr>
                                    </w:p>
                                    <w:p w14:paraId="5D23B12C" w14:textId="77777777" w:rsidR="00796BAF" w:rsidRDefault="00796BAF">
                                      <w:pPr>
                                        <w:jc w:val="right"/>
                                      </w:pPr>
                                    </w:p>
                                    <w:p w14:paraId="3D50C677" w14:textId="77777777" w:rsidR="00796BAF" w:rsidRDefault="00796BAF">
                                      <w:pPr>
                                        <w:jc w:val="right"/>
                                      </w:pPr>
                                    </w:p>
                                    <w:p w14:paraId="5EDAA922" w14:textId="77777777" w:rsidR="00796BAF" w:rsidRDefault="00796BAF">
                                      <w:pPr>
                                        <w:jc w:val="right"/>
                                      </w:pPr>
                                    </w:p>
                                    <w:sdt>
                                      <w:sdtPr>
                                        <w:rPr>
                                          <w:rFonts w:ascii="Times New Roman" w:eastAsia="Calibri" w:hAnsi="Times New Roman" w:cs="Times New Roman"/>
                                          <w:b/>
                                          <w:bCs/>
                                          <w:smallCaps/>
                                          <w:color w:val="384B7C"/>
                                          <w:kern w:val="24"/>
                                          <w:sz w:val="48"/>
                                          <w:szCs w:val="48"/>
                                          <w:lang w:eastAsia="lv-LV"/>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5975865" w14:textId="3C28210C" w:rsidR="00796BAF" w:rsidRPr="00724D9C" w:rsidRDefault="00796BAF">
                                          <w:pPr>
                                            <w:pStyle w:val="NoSpacing"/>
                                            <w:spacing w:line="312" w:lineRule="auto"/>
                                            <w:jc w:val="right"/>
                                            <w:rPr>
                                              <w:rFonts w:ascii="Times New Roman" w:hAnsi="Times New Roman" w:cs="Times New Roman"/>
                                              <w:caps/>
                                              <w:color w:val="191919" w:themeColor="text1" w:themeTint="E6"/>
                                              <w:sz w:val="72"/>
                                              <w:szCs w:val="72"/>
                                            </w:rPr>
                                          </w:pPr>
                                          <w:r w:rsidRPr="00724D9C">
                                            <w:rPr>
                                              <w:rFonts w:ascii="Times New Roman" w:eastAsia="Calibri" w:hAnsi="Times New Roman" w:cs="Times New Roman"/>
                                              <w:b/>
                                              <w:bCs/>
                                              <w:smallCaps/>
                                              <w:color w:val="384B7C"/>
                                              <w:kern w:val="24"/>
                                              <w:sz w:val="48"/>
                                              <w:szCs w:val="48"/>
                                              <w:lang w:eastAsia="lv-LV"/>
                                            </w:rPr>
                                            <w:t>IEKŠLIETU NOZARES STRATĒĢIJA 2023.-2027. GADAM</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1A26C268" w14:textId="77777777" w:rsidR="00796BAF" w:rsidRDefault="00796BAF" w:rsidP="00E66912">
                                          <w:pPr>
                                            <w:jc w:val="right"/>
                                            <w:rPr>
                                              <w:sz w:val="24"/>
                                              <w:szCs w:val="24"/>
                                            </w:rPr>
                                          </w:pPr>
                                          <w:r>
                                            <w:rPr>
                                              <w:color w:val="000000" w:themeColor="text1"/>
                                              <w:sz w:val="24"/>
                                              <w:szCs w:val="24"/>
                                            </w:rPr>
                                            <w:t xml:space="preserve">     </w:t>
                                          </w:r>
                                        </w:p>
                                      </w:sdtContent>
                                    </w:sdt>
                                  </w:tc>
                                  <w:tc>
                                    <w:tcPr>
                                      <w:tcW w:w="2150" w:type="pct"/>
                                      <w:vAlign w:val="center"/>
                                    </w:tcPr>
                                    <w:p w14:paraId="5BFCCD99" w14:textId="77777777" w:rsidR="00796BAF" w:rsidRPr="00724D9C" w:rsidRDefault="00796BAF">
                                      <w:pPr>
                                        <w:pStyle w:val="NoSpacing"/>
                                        <w:rPr>
                                          <w:rFonts w:ascii="Times New Roman" w:hAnsi="Times New Roman" w:cs="Times New Roman"/>
                                          <w:caps/>
                                          <w:color w:val="ED7D31" w:themeColor="accent2"/>
                                          <w:sz w:val="26"/>
                                          <w:szCs w:val="26"/>
                                        </w:rPr>
                                      </w:pPr>
                                    </w:p>
                                    <w:p w14:paraId="0C683ACE" w14:textId="77777777" w:rsidR="00796BAF" w:rsidRPr="00724D9C" w:rsidRDefault="00796BAF">
                                      <w:pPr>
                                        <w:pStyle w:val="NoSpacing"/>
                                        <w:rPr>
                                          <w:rFonts w:ascii="Times New Roman" w:hAnsi="Times New Roman" w:cs="Times New Roman"/>
                                          <w:caps/>
                                          <w:color w:val="ED7D31" w:themeColor="accent2"/>
                                          <w:sz w:val="26"/>
                                          <w:szCs w:val="26"/>
                                        </w:rPr>
                                      </w:pPr>
                                    </w:p>
                                    <w:p w14:paraId="15A4AA9C" w14:textId="77777777" w:rsidR="00796BAF" w:rsidRPr="00724D9C" w:rsidRDefault="00796BAF">
                                      <w:pPr>
                                        <w:pStyle w:val="NoSpacing"/>
                                        <w:rPr>
                                          <w:rFonts w:ascii="Times New Roman" w:hAnsi="Times New Roman" w:cs="Times New Roman"/>
                                          <w:caps/>
                                          <w:color w:val="ED7D31" w:themeColor="accent2"/>
                                          <w:sz w:val="26"/>
                                          <w:szCs w:val="26"/>
                                        </w:rPr>
                                      </w:pPr>
                                    </w:p>
                                    <w:p w14:paraId="6931D7DE" w14:textId="77777777" w:rsidR="00796BAF" w:rsidRPr="00724D9C" w:rsidRDefault="00796BAF">
                                      <w:pPr>
                                        <w:pStyle w:val="NoSpacing"/>
                                        <w:rPr>
                                          <w:rFonts w:ascii="Times New Roman" w:hAnsi="Times New Roman" w:cs="Times New Roman"/>
                                          <w:caps/>
                                          <w:color w:val="ED7D31" w:themeColor="accent2"/>
                                          <w:sz w:val="26"/>
                                          <w:szCs w:val="26"/>
                                        </w:rPr>
                                      </w:pPr>
                                    </w:p>
                                    <w:p w14:paraId="38335E81" w14:textId="77777777" w:rsidR="00796BAF" w:rsidRPr="00724D9C" w:rsidRDefault="00796BAF">
                                      <w:pPr>
                                        <w:pStyle w:val="NoSpacing"/>
                                        <w:rPr>
                                          <w:rFonts w:ascii="Times New Roman" w:hAnsi="Times New Roman" w:cs="Times New Roman"/>
                                          <w:caps/>
                                          <w:color w:val="ED7D31" w:themeColor="accent2"/>
                                          <w:sz w:val="26"/>
                                          <w:szCs w:val="26"/>
                                        </w:rPr>
                                      </w:pPr>
                                    </w:p>
                                    <w:p w14:paraId="25BD4232" w14:textId="77777777" w:rsidR="00796BAF" w:rsidRPr="00724D9C" w:rsidRDefault="00796BAF">
                                      <w:pPr>
                                        <w:pStyle w:val="NoSpacing"/>
                                        <w:rPr>
                                          <w:rFonts w:ascii="Times New Roman" w:hAnsi="Times New Roman" w:cs="Times New Roman"/>
                                          <w:caps/>
                                          <w:color w:val="ED7D31" w:themeColor="accent2"/>
                                          <w:sz w:val="26"/>
                                          <w:szCs w:val="26"/>
                                        </w:rPr>
                                      </w:pPr>
                                    </w:p>
                                    <w:p w14:paraId="68A14F01" w14:textId="77777777" w:rsidR="00796BAF" w:rsidRPr="00724D9C" w:rsidRDefault="00796BAF">
                                      <w:pPr>
                                        <w:pStyle w:val="NoSpacing"/>
                                        <w:rPr>
                                          <w:rFonts w:ascii="Times New Roman" w:hAnsi="Times New Roman" w:cs="Times New Roman"/>
                                          <w:caps/>
                                          <w:color w:val="ED7D31" w:themeColor="accent2"/>
                                          <w:sz w:val="26"/>
                                          <w:szCs w:val="26"/>
                                        </w:rPr>
                                      </w:pPr>
                                    </w:p>
                                    <w:p w14:paraId="0F60C736" w14:textId="77777777" w:rsidR="00796BAF" w:rsidRPr="00724D9C" w:rsidRDefault="00796BAF">
                                      <w:pPr>
                                        <w:pStyle w:val="NoSpacing"/>
                                        <w:rPr>
                                          <w:rFonts w:ascii="Times New Roman" w:hAnsi="Times New Roman" w:cs="Times New Roman"/>
                                          <w:caps/>
                                          <w:color w:val="ED7D31" w:themeColor="accent2"/>
                                          <w:sz w:val="26"/>
                                          <w:szCs w:val="26"/>
                                        </w:rPr>
                                      </w:pPr>
                                    </w:p>
                                    <w:p w14:paraId="0EC72109" w14:textId="77777777" w:rsidR="00796BAF" w:rsidRPr="00724D9C" w:rsidRDefault="00796BAF">
                                      <w:pPr>
                                        <w:pStyle w:val="NoSpacing"/>
                                        <w:rPr>
                                          <w:rFonts w:ascii="Times New Roman" w:hAnsi="Times New Roman" w:cs="Times New Roman"/>
                                          <w:caps/>
                                          <w:color w:val="ED7D31" w:themeColor="accent2"/>
                                          <w:sz w:val="26"/>
                                          <w:szCs w:val="26"/>
                                        </w:rPr>
                                      </w:pPr>
                                    </w:p>
                                    <w:p w14:paraId="084B1583" w14:textId="77777777" w:rsidR="00796BAF" w:rsidRPr="00724D9C" w:rsidRDefault="00796BAF">
                                      <w:pPr>
                                        <w:pStyle w:val="NoSpacing"/>
                                        <w:rPr>
                                          <w:rFonts w:ascii="Times New Roman" w:hAnsi="Times New Roman" w:cs="Times New Roman"/>
                                          <w:caps/>
                                          <w:color w:val="ED7D31" w:themeColor="accent2"/>
                                          <w:sz w:val="26"/>
                                          <w:szCs w:val="26"/>
                                        </w:rPr>
                                      </w:pPr>
                                    </w:p>
                                    <w:p w14:paraId="438501C1" w14:textId="77777777" w:rsidR="00796BAF" w:rsidRPr="00724D9C" w:rsidRDefault="00796BAF">
                                      <w:pPr>
                                        <w:pStyle w:val="NoSpacing"/>
                                        <w:rPr>
                                          <w:rFonts w:ascii="Times New Roman" w:hAnsi="Times New Roman" w:cs="Times New Roman"/>
                                          <w:caps/>
                                          <w:color w:val="ED7D31" w:themeColor="accent2"/>
                                          <w:sz w:val="26"/>
                                          <w:szCs w:val="26"/>
                                        </w:rPr>
                                      </w:pPr>
                                    </w:p>
                                    <w:p w14:paraId="60A127AC" w14:textId="77777777" w:rsidR="00796BAF" w:rsidRPr="00724D9C" w:rsidRDefault="00796BAF">
                                      <w:pPr>
                                        <w:pStyle w:val="NoSpacing"/>
                                        <w:rPr>
                                          <w:rFonts w:ascii="Times New Roman" w:hAnsi="Times New Roman" w:cs="Times New Roman"/>
                                          <w:caps/>
                                          <w:color w:val="ED7D31" w:themeColor="accent2"/>
                                          <w:sz w:val="26"/>
                                          <w:szCs w:val="26"/>
                                        </w:rPr>
                                      </w:pPr>
                                    </w:p>
                                    <w:p w14:paraId="217BD42B" w14:textId="77777777" w:rsidR="00796BAF" w:rsidRPr="00724D9C" w:rsidRDefault="00796BAF">
                                      <w:pPr>
                                        <w:pStyle w:val="NoSpacing"/>
                                        <w:rPr>
                                          <w:rFonts w:ascii="Times New Roman" w:hAnsi="Times New Roman" w:cs="Times New Roman"/>
                                          <w:caps/>
                                          <w:color w:val="ED7D31" w:themeColor="accent2"/>
                                          <w:sz w:val="26"/>
                                          <w:szCs w:val="26"/>
                                        </w:rPr>
                                      </w:pPr>
                                    </w:p>
                                    <w:p w14:paraId="26873191" w14:textId="77777777" w:rsidR="00796BAF" w:rsidRPr="00724D9C" w:rsidRDefault="00796BAF">
                                      <w:pPr>
                                        <w:pStyle w:val="NoSpacing"/>
                                        <w:rPr>
                                          <w:rFonts w:ascii="Times New Roman" w:hAnsi="Times New Roman" w:cs="Times New Roman"/>
                                          <w:caps/>
                                          <w:color w:val="ED7D31" w:themeColor="accent2"/>
                                          <w:sz w:val="26"/>
                                          <w:szCs w:val="26"/>
                                        </w:rPr>
                                      </w:pPr>
                                    </w:p>
                                    <w:p w14:paraId="2B854724" w14:textId="77777777" w:rsidR="00796BAF" w:rsidRPr="00724D9C" w:rsidRDefault="00796BAF">
                                      <w:pPr>
                                        <w:pStyle w:val="NoSpacing"/>
                                        <w:rPr>
                                          <w:rFonts w:ascii="Times New Roman" w:hAnsi="Times New Roman" w:cs="Times New Roman"/>
                                          <w:caps/>
                                          <w:color w:val="ED7D31" w:themeColor="accent2"/>
                                          <w:sz w:val="26"/>
                                          <w:szCs w:val="26"/>
                                        </w:rPr>
                                      </w:pPr>
                                    </w:p>
                                    <w:p w14:paraId="33070426" w14:textId="77777777" w:rsidR="00796BAF" w:rsidRPr="00724D9C" w:rsidRDefault="00796BAF">
                                      <w:pPr>
                                        <w:pStyle w:val="NoSpacing"/>
                                        <w:rPr>
                                          <w:rFonts w:ascii="Times New Roman" w:hAnsi="Times New Roman" w:cs="Times New Roman"/>
                                          <w:caps/>
                                          <w:color w:val="ED7D31" w:themeColor="accent2"/>
                                          <w:sz w:val="26"/>
                                          <w:szCs w:val="26"/>
                                        </w:rPr>
                                      </w:pPr>
                                    </w:p>
                                    <w:p w14:paraId="2F36F801" w14:textId="77777777" w:rsidR="00796BAF" w:rsidRPr="00724D9C" w:rsidRDefault="00796BAF">
                                      <w:pPr>
                                        <w:pStyle w:val="NoSpacing"/>
                                        <w:rPr>
                                          <w:rFonts w:ascii="Times New Roman" w:hAnsi="Times New Roman" w:cs="Times New Roman"/>
                                          <w:caps/>
                                          <w:color w:val="ED7D31" w:themeColor="accent2"/>
                                          <w:sz w:val="26"/>
                                          <w:szCs w:val="26"/>
                                        </w:rPr>
                                      </w:pPr>
                                    </w:p>
                                    <w:p w14:paraId="6AD4FBCD" w14:textId="77777777" w:rsidR="00796BAF" w:rsidRPr="00724D9C" w:rsidRDefault="00796BAF">
                                      <w:pPr>
                                        <w:pStyle w:val="NoSpacing"/>
                                        <w:rPr>
                                          <w:rFonts w:ascii="Times New Roman" w:hAnsi="Times New Roman" w:cs="Times New Roman"/>
                                          <w:caps/>
                                          <w:color w:val="ED7D31" w:themeColor="accent2"/>
                                          <w:sz w:val="26"/>
                                          <w:szCs w:val="26"/>
                                        </w:rPr>
                                      </w:pPr>
                                    </w:p>
                                    <w:p w14:paraId="07CCE595" w14:textId="77777777" w:rsidR="00796BAF" w:rsidRPr="00724D9C" w:rsidRDefault="00796BAF">
                                      <w:pPr>
                                        <w:pStyle w:val="NoSpacing"/>
                                        <w:rPr>
                                          <w:rFonts w:ascii="Times New Roman" w:hAnsi="Times New Roman" w:cs="Times New Roman"/>
                                          <w:caps/>
                                          <w:color w:val="ED7D31" w:themeColor="accent2"/>
                                          <w:sz w:val="26"/>
                                          <w:szCs w:val="26"/>
                                        </w:rPr>
                                      </w:pPr>
                                    </w:p>
                                    <w:p w14:paraId="5A902D37" w14:textId="77777777" w:rsidR="00796BAF" w:rsidRPr="00724D9C" w:rsidRDefault="00796BAF">
                                      <w:pPr>
                                        <w:pStyle w:val="NoSpacing"/>
                                        <w:rPr>
                                          <w:rFonts w:ascii="Times New Roman" w:hAnsi="Times New Roman" w:cs="Times New Roman"/>
                                          <w:caps/>
                                          <w:color w:val="ED7D31" w:themeColor="accent2"/>
                                          <w:sz w:val="26"/>
                                          <w:szCs w:val="26"/>
                                        </w:rPr>
                                      </w:pPr>
                                    </w:p>
                                    <w:p w14:paraId="682377A3" w14:textId="77777777" w:rsidR="00796BAF" w:rsidRPr="00724D9C" w:rsidRDefault="00796BAF">
                                      <w:pPr>
                                        <w:pStyle w:val="NoSpacing"/>
                                        <w:rPr>
                                          <w:rFonts w:ascii="Times New Roman" w:hAnsi="Times New Roman" w:cs="Times New Roman"/>
                                          <w:caps/>
                                          <w:color w:val="ED7D31" w:themeColor="accent2"/>
                                          <w:sz w:val="26"/>
                                          <w:szCs w:val="26"/>
                                        </w:rPr>
                                      </w:pPr>
                                    </w:p>
                                    <w:p w14:paraId="33B18E31" w14:textId="77777777" w:rsidR="00796BAF" w:rsidRPr="00724D9C" w:rsidRDefault="00796BAF">
                                      <w:pPr>
                                        <w:pStyle w:val="NoSpacing"/>
                                        <w:rPr>
                                          <w:rFonts w:ascii="Times New Roman" w:hAnsi="Times New Roman" w:cs="Times New Roman"/>
                                          <w:caps/>
                                          <w:color w:val="ED7D31" w:themeColor="accent2"/>
                                          <w:sz w:val="26"/>
                                          <w:szCs w:val="26"/>
                                        </w:rPr>
                                      </w:pPr>
                                    </w:p>
                                    <w:p w14:paraId="3DA8CFCF" w14:textId="77777777" w:rsidR="00796BAF" w:rsidRPr="00724D9C" w:rsidRDefault="00796BAF">
                                      <w:pPr>
                                        <w:pStyle w:val="NoSpacing"/>
                                        <w:rPr>
                                          <w:rFonts w:ascii="Times New Roman" w:hAnsi="Times New Roman" w:cs="Times New Roman"/>
                                          <w:caps/>
                                          <w:color w:val="ED7D31" w:themeColor="accent2"/>
                                          <w:sz w:val="26"/>
                                          <w:szCs w:val="26"/>
                                        </w:rPr>
                                      </w:pPr>
                                    </w:p>
                                    <w:p w14:paraId="10390228" w14:textId="77777777" w:rsidR="00796BAF" w:rsidRPr="00724D9C" w:rsidRDefault="00796BAF">
                                      <w:pPr>
                                        <w:pStyle w:val="NoSpacing"/>
                                        <w:rPr>
                                          <w:rFonts w:ascii="Times New Roman" w:hAnsi="Times New Roman" w:cs="Times New Roman"/>
                                          <w:caps/>
                                          <w:color w:val="ED7D31" w:themeColor="accent2"/>
                                          <w:sz w:val="26"/>
                                          <w:szCs w:val="26"/>
                                        </w:rPr>
                                      </w:pPr>
                                    </w:p>
                                    <w:p w14:paraId="761476B8"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0A1B67E9"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586DFAE2"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0E3E9482" w14:textId="266D0790" w:rsidR="00796BAF" w:rsidRPr="00724D9C" w:rsidRDefault="00796BAF">
                                      <w:pPr>
                                        <w:pStyle w:val="NoSpacing"/>
                                        <w:rPr>
                                          <w:rFonts w:ascii="Times New Roman" w:hAnsi="Times New Roman" w:cs="Times New Roman"/>
                                          <w:b/>
                                          <w:caps/>
                                          <w:color w:val="ED7D31" w:themeColor="accent2"/>
                                          <w:sz w:val="48"/>
                                          <w:szCs w:val="48"/>
                                        </w:rPr>
                                      </w:pPr>
                                      <w:r>
                                        <w:rPr>
                                          <w:rFonts w:ascii="Times New Roman" w:hAnsi="Times New Roman" w:cs="Times New Roman"/>
                                          <w:b/>
                                          <w:caps/>
                                          <w:color w:val="1F4E79" w:themeColor="accent1" w:themeShade="80"/>
                                          <w:sz w:val="48"/>
                                          <w:szCs w:val="48"/>
                                        </w:rPr>
                                        <w:t>RĪGA 2022</w:t>
                                      </w:r>
                                    </w:p>
                                  </w:tc>
                                </w:tr>
                              </w:tbl>
                              <w:p w14:paraId="0D5D1AAF" w14:textId="77777777" w:rsidR="00796BAF" w:rsidRDefault="00796BA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943133C" id="_x0000_t202" coordsize="21600,21600" o:spt="202" path="m,l,21600r21600,l21600,xe">
                    <v:stroke joinstyle="miter"/>
                    <v:path gradientshapeok="t" o:connecttype="rect"/>
                  </v:shapetype>
                  <v:shape id="Text Box 138" o:spid="_x0000_s1026" type="#_x0000_t202" style="position:absolute;margin-left:0;margin-top:0;width:134.85pt;height:302.4pt;z-index:25168179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370"/>
                            <w:gridCol w:w="4806"/>
                          </w:tblGrid>
                          <w:tr w:rsidR="00796BAF" w14:paraId="11D401FE" w14:textId="77777777" w:rsidTr="00A87463">
                            <w:trPr>
                              <w:jc w:val="center"/>
                            </w:trPr>
                            <w:tc>
                              <w:tcPr>
                                <w:tcW w:w="2850" w:type="pct"/>
                                <w:vAlign w:val="center"/>
                              </w:tcPr>
                              <w:p w14:paraId="29873B9F" w14:textId="77777777" w:rsidR="00796BAF" w:rsidRDefault="00796BAF">
                                <w:pPr>
                                  <w:jc w:val="right"/>
                                </w:pPr>
                                <w:r>
                                  <w:rPr>
                                    <w:noProof/>
                                    <w:lang w:eastAsia="lv-LV"/>
                                  </w:rPr>
                                  <w:drawing>
                                    <wp:inline distT="0" distB="0" distL="0" distR="0" wp14:anchorId="5C3E1EA6" wp14:editId="562AAF0E">
                                      <wp:extent cx="2673734" cy="2499360"/>
                                      <wp:effectExtent l="0" t="0" r="0" b="0"/>
                                      <wp:docPr id="19" name="Picture 2" descr="Iekšlietu ministrija">
                                        <a:extLst xmlns:a="http://schemas.openxmlformats.org/drawingml/2006/main">
                                          <a:ext uri="{FF2B5EF4-FFF2-40B4-BE49-F238E27FC236}">
                                            <a16:creationId xmlns:a16="http://schemas.microsoft.com/office/drawing/2014/main" id="{CC7C68E2-3C71-474B-81AD-026C3AFD3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ekšlietu ministrija">
                                                <a:extLst>
                                                  <a:ext uri="{FF2B5EF4-FFF2-40B4-BE49-F238E27FC236}">
                                                    <a16:creationId xmlns:a16="http://schemas.microsoft.com/office/drawing/2014/main" id="{CC7C68E2-3C71-474B-81AD-026C3AFD361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851" cy="2519100"/>
                                              </a:xfrm>
                                              <a:prstGeom prst="rect">
                                                <a:avLst/>
                                              </a:prstGeom>
                                              <a:noFill/>
                                            </pic:spPr>
                                          </pic:pic>
                                        </a:graphicData>
                                      </a:graphic>
                                    </wp:inline>
                                  </w:drawing>
                                </w:r>
                              </w:p>
                              <w:p w14:paraId="44070A51" w14:textId="77777777" w:rsidR="00796BAF" w:rsidRDefault="00796BAF">
                                <w:pPr>
                                  <w:jc w:val="right"/>
                                </w:pPr>
                              </w:p>
                              <w:p w14:paraId="5D23B12C" w14:textId="77777777" w:rsidR="00796BAF" w:rsidRDefault="00796BAF">
                                <w:pPr>
                                  <w:jc w:val="right"/>
                                </w:pPr>
                              </w:p>
                              <w:p w14:paraId="3D50C677" w14:textId="77777777" w:rsidR="00796BAF" w:rsidRDefault="00796BAF">
                                <w:pPr>
                                  <w:jc w:val="right"/>
                                </w:pPr>
                              </w:p>
                              <w:p w14:paraId="5EDAA922" w14:textId="77777777" w:rsidR="00796BAF" w:rsidRDefault="00796BAF">
                                <w:pPr>
                                  <w:jc w:val="right"/>
                                </w:pPr>
                              </w:p>
                              <w:sdt>
                                <w:sdtPr>
                                  <w:rPr>
                                    <w:rFonts w:ascii="Times New Roman" w:eastAsia="Calibri" w:hAnsi="Times New Roman" w:cs="Times New Roman"/>
                                    <w:b/>
                                    <w:bCs/>
                                    <w:smallCaps/>
                                    <w:color w:val="384B7C"/>
                                    <w:kern w:val="24"/>
                                    <w:sz w:val="48"/>
                                    <w:szCs w:val="48"/>
                                    <w:lang w:eastAsia="lv-LV"/>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5975865" w14:textId="3C28210C" w:rsidR="00796BAF" w:rsidRPr="00724D9C" w:rsidRDefault="00796BAF">
                                    <w:pPr>
                                      <w:pStyle w:val="NoSpacing"/>
                                      <w:spacing w:line="312" w:lineRule="auto"/>
                                      <w:jc w:val="right"/>
                                      <w:rPr>
                                        <w:rFonts w:ascii="Times New Roman" w:hAnsi="Times New Roman" w:cs="Times New Roman"/>
                                        <w:caps/>
                                        <w:color w:val="191919" w:themeColor="text1" w:themeTint="E6"/>
                                        <w:sz w:val="72"/>
                                        <w:szCs w:val="72"/>
                                      </w:rPr>
                                    </w:pPr>
                                    <w:r w:rsidRPr="00724D9C">
                                      <w:rPr>
                                        <w:rFonts w:ascii="Times New Roman" w:eastAsia="Calibri" w:hAnsi="Times New Roman" w:cs="Times New Roman"/>
                                        <w:b/>
                                        <w:bCs/>
                                        <w:smallCaps/>
                                        <w:color w:val="384B7C"/>
                                        <w:kern w:val="24"/>
                                        <w:sz w:val="48"/>
                                        <w:szCs w:val="48"/>
                                        <w:lang w:eastAsia="lv-LV"/>
                                      </w:rPr>
                                      <w:t>IEKŠLIETU NOZARES STRATĒĢIJA 2023.-2027. GADAM</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1A26C268" w14:textId="77777777" w:rsidR="00796BAF" w:rsidRDefault="00796BAF" w:rsidP="00E66912">
                                    <w:pPr>
                                      <w:jc w:val="right"/>
                                      <w:rPr>
                                        <w:sz w:val="24"/>
                                        <w:szCs w:val="24"/>
                                      </w:rPr>
                                    </w:pPr>
                                    <w:r>
                                      <w:rPr>
                                        <w:color w:val="000000" w:themeColor="text1"/>
                                        <w:sz w:val="24"/>
                                        <w:szCs w:val="24"/>
                                      </w:rPr>
                                      <w:t xml:space="preserve">     </w:t>
                                    </w:r>
                                  </w:p>
                                </w:sdtContent>
                              </w:sdt>
                            </w:tc>
                            <w:tc>
                              <w:tcPr>
                                <w:tcW w:w="2150" w:type="pct"/>
                                <w:vAlign w:val="center"/>
                              </w:tcPr>
                              <w:p w14:paraId="5BFCCD99" w14:textId="77777777" w:rsidR="00796BAF" w:rsidRPr="00724D9C" w:rsidRDefault="00796BAF">
                                <w:pPr>
                                  <w:pStyle w:val="NoSpacing"/>
                                  <w:rPr>
                                    <w:rFonts w:ascii="Times New Roman" w:hAnsi="Times New Roman" w:cs="Times New Roman"/>
                                    <w:caps/>
                                    <w:color w:val="ED7D31" w:themeColor="accent2"/>
                                    <w:sz w:val="26"/>
                                    <w:szCs w:val="26"/>
                                  </w:rPr>
                                </w:pPr>
                              </w:p>
                              <w:p w14:paraId="0C683ACE" w14:textId="77777777" w:rsidR="00796BAF" w:rsidRPr="00724D9C" w:rsidRDefault="00796BAF">
                                <w:pPr>
                                  <w:pStyle w:val="NoSpacing"/>
                                  <w:rPr>
                                    <w:rFonts w:ascii="Times New Roman" w:hAnsi="Times New Roman" w:cs="Times New Roman"/>
                                    <w:caps/>
                                    <w:color w:val="ED7D31" w:themeColor="accent2"/>
                                    <w:sz w:val="26"/>
                                    <w:szCs w:val="26"/>
                                  </w:rPr>
                                </w:pPr>
                              </w:p>
                              <w:p w14:paraId="15A4AA9C" w14:textId="77777777" w:rsidR="00796BAF" w:rsidRPr="00724D9C" w:rsidRDefault="00796BAF">
                                <w:pPr>
                                  <w:pStyle w:val="NoSpacing"/>
                                  <w:rPr>
                                    <w:rFonts w:ascii="Times New Roman" w:hAnsi="Times New Roman" w:cs="Times New Roman"/>
                                    <w:caps/>
                                    <w:color w:val="ED7D31" w:themeColor="accent2"/>
                                    <w:sz w:val="26"/>
                                    <w:szCs w:val="26"/>
                                  </w:rPr>
                                </w:pPr>
                              </w:p>
                              <w:p w14:paraId="6931D7DE" w14:textId="77777777" w:rsidR="00796BAF" w:rsidRPr="00724D9C" w:rsidRDefault="00796BAF">
                                <w:pPr>
                                  <w:pStyle w:val="NoSpacing"/>
                                  <w:rPr>
                                    <w:rFonts w:ascii="Times New Roman" w:hAnsi="Times New Roman" w:cs="Times New Roman"/>
                                    <w:caps/>
                                    <w:color w:val="ED7D31" w:themeColor="accent2"/>
                                    <w:sz w:val="26"/>
                                    <w:szCs w:val="26"/>
                                  </w:rPr>
                                </w:pPr>
                              </w:p>
                              <w:p w14:paraId="38335E81" w14:textId="77777777" w:rsidR="00796BAF" w:rsidRPr="00724D9C" w:rsidRDefault="00796BAF">
                                <w:pPr>
                                  <w:pStyle w:val="NoSpacing"/>
                                  <w:rPr>
                                    <w:rFonts w:ascii="Times New Roman" w:hAnsi="Times New Roman" w:cs="Times New Roman"/>
                                    <w:caps/>
                                    <w:color w:val="ED7D31" w:themeColor="accent2"/>
                                    <w:sz w:val="26"/>
                                    <w:szCs w:val="26"/>
                                  </w:rPr>
                                </w:pPr>
                              </w:p>
                              <w:p w14:paraId="25BD4232" w14:textId="77777777" w:rsidR="00796BAF" w:rsidRPr="00724D9C" w:rsidRDefault="00796BAF">
                                <w:pPr>
                                  <w:pStyle w:val="NoSpacing"/>
                                  <w:rPr>
                                    <w:rFonts w:ascii="Times New Roman" w:hAnsi="Times New Roman" w:cs="Times New Roman"/>
                                    <w:caps/>
                                    <w:color w:val="ED7D31" w:themeColor="accent2"/>
                                    <w:sz w:val="26"/>
                                    <w:szCs w:val="26"/>
                                  </w:rPr>
                                </w:pPr>
                              </w:p>
                              <w:p w14:paraId="68A14F01" w14:textId="77777777" w:rsidR="00796BAF" w:rsidRPr="00724D9C" w:rsidRDefault="00796BAF">
                                <w:pPr>
                                  <w:pStyle w:val="NoSpacing"/>
                                  <w:rPr>
                                    <w:rFonts w:ascii="Times New Roman" w:hAnsi="Times New Roman" w:cs="Times New Roman"/>
                                    <w:caps/>
                                    <w:color w:val="ED7D31" w:themeColor="accent2"/>
                                    <w:sz w:val="26"/>
                                    <w:szCs w:val="26"/>
                                  </w:rPr>
                                </w:pPr>
                              </w:p>
                              <w:p w14:paraId="0F60C736" w14:textId="77777777" w:rsidR="00796BAF" w:rsidRPr="00724D9C" w:rsidRDefault="00796BAF">
                                <w:pPr>
                                  <w:pStyle w:val="NoSpacing"/>
                                  <w:rPr>
                                    <w:rFonts w:ascii="Times New Roman" w:hAnsi="Times New Roman" w:cs="Times New Roman"/>
                                    <w:caps/>
                                    <w:color w:val="ED7D31" w:themeColor="accent2"/>
                                    <w:sz w:val="26"/>
                                    <w:szCs w:val="26"/>
                                  </w:rPr>
                                </w:pPr>
                              </w:p>
                              <w:p w14:paraId="0EC72109" w14:textId="77777777" w:rsidR="00796BAF" w:rsidRPr="00724D9C" w:rsidRDefault="00796BAF">
                                <w:pPr>
                                  <w:pStyle w:val="NoSpacing"/>
                                  <w:rPr>
                                    <w:rFonts w:ascii="Times New Roman" w:hAnsi="Times New Roman" w:cs="Times New Roman"/>
                                    <w:caps/>
                                    <w:color w:val="ED7D31" w:themeColor="accent2"/>
                                    <w:sz w:val="26"/>
                                    <w:szCs w:val="26"/>
                                  </w:rPr>
                                </w:pPr>
                              </w:p>
                              <w:p w14:paraId="084B1583" w14:textId="77777777" w:rsidR="00796BAF" w:rsidRPr="00724D9C" w:rsidRDefault="00796BAF">
                                <w:pPr>
                                  <w:pStyle w:val="NoSpacing"/>
                                  <w:rPr>
                                    <w:rFonts w:ascii="Times New Roman" w:hAnsi="Times New Roman" w:cs="Times New Roman"/>
                                    <w:caps/>
                                    <w:color w:val="ED7D31" w:themeColor="accent2"/>
                                    <w:sz w:val="26"/>
                                    <w:szCs w:val="26"/>
                                  </w:rPr>
                                </w:pPr>
                              </w:p>
                              <w:p w14:paraId="438501C1" w14:textId="77777777" w:rsidR="00796BAF" w:rsidRPr="00724D9C" w:rsidRDefault="00796BAF">
                                <w:pPr>
                                  <w:pStyle w:val="NoSpacing"/>
                                  <w:rPr>
                                    <w:rFonts w:ascii="Times New Roman" w:hAnsi="Times New Roman" w:cs="Times New Roman"/>
                                    <w:caps/>
                                    <w:color w:val="ED7D31" w:themeColor="accent2"/>
                                    <w:sz w:val="26"/>
                                    <w:szCs w:val="26"/>
                                  </w:rPr>
                                </w:pPr>
                              </w:p>
                              <w:p w14:paraId="60A127AC" w14:textId="77777777" w:rsidR="00796BAF" w:rsidRPr="00724D9C" w:rsidRDefault="00796BAF">
                                <w:pPr>
                                  <w:pStyle w:val="NoSpacing"/>
                                  <w:rPr>
                                    <w:rFonts w:ascii="Times New Roman" w:hAnsi="Times New Roman" w:cs="Times New Roman"/>
                                    <w:caps/>
                                    <w:color w:val="ED7D31" w:themeColor="accent2"/>
                                    <w:sz w:val="26"/>
                                    <w:szCs w:val="26"/>
                                  </w:rPr>
                                </w:pPr>
                              </w:p>
                              <w:p w14:paraId="217BD42B" w14:textId="77777777" w:rsidR="00796BAF" w:rsidRPr="00724D9C" w:rsidRDefault="00796BAF">
                                <w:pPr>
                                  <w:pStyle w:val="NoSpacing"/>
                                  <w:rPr>
                                    <w:rFonts w:ascii="Times New Roman" w:hAnsi="Times New Roman" w:cs="Times New Roman"/>
                                    <w:caps/>
                                    <w:color w:val="ED7D31" w:themeColor="accent2"/>
                                    <w:sz w:val="26"/>
                                    <w:szCs w:val="26"/>
                                  </w:rPr>
                                </w:pPr>
                              </w:p>
                              <w:p w14:paraId="26873191" w14:textId="77777777" w:rsidR="00796BAF" w:rsidRPr="00724D9C" w:rsidRDefault="00796BAF">
                                <w:pPr>
                                  <w:pStyle w:val="NoSpacing"/>
                                  <w:rPr>
                                    <w:rFonts w:ascii="Times New Roman" w:hAnsi="Times New Roman" w:cs="Times New Roman"/>
                                    <w:caps/>
                                    <w:color w:val="ED7D31" w:themeColor="accent2"/>
                                    <w:sz w:val="26"/>
                                    <w:szCs w:val="26"/>
                                  </w:rPr>
                                </w:pPr>
                              </w:p>
                              <w:p w14:paraId="2B854724" w14:textId="77777777" w:rsidR="00796BAF" w:rsidRPr="00724D9C" w:rsidRDefault="00796BAF">
                                <w:pPr>
                                  <w:pStyle w:val="NoSpacing"/>
                                  <w:rPr>
                                    <w:rFonts w:ascii="Times New Roman" w:hAnsi="Times New Roman" w:cs="Times New Roman"/>
                                    <w:caps/>
                                    <w:color w:val="ED7D31" w:themeColor="accent2"/>
                                    <w:sz w:val="26"/>
                                    <w:szCs w:val="26"/>
                                  </w:rPr>
                                </w:pPr>
                              </w:p>
                              <w:p w14:paraId="33070426" w14:textId="77777777" w:rsidR="00796BAF" w:rsidRPr="00724D9C" w:rsidRDefault="00796BAF">
                                <w:pPr>
                                  <w:pStyle w:val="NoSpacing"/>
                                  <w:rPr>
                                    <w:rFonts w:ascii="Times New Roman" w:hAnsi="Times New Roman" w:cs="Times New Roman"/>
                                    <w:caps/>
                                    <w:color w:val="ED7D31" w:themeColor="accent2"/>
                                    <w:sz w:val="26"/>
                                    <w:szCs w:val="26"/>
                                  </w:rPr>
                                </w:pPr>
                              </w:p>
                              <w:p w14:paraId="2F36F801" w14:textId="77777777" w:rsidR="00796BAF" w:rsidRPr="00724D9C" w:rsidRDefault="00796BAF">
                                <w:pPr>
                                  <w:pStyle w:val="NoSpacing"/>
                                  <w:rPr>
                                    <w:rFonts w:ascii="Times New Roman" w:hAnsi="Times New Roman" w:cs="Times New Roman"/>
                                    <w:caps/>
                                    <w:color w:val="ED7D31" w:themeColor="accent2"/>
                                    <w:sz w:val="26"/>
                                    <w:szCs w:val="26"/>
                                  </w:rPr>
                                </w:pPr>
                              </w:p>
                              <w:p w14:paraId="6AD4FBCD" w14:textId="77777777" w:rsidR="00796BAF" w:rsidRPr="00724D9C" w:rsidRDefault="00796BAF">
                                <w:pPr>
                                  <w:pStyle w:val="NoSpacing"/>
                                  <w:rPr>
                                    <w:rFonts w:ascii="Times New Roman" w:hAnsi="Times New Roman" w:cs="Times New Roman"/>
                                    <w:caps/>
                                    <w:color w:val="ED7D31" w:themeColor="accent2"/>
                                    <w:sz w:val="26"/>
                                    <w:szCs w:val="26"/>
                                  </w:rPr>
                                </w:pPr>
                              </w:p>
                              <w:p w14:paraId="07CCE595" w14:textId="77777777" w:rsidR="00796BAF" w:rsidRPr="00724D9C" w:rsidRDefault="00796BAF">
                                <w:pPr>
                                  <w:pStyle w:val="NoSpacing"/>
                                  <w:rPr>
                                    <w:rFonts w:ascii="Times New Roman" w:hAnsi="Times New Roman" w:cs="Times New Roman"/>
                                    <w:caps/>
                                    <w:color w:val="ED7D31" w:themeColor="accent2"/>
                                    <w:sz w:val="26"/>
                                    <w:szCs w:val="26"/>
                                  </w:rPr>
                                </w:pPr>
                              </w:p>
                              <w:p w14:paraId="5A902D37" w14:textId="77777777" w:rsidR="00796BAF" w:rsidRPr="00724D9C" w:rsidRDefault="00796BAF">
                                <w:pPr>
                                  <w:pStyle w:val="NoSpacing"/>
                                  <w:rPr>
                                    <w:rFonts w:ascii="Times New Roman" w:hAnsi="Times New Roman" w:cs="Times New Roman"/>
                                    <w:caps/>
                                    <w:color w:val="ED7D31" w:themeColor="accent2"/>
                                    <w:sz w:val="26"/>
                                    <w:szCs w:val="26"/>
                                  </w:rPr>
                                </w:pPr>
                              </w:p>
                              <w:p w14:paraId="682377A3" w14:textId="77777777" w:rsidR="00796BAF" w:rsidRPr="00724D9C" w:rsidRDefault="00796BAF">
                                <w:pPr>
                                  <w:pStyle w:val="NoSpacing"/>
                                  <w:rPr>
                                    <w:rFonts w:ascii="Times New Roman" w:hAnsi="Times New Roman" w:cs="Times New Roman"/>
                                    <w:caps/>
                                    <w:color w:val="ED7D31" w:themeColor="accent2"/>
                                    <w:sz w:val="26"/>
                                    <w:szCs w:val="26"/>
                                  </w:rPr>
                                </w:pPr>
                              </w:p>
                              <w:p w14:paraId="33B18E31" w14:textId="77777777" w:rsidR="00796BAF" w:rsidRPr="00724D9C" w:rsidRDefault="00796BAF">
                                <w:pPr>
                                  <w:pStyle w:val="NoSpacing"/>
                                  <w:rPr>
                                    <w:rFonts w:ascii="Times New Roman" w:hAnsi="Times New Roman" w:cs="Times New Roman"/>
                                    <w:caps/>
                                    <w:color w:val="ED7D31" w:themeColor="accent2"/>
                                    <w:sz w:val="26"/>
                                    <w:szCs w:val="26"/>
                                  </w:rPr>
                                </w:pPr>
                              </w:p>
                              <w:p w14:paraId="3DA8CFCF" w14:textId="77777777" w:rsidR="00796BAF" w:rsidRPr="00724D9C" w:rsidRDefault="00796BAF">
                                <w:pPr>
                                  <w:pStyle w:val="NoSpacing"/>
                                  <w:rPr>
                                    <w:rFonts w:ascii="Times New Roman" w:hAnsi="Times New Roman" w:cs="Times New Roman"/>
                                    <w:caps/>
                                    <w:color w:val="ED7D31" w:themeColor="accent2"/>
                                    <w:sz w:val="26"/>
                                    <w:szCs w:val="26"/>
                                  </w:rPr>
                                </w:pPr>
                              </w:p>
                              <w:p w14:paraId="10390228" w14:textId="77777777" w:rsidR="00796BAF" w:rsidRPr="00724D9C" w:rsidRDefault="00796BAF">
                                <w:pPr>
                                  <w:pStyle w:val="NoSpacing"/>
                                  <w:rPr>
                                    <w:rFonts w:ascii="Times New Roman" w:hAnsi="Times New Roman" w:cs="Times New Roman"/>
                                    <w:caps/>
                                    <w:color w:val="ED7D31" w:themeColor="accent2"/>
                                    <w:sz w:val="26"/>
                                    <w:szCs w:val="26"/>
                                  </w:rPr>
                                </w:pPr>
                              </w:p>
                              <w:p w14:paraId="761476B8"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0A1B67E9"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586DFAE2"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0E3E9482" w14:textId="266D0790" w:rsidR="00796BAF" w:rsidRPr="00724D9C" w:rsidRDefault="00796BAF">
                                <w:pPr>
                                  <w:pStyle w:val="NoSpacing"/>
                                  <w:rPr>
                                    <w:rFonts w:ascii="Times New Roman" w:hAnsi="Times New Roman" w:cs="Times New Roman"/>
                                    <w:b/>
                                    <w:caps/>
                                    <w:color w:val="ED7D31" w:themeColor="accent2"/>
                                    <w:sz w:val="48"/>
                                    <w:szCs w:val="48"/>
                                  </w:rPr>
                                </w:pPr>
                                <w:r>
                                  <w:rPr>
                                    <w:rFonts w:ascii="Times New Roman" w:hAnsi="Times New Roman" w:cs="Times New Roman"/>
                                    <w:b/>
                                    <w:caps/>
                                    <w:color w:val="1F4E79" w:themeColor="accent1" w:themeShade="80"/>
                                    <w:sz w:val="48"/>
                                    <w:szCs w:val="48"/>
                                  </w:rPr>
                                  <w:t>RĪGA 2022</w:t>
                                </w:r>
                              </w:p>
                            </w:tc>
                          </w:tr>
                        </w:tbl>
                        <w:p w14:paraId="0D5D1AAF" w14:textId="77777777" w:rsidR="00796BAF" w:rsidRDefault="00796BAF"/>
                      </w:txbxContent>
                    </v:textbox>
                    <w10:wrap anchorx="page" anchory="page"/>
                  </v:shape>
                </w:pict>
              </mc:Fallback>
            </mc:AlternateContent>
          </w:r>
          <w:r w:rsidR="00E66912" w:rsidRPr="00B60ED2">
            <w:br w:type="page"/>
          </w:r>
        </w:sdtContent>
      </w:sdt>
    </w:p>
    <w:p w14:paraId="0B297148" w14:textId="33541A10" w:rsidR="005273DC" w:rsidRPr="00B60ED2" w:rsidRDefault="005273DC" w:rsidP="005273DC">
      <w:pPr>
        <w:spacing w:line="276" w:lineRule="auto"/>
        <w:jc w:val="center"/>
        <w:rPr>
          <w:rFonts w:ascii="Times New Roman" w:eastAsia="+mn-ea" w:hAnsi="Times New Roman" w:cs="Times New Roman"/>
          <w:b/>
          <w:color w:val="808080" w:themeColor="background1" w:themeShade="80"/>
          <w:kern w:val="24"/>
          <w:sz w:val="32"/>
          <w:szCs w:val="24"/>
          <w:lang w:eastAsia="lv-LV"/>
        </w:rPr>
      </w:pPr>
      <w:r w:rsidRPr="00B60ED2">
        <w:rPr>
          <w:rFonts w:ascii="Times New Roman" w:eastAsia="+mn-ea" w:hAnsi="Times New Roman" w:cs="Times New Roman"/>
          <w:b/>
          <w:color w:val="808080" w:themeColor="background1" w:themeShade="80"/>
          <w:kern w:val="24"/>
          <w:sz w:val="32"/>
          <w:szCs w:val="24"/>
          <w:lang w:eastAsia="lv-LV"/>
        </w:rPr>
        <w:lastRenderedPageBreak/>
        <w:t>Ievads</w:t>
      </w:r>
    </w:p>
    <w:p w14:paraId="5B770023" w14:textId="3A02BC9C" w:rsidR="00236014" w:rsidRPr="00B60ED2" w:rsidRDefault="00236014" w:rsidP="006603A8">
      <w:pPr>
        <w:spacing w:after="80" w:line="276" w:lineRule="auto"/>
        <w:ind w:firstLine="720"/>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Iekšlietu nozares stratēģija 2023.-2027. gadam</w:t>
      </w:r>
      <w:r w:rsidR="006F3CBE" w:rsidRPr="00B60ED2">
        <w:rPr>
          <w:rFonts w:ascii="Times New Roman" w:eastAsia="+mn-ea" w:hAnsi="Times New Roman" w:cs="Times New Roman"/>
          <w:color w:val="000000"/>
          <w:kern w:val="24"/>
          <w:sz w:val="24"/>
          <w:szCs w:val="24"/>
          <w:lang w:eastAsia="lv-LV"/>
        </w:rPr>
        <w:t xml:space="preserve"> (turpmāk –</w:t>
      </w:r>
      <w:r w:rsidR="00B80D03" w:rsidRPr="00B60ED2">
        <w:rPr>
          <w:rFonts w:ascii="Times New Roman" w:eastAsia="+mn-ea" w:hAnsi="Times New Roman" w:cs="Times New Roman"/>
          <w:color w:val="000000"/>
          <w:kern w:val="24"/>
          <w:sz w:val="24"/>
          <w:szCs w:val="24"/>
          <w:lang w:eastAsia="lv-LV"/>
        </w:rPr>
        <w:t xml:space="preserve"> Nozares s</w:t>
      </w:r>
      <w:r w:rsidR="006F3CBE" w:rsidRPr="00B60ED2">
        <w:rPr>
          <w:rFonts w:ascii="Times New Roman" w:eastAsia="+mn-ea" w:hAnsi="Times New Roman" w:cs="Times New Roman"/>
          <w:color w:val="000000"/>
          <w:kern w:val="24"/>
          <w:sz w:val="24"/>
          <w:szCs w:val="24"/>
          <w:lang w:eastAsia="lv-LV"/>
        </w:rPr>
        <w:t>tratēģija)</w:t>
      </w:r>
      <w:r w:rsidRPr="00B60ED2">
        <w:rPr>
          <w:rFonts w:ascii="Times New Roman" w:eastAsia="+mn-ea" w:hAnsi="Times New Roman" w:cs="Times New Roman"/>
          <w:color w:val="000000"/>
          <w:kern w:val="24"/>
          <w:sz w:val="24"/>
          <w:szCs w:val="24"/>
          <w:lang w:eastAsia="lv-LV"/>
        </w:rPr>
        <w:t xml:space="preserve"> ir dokuments, kurā noteikti </w:t>
      </w:r>
      <w:r w:rsidR="006F3CBE" w:rsidRPr="00B60ED2">
        <w:rPr>
          <w:rFonts w:ascii="Times New Roman" w:eastAsia="+mn-ea" w:hAnsi="Times New Roman" w:cs="Times New Roman"/>
          <w:color w:val="000000"/>
          <w:kern w:val="24"/>
          <w:sz w:val="24"/>
          <w:szCs w:val="24"/>
          <w:lang w:eastAsia="lv-LV"/>
        </w:rPr>
        <w:t>iekšlietu nozares</w:t>
      </w:r>
      <w:r w:rsidRPr="00B60ED2">
        <w:rPr>
          <w:rFonts w:ascii="Times New Roman" w:eastAsia="+mn-ea" w:hAnsi="Times New Roman" w:cs="Times New Roman"/>
          <w:color w:val="000000"/>
          <w:kern w:val="24"/>
          <w:sz w:val="24"/>
          <w:szCs w:val="24"/>
          <w:lang w:eastAsia="lv-LV"/>
        </w:rPr>
        <w:t xml:space="preserve"> </w:t>
      </w:r>
      <w:r w:rsidR="006F3CBE" w:rsidRPr="00B60ED2">
        <w:rPr>
          <w:rFonts w:ascii="Times New Roman" w:eastAsia="+mn-ea" w:hAnsi="Times New Roman" w:cs="Times New Roman"/>
          <w:color w:val="000000"/>
          <w:kern w:val="24"/>
          <w:sz w:val="24"/>
          <w:szCs w:val="24"/>
          <w:lang w:eastAsia="lv-LV"/>
        </w:rPr>
        <w:t xml:space="preserve">pārraudzībā esošo politikas jomu </w:t>
      </w:r>
      <w:r w:rsidRPr="00B60ED2">
        <w:rPr>
          <w:rFonts w:ascii="Times New Roman" w:eastAsia="+mn-ea" w:hAnsi="Times New Roman" w:cs="Times New Roman"/>
          <w:color w:val="000000"/>
          <w:kern w:val="24"/>
          <w:sz w:val="24"/>
          <w:szCs w:val="24"/>
          <w:lang w:eastAsia="lv-LV"/>
        </w:rPr>
        <w:t>prioritārie politikas mērķi un prioritārie horizontālie mērķi, to izpildi</w:t>
      </w:r>
      <w:r w:rsidR="006F3CBE" w:rsidRPr="00B60ED2">
        <w:rPr>
          <w:rFonts w:ascii="Times New Roman" w:eastAsia="+mn-ea" w:hAnsi="Times New Roman" w:cs="Times New Roman"/>
          <w:color w:val="000000"/>
          <w:kern w:val="24"/>
          <w:sz w:val="24"/>
          <w:szCs w:val="24"/>
          <w:lang w:eastAsia="lv-LV"/>
        </w:rPr>
        <w:t xml:space="preserve"> raksturojošie rezultatīvie r</w:t>
      </w:r>
      <w:r w:rsidR="006603A8" w:rsidRPr="00B60ED2">
        <w:rPr>
          <w:rFonts w:ascii="Times New Roman" w:eastAsia="+mn-ea" w:hAnsi="Times New Roman" w:cs="Times New Roman"/>
          <w:color w:val="000000"/>
          <w:kern w:val="24"/>
          <w:sz w:val="24"/>
          <w:szCs w:val="24"/>
          <w:lang w:eastAsia="lv-LV"/>
        </w:rPr>
        <w:t xml:space="preserve">ādītāji, </w:t>
      </w:r>
      <w:r w:rsidRPr="00B60ED2">
        <w:rPr>
          <w:rFonts w:ascii="Times New Roman" w:eastAsia="+mn-ea" w:hAnsi="Times New Roman" w:cs="Times New Roman"/>
          <w:color w:val="000000"/>
          <w:kern w:val="24"/>
          <w:sz w:val="24"/>
          <w:szCs w:val="24"/>
          <w:lang w:eastAsia="lv-LV"/>
        </w:rPr>
        <w:t>rīcības virzieni</w:t>
      </w:r>
      <w:r w:rsidR="006603A8" w:rsidRPr="00B60ED2">
        <w:rPr>
          <w:rFonts w:ascii="Times New Roman" w:eastAsia="+mn-ea" w:hAnsi="Times New Roman" w:cs="Times New Roman"/>
          <w:color w:val="000000"/>
          <w:kern w:val="24"/>
          <w:sz w:val="24"/>
          <w:szCs w:val="24"/>
          <w:lang w:eastAsia="lv-LV"/>
        </w:rPr>
        <w:t xml:space="preserve"> un</w:t>
      </w:r>
      <w:r w:rsidR="00513912" w:rsidRPr="00B60ED2">
        <w:rPr>
          <w:rFonts w:ascii="Times New Roman" w:eastAsia="+mn-ea" w:hAnsi="Times New Roman" w:cs="Times New Roman"/>
          <w:color w:val="000000"/>
          <w:kern w:val="24"/>
          <w:sz w:val="24"/>
          <w:szCs w:val="24"/>
          <w:lang w:eastAsia="lv-LV"/>
        </w:rPr>
        <w:t xml:space="preserve"> ar tiem saistītie</w:t>
      </w:r>
      <w:r w:rsidR="006603A8" w:rsidRPr="00B60ED2">
        <w:rPr>
          <w:rFonts w:ascii="Times New Roman" w:eastAsia="+mn-ea" w:hAnsi="Times New Roman" w:cs="Times New Roman"/>
          <w:color w:val="000000"/>
          <w:kern w:val="24"/>
          <w:sz w:val="24"/>
          <w:szCs w:val="24"/>
          <w:lang w:eastAsia="lv-LV"/>
        </w:rPr>
        <w:t xml:space="preserve"> </w:t>
      </w:r>
      <w:r w:rsidR="0031440A" w:rsidRPr="00B60ED2">
        <w:rPr>
          <w:rFonts w:ascii="Times New Roman" w:eastAsia="+mn-ea" w:hAnsi="Times New Roman" w:cs="Times New Roman"/>
          <w:color w:val="000000"/>
          <w:kern w:val="24"/>
          <w:sz w:val="24"/>
          <w:szCs w:val="24"/>
          <w:lang w:eastAsia="lv-LV"/>
        </w:rPr>
        <w:t>galvenie uzdevumi</w:t>
      </w:r>
      <w:r w:rsidRPr="00B60ED2">
        <w:rPr>
          <w:rFonts w:ascii="Times New Roman" w:eastAsia="+mn-ea" w:hAnsi="Times New Roman" w:cs="Times New Roman"/>
          <w:color w:val="000000"/>
          <w:kern w:val="24"/>
          <w:sz w:val="24"/>
          <w:szCs w:val="24"/>
          <w:lang w:eastAsia="lv-LV"/>
        </w:rPr>
        <w:t xml:space="preserve"> </w:t>
      </w:r>
      <w:r w:rsidR="006603A8" w:rsidRPr="00B60ED2">
        <w:rPr>
          <w:rFonts w:ascii="Times New Roman" w:eastAsia="+mn-ea" w:hAnsi="Times New Roman" w:cs="Times New Roman"/>
          <w:color w:val="000000"/>
          <w:kern w:val="24"/>
          <w:sz w:val="24"/>
          <w:szCs w:val="24"/>
          <w:lang w:eastAsia="lv-LV"/>
        </w:rPr>
        <w:t xml:space="preserve">noteikto </w:t>
      </w:r>
      <w:r w:rsidRPr="00B60ED2">
        <w:rPr>
          <w:rFonts w:ascii="Times New Roman" w:eastAsia="+mn-ea" w:hAnsi="Times New Roman" w:cs="Times New Roman"/>
          <w:color w:val="000000"/>
          <w:kern w:val="24"/>
          <w:sz w:val="24"/>
          <w:szCs w:val="24"/>
          <w:lang w:eastAsia="lv-LV"/>
        </w:rPr>
        <w:t xml:space="preserve">mērķu sasniegšanai. </w:t>
      </w:r>
    </w:p>
    <w:p w14:paraId="73D3687B" w14:textId="32C36D2C" w:rsidR="009B5C0D" w:rsidRDefault="00236014" w:rsidP="006603A8">
      <w:pPr>
        <w:spacing w:after="80" w:line="276" w:lineRule="auto"/>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ab/>
      </w:r>
      <w:r w:rsidR="006F3CBE" w:rsidRPr="00B60ED2">
        <w:rPr>
          <w:rFonts w:ascii="Times New Roman" w:eastAsia="+mn-ea" w:hAnsi="Times New Roman" w:cs="Times New Roman"/>
          <w:color w:val="000000"/>
          <w:kern w:val="24"/>
          <w:sz w:val="24"/>
          <w:szCs w:val="24"/>
          <w:lang w:eastAsia="lv-LV"/>
        </w:rPr>
        <w:t xml:space="preserve">Darbs pie </w:t>
      </w:r>
      <w:r w:rsidR="00B80D03" w:rsidRPr="00B60ED2">
        <w:rPr>
          <w:rFonts w:ascii="Times New Roman" w:eastAsia="+mn-ea" w:hAnsi="Times New Roman" w:cs="Times New Roman"/>
          <w:color w:val="000000"/>
          <w:kern w:val="24"/>
          <w:sz w:val="24"/>
          <w:szCs w:val="24"/>
          <w:lang w:eastAsia="lv-LV"/>
        </w:rPr>
        <w:t>Nozares s</w:t>
      </w:r>
      <w:r w:rsidR="006F3CBE" w:rsidRPr="00B60ED2">
        <w:rPr>
          <w:rFonts w:ascii="Times New Roman" w:eastAsia="+mn-ea" w:hAnsi="Times New Roman" w:cs="Times New Roman"/>
          <w:color w:val="000000"/>
          <w:kern w:val="24"/>
          <w:sz w:val="24"/>
          <w:szCs w:val="24"/>
          <w:lang w:eastAsia="lv-LV"/>
        </w:rPr>
        <w:t>tratēģijas tika uzsākts 2021. gada pavasarī. Par tās pamatu kalpo Iekšlietu nozares stratēģijas karte</w:t>
      </w:r>
      <w:r w:rsidR="006F3CBE" w:rsidRPr="00B60ED2">
        <w:rPr>
          <w:rStyle w:val="FootnoteReference"/>
          <w:rFonts w:ascii="Times New Roman" w:eastAsia="+mn-ea" w:hAnsi="Times New Roman" w:cs="Times New Roman"/>
          <w:color w:val="000000"/>
          <w:kern w:val="24"/>
          <w:sz w:val="24"/>
          <w:szCs w:val="24"/>
          <w:lang w:eastAsia="lv-LV"/>
        </w:rPr>
        <w:footnoteReference w:id="1"/>
      </w:r>
      <w:r w:rsidR="006F3CBE" w:rsidRPr="00B60ED2">
        <w:rPr>
          <w:rFonts w:ascii="Times New Roman" w:eastAsia="+mn-ea" w:hAnsi="Times New Roman" w:cs="Times New Roman"/>
          <w:color w:val="000000"/>
          <w:kern w:val="24"/>
          <w:sz w:val="24"/>
          <w:szCs w:val="24"/>
          <w:lang w:eastAsia="lv-LV"/>
        </w:rPr>
        <w:t xml:space="preserve">, kura tika </w:t>
      </w:r>
      <w:r w:rsidRPr="00B60ED2">
        <w:rPr>
          <w:rFonts w:ascii="Times New Roman" w:eastAsia="+mn-ea" w:hAnsi="Times New Roman" w:cs="Times New Roman"/>
          <w:color w:val="000000"/>
          <w:kern w:val="24"/>
          <w:sz w:val="24"/>
          <w:szCs w:val="24"/>
          <w:lang w:eastAsia="lv-LV"/>
        </w:rPr>
        <w:t xml:space="preserve">izstrādāta, pamatojoties uz </w:t>
      </w:r>
      <w:r w:rsidR="006603A8" w:rsidRPr="00B60ED2">
        <w:rPr>
          <w:rFonts w:ascii="Times New Roman" w:eastAsia="+mn-ea" w:hAnsi="Times New Roman" w:cs="Times New Roman"/>
          <w:color w:val="000000"/>
          <w:kern w:val="24"/>
          <w:sz w:val="24"/>
          <w:szCs w:val="24"/>
          <w:lang w:eastAsia="lv-LV"/>
        </w:rPr>
        <w:t>iekšlietu nozares</w:t>
      </w:r>
      <w:r w:rsidRPr="00B60ED2">
        <w:rPr>
          <w:rFonts w:ascii="Times New Roman" w:eastAsia="+mn-ea" w:hAnsi="Times New Roman" w:cs="Times New Roman"/>
          <w:color w:val="000000"/>
          <w:kern w:val="24"/>
          <w:sz w:val="24"/>
          <w:szCs w:val="24"/>
          <w:lang w:eastAsia="lv-LV"/>
        </w:rPr>
        <w:t xml:space="preserve"> ārējā</w:t>
      </w:r>
      <w:r w:rsidR="00AE6D76" w:rsidRPr="00B60ED2">
        <w:rPr>
          <w:rFonts w:ascii="Times New Roman" w:eastAsia="+mn-ea" w:hAnsi="Times New Roman" w:cs="Times New Roman"/>
          <w:color w:val="000000"/>
          <w:kern w:val="24"/>
          <w:sz w:val="24"/>
          <w:szCs w:val="24"/>
          <w:lang w:eastAsia="lv-LV"/>
        </w:rPr>
        <w:t>s un iekšējās vides analīzi. Tā</w:t>
      </w:r>
      <w:r w:rsidRPr="00B60ED2">
        <w:rPr>
          <w:rFonts w:ascii="Times New Roman" w:eastAsia="+mn-ea" w:hAnsi="Times New Roman" w:cs="Times New Roman"/>
          <w:color w:val="000000"/>
          <w:kern w:val="24"/>
          <w:sz w:val="24"/>
          <w:szCs w:val="24"/>
          <w:lang w:eastAsia="lv-LV"/>
        </w:rPr>
        <w:t xml:space="preserve"> ietver </w:t>
      </w:r>
      <w:r w:rsidR="00513912" w:rsidRPr="00B60ED2">
        <w:rPr>
          <w:rFonts w:ascii="Times New Roman" w:eastAsia="+mn-ea" w:hAnsi="Times New Roman" w:cs="Times New Roman"/>
          <w:color w:val="000000"/>
          <w:kern w:val="24"/>
          <w:sz w:val="24"/>
          <w:szCs w:val="24"/>
          <w:lang w:eastAsia="lv-LV"/>
        </w:rPr>
        <w:t xml:space="preserve">politisko, sociālo, ekonomisko, tehnoloģisko u.c. </w:t>
      </w:r>
      <w:r w:rsidR="00AE6D76" w:rsidRPr="00B60ED2">
        <w:rPr>
          <w:rFonts w:ascii="Times New Roman" w:eastAsia="+mn-ea" w:hAnsi="Times New Roman" w:cs="Times New Roman"/>
          <w:color w:val="000000"/>
          <w:kern w:val="24"/>
          <w:sz w:val="24"/>
          <w:szCs w:val="24"/>
          <w:lang w:eastAsia="lv-LV"/>
        </w:rPr>
        <w:t>faktoru izpēti</w:t>
      </w:r>
      <w:r w:rsidR="00AE6D76" w:rsidRPr="00B60ED2">
        <w:rPr>
          <w:rStyle w:val="FootnoteReference"/>
          <w:rFonts w:ascii="Times New Roman" w:eastAsia="+mn-ea" w:hAnsi="Times New Roman" w:cs="Times New Roman"/>
          <w:color w:val="000000"/>
          <w:kern w:val="24"/>
          <w:sz w:val="24"/>
          <w:szCs w:val="24"/>
          <w:lang w:eastAsia="lv-LV"/>
        </w:rPr>
        <w:footnoteReference w:id="2"/>
      </w:r>
      <w:r w:rsidR="00AE6D76" w:rsidRPr="00B60ED2">
        <w:rPr>
          <w:rFonts w:ascii="Times New Roman" w:eastAsia="+mn-ea" w:hAnsi="Times New Roman" w:cs="Times New Roman"/>
          <w:color w:val="000000"/>
          <w:kern w:val="24"/>
          <w:sz w:val="24"/>
          <w:szCs w:val="24"/>
          <w:lang w:eastAsia="lv-LV"/>
        </w:rPr>
        <w:t xml:space="preserve">, </w:t>
      </w:r>
      <w:r w:rsidRPr="00B60ED2">
        <w:rPr>
          <w:rFonts w:ascii="Times New Roman" w:eastAsia="+mn-ea" w:hAnsi="Times New Roman" w:cs="Times New Roman"/>
          <w:color w:val="000000"/>
          <w:kern w:val="24"/>
          <w:sz w:val="24"/>
          <w:szCs w:val="24"/>
          <w:lang w:eastAsia="lv-LV"/>
        </w:rPr>
        <w:t xml:space="preserve">saistošo politikas plānošanas dokumentu </w:t>
      </w:r>
      <w:r w:rsidR="00AE6D76" w:rsidRPr="00B60ED2">
        <w:rPr>
          <w:rFonts w:ascii="Times New Roman" w:eastAsia="+mn-ea" w:hAnsi="Times New Roman" w:cs="Times New Roman"/>
          <w:color w:val="000000"/>
          <w:kern w:val="24"/>
          <w:sz w:val="24"/>
          <w:szCs w:val="24"/>
          <w:lang w:eastAsia="lv-LV"/>
        </w:rPr>
        <w:t>analīzi</w:t>
      </w:r>
      <w:r w:rsidRPr="00B60ED2">
        <w:rPr>
          <w:rFonts w:ascii="Times New Roman" w:eastAsia="+mn-ea" w:hAnsi="Times New Roman" w:cs="Times New Roman"/>
          <w:color w:val="000000"/>
          <w:kern w:val="24"/>
          <w:sz w:val="24"/>
          <w:szCs w:val="24"/>
          <w:lang w:eastAsia="lv-LV"/>
        </w:rPr>
        <w:t>, nozares un iestāžu d</w:t>
      </w:r>
      <w:r w:rsidR="006F3CBE" w:rsidRPr="00B60ED2">
        <w:rPr>
          <w:rFonts w:ascii="Times New Roman" w:eastAsia="+mn-ea" w:hAnsi="Times New Roman" w:cs="Times New Roman"/>
          <w:color w:val="000000"/>
          <w:kern w:val="24"/>
          <w:sz w:val="24"/>
          <w:szCs w:val="24"/>
          <w:lang w:eastAsia="lv-LV"/>
        </w:rPr>
        <w:t>arbību raksturojošo datu apkopošanu un izvērtēšanu</w:t>
      </w:r>
      <w:r w:rsidRPr="00B60ED2">
        <w:rPr>
          <w:rFonts w:ascii="Times New Roman" w:eastAsia="+mn-ea" w:hAnsi="Times New Roman" w:cs="Times New Roman"/>
          <w:color w:val="000000"/>
          <w:kern w:val="24"/>
          <w:sz w:val="24"/>
          <w:szCs w:val="24"/>
          <w:lang w:eastAsia="lv-LV"/>
        </w:rPr>
        <w:t>, sabiedrības un resora darbi</w:t>
      </w:r>
      <w:r w:rsidR="00AE6D76" w:rsidRPr="00B60ED2">
        <w:rPr>
          <w:rFonts w:ascii="Times New Roman" w:eastAsia="+mn-ea" w:hAnsi="Times New Roman" w:cs="Times New Roman"/>
          <w:color w:val="000000"/>
          <w:kern w:val="24"/>
          <w:sz w:val="24"/>
          <w:szCs w:val="24"/>
          <w:lang w:eastAsia="lv-LV"/>
        </w:rPr>
        <w:t>nieku aptaujas, konsultācijas ar</w:t>
      </w:r>
      <w:r w:rsidRPr="00B60ED2">
        <w:rPr>
          <w:rFonts w:ascii="Times New Roman" w:eastAsia="+mn-ea" w:hAnsi="Times New Roman" w:cs="Times New Roman"/>
          <w:color w:val="000000"/>
          <w:kern w:val="24"/>
          <w:sz w:val="24"/>
          <w:szCs w:val="24"/>
          <w:lang w:eastAsia="lv-LV"/>
        </w:rPr>
        <w:t xml:space="preserve"> </w:t>
      </w:r>
      <w:r w:rsidR="00AE6D76" w:rsidRPr="00B60ED2">
        <w:rPr>
          <w:rFonts w:ascii="Times New Roman" w:eastAsia="+mn-ea" w:hAnsi="Times New Roman" w:cs="Times New Roman"/>
          <w:color w:val="000000"/>
          <w:kern w:val="24"/>
          <w:sz w:val="24"/>
          <w:szCs w:val="24"/>
          <w:lang w:eastAsia="lv-LV"/>
        </w:rPr>
        <w:t xml:space="preserve">politikas </w:t>
      </w:r>
      <w:r w:rsidRPr="00B60ED2">
        <w:rPr>
          <w:rFonts w:ascii="Times New Roman" w:eastAsia="+mn-ea" w:hAnsi="Times New Roman" w:cs="Times New Roman"/>
          <w:color w:val="000000"/>
          <w:kern w:val="24"/>
          <w:sz w:val="24"/>
          <w:szCs w:val="24"/>
          <w:lang w:eastAsia="lv-LV"/>
        </w:rPr>
        <w:t xml:space="preserve">jomu ekspertiem un ārējās un iekšējās vides faktoru ietekmes analīzi uz nozari un </w:t>
      </w:r>
      <w:r w:rsidR="00945BE8" w:rsidRPr="00B60ED2">
        <w:rPr>
          <w:rFonts w:ascii="Times New Roman" w:eastAsia="+mn-ea" w:hAnsi="Times New Roman" w:cs="Times New Roman"/>
          <w:color w:val="000000"/>
          <w:kern w:val="24"/>
          <w:sz w:val="24"/>
          <w:szCs w:val="24"/>
          <w:lang w:eastAsia="lv-LV"/>
        </w:rPr>
        <w:t>iestādēm</w:t>
      </w:r>
      <w:r w:rsidRPr="00B60ED2">
        <w:rPr>
          <w:rFonts w:ascii="Times New Roman" w:eastAsia="+mn-ea" w:hAnsi="Times New Roman" w:cs="Times New Roman"/>
          <w:color w:val="000000"/>
          <w:kern w:val="24"/>
          <w:sz w:val="24"/>
          <w:szCs w:val="24"/>
          <w:lang w:eastAsia="lv-LV"/>
        </w:rPr>
        <w:t>.</w:t>
      </w:r>
      <w:r w:rsidR="006F3CBE" w:rsidRPr="00B60ED2">
        <w:rPr>
          <w:rFonts w:ascii="Times New Roman" w:eastAsia="+mn-ea" w:hAnsi="Times New Roman" w:cs="Times New Roman"/>
          <w:color w:val="000000"/>
          <w:kern w:val="24"/>
          <w:sz w:val="24"/>
          <w:szCs w:val="24"/>
          <w:lang w:eastAsia="lv-LV"/>
        </w:rPr>
        <w:t xml:space="preserve"> </w:t>
      </w:r>
      <w:r w:rsidR="009B5C0D" w:rsidRPr="00B60ED2">
        <w:rPr>
          <w:rFonts w:ascii="Times New Roman" w:eastAsia="+mn-ea" w:hAnsi="Times New Roman" w:cs="Times New Roman"/>
          <w:color w:val="000000"/>
          <w:kern w:val="24"/>
          <w:sz w:val="24"/>
          <w:szCs w:val="24"/>
          <w:lang w:eastAsia="lv-LV"/>
        </w:rPr>
        <w:t>Nozares stratēģija tika apspriesta un saskaņota Iek</w:t>
      </w:r>
      <w:r w:rsidR="00975639" w:rsidRPr="00B60ED2">
        <w:rPr>
          <w:rFonts w:ascii="Times New Roman" w:eastAsia="+mn-ea" w:hAnsi="Times New Roman" w:cs="Times New Roman"/>
          <w:color w:val="000000"/>
          <w:kern w:val="24"/>
          <w:sz w:val="24"/>
          <w:szCs w:val="24"/>
          <w:lang w:eastAsia="lv-LV"/>
        </w:rPr>
        <w:t>šlietu nozares attīstības padomes sēdē</w:t>
      </w:r>
      <w:r w:rsidR="009B5C0D" w:rsidRPr="00B60ED2">
        <w:rPr>
          <w:rFonts w:ascii="Times New Roman" w:eastAsia="+mn-ea" w:hAnsi="Times New Roman" w:cs="Times New Roman"/>
          <w:color w:val="000000"/>
          <w:kern w:val="24"/>
          <w:sz w:val="24"/>
          <w:szCs w:val="24"/>
          <w:lang w:eastAsia="lv-LV"/>
        </w:rPr>
        <w:t xml:space="preserve"> 2022. gada 25. martā. </w:t>
      </w:r>
    </w:p>
    <w:p w14:paraId="0E400A74" w14:textId="448408E6" w:rsidR="00754E5E" w:rsidRDefault="00754E5E" w:rsidP="00754E5E">
      <w:pPr>
        <w:spacing w:after="80" w:line="276" w:lineRule="auto"/>
        <w:ind w:firstLine="619"/>
        <w:jc w:val="both"/>
        <w:rPr>
          <w:rFonts w:ascii="Times New Roman" w:eastAsia="+mn-ea" w:hAnsi="Times New Roman" w:cs="Times New Roman"/>
          <w:color w:val="000000"/>
          <w:kern w:val="24"/>
          <w:sz w:val="24"/>
          <w:szCs w:val="24"/>
          <w:lang w:eastAsia="lv-LV"/>
        </w:rPr>
      </w:pPr>
      <w:r>
        <w:rPr>
          <w:rFonts w:ascii="Times New Roman" w:eastAsia="+mn-ea" w:hAnsi="Times New Roman" w:cs="Times New Roman"/>
          <w:color w:val="000000"/>
          <w:kern w:val="24"/>
          <w:sz w:val="24"/>
          <w:szCs w:val="24"/>
          <w:lang w:eastAsia="lv-LV"/>
        </w:rPr>
        <w:t xml:space="preserve">Nozares stratēģijas vīzīja: Latvija ir droša un taisnīga valsts. </w:t>
      </w:r>
    </w:p>
    <w:p w14:paraId="18563F64" w14:textId="044988C0" w:rsidR="00754E5E" w:rsidRDefault="00754E5E" w:rsidP="00754E5E">
      <w:pPr>
        <w:spacing w:after="80" w:line="276" w:lineRule="auto"/>
        <w:ind w:firstLine="619"/>
        <w:jc w:val="both"/>
        <w:rPr>
          <w:rFonts w:ascii="Times New Roman" w:eastAsia="+mn-ea" w:hAnsi="Times New Roman" w:cs="Times New Roman"/>
          <w:color w:val="000000"/>
          <w:kern w:val="24"/>
          <w:sz w:val="24"/>
          <w:szCs w:val="24"/>
          <w:lang w:eastAsia="lv-LV"/>
        </w:rPr>
      </w:pPr>
      <w:r>
        <w:rPr>
          <w:rFonts w:ascii="Times New Roman" w:eastAsia="+mn-ea" w:hAnsi="Times New Roman" w:cs="Times New Roman"/>
          <w:color w:val="000000"/>
          <w:kern w:val="24"/>
          <w:sz w:val="24"/>
          <w:szCs w:val="24"/>
          <w:lang w:eastAsia="lv-LV"/>
        </w:rPr>
        <w:t>Nozares stratēģijas misija: mēs strādājam sabiedrības un valsts drošībai.</w:t>
      </w:r>
    </w:p>
    <w:p w14:paraId="4EF1F0B6" w14:textId="77777777" w:rsidR="003835FD" w:rsidRDefault="003835FD" w:rsidP="00754E5E">
      <w:pPr>
        <w:spacing w:after="80" w:line="276" w:lineRule="auto"/>
        <w:ind w:firstLine="619"/>
        <w:jc w:val="both"/>
        <w:rPr>
          <w:rFonts w:ascii="Times New Roman" w:eastAsia="+mn-ea" w:hAnsi="Times New Roman" w:cs="Times New Roman"/>
          <w:color w:val="000000"/>
          <w:kern w:val="24"/>
          <w:sz w:val="24"/>
          <w:szCs w:val="24"/>
          <w:lang w:eastAsia="lv-LV"/>
        </w:rPr>
      </w:pPr>
      <w:r>
        <w:rPr>
          <w:rFonts w:ascii="Times New Roman" w:eastAsia="+mn-ea" w:hAnsi="Times New Roman" w:cs="Times New Roman"/>
          <w:color w:val="000000"/>
          <w:kern w:val="24"/>
          <w:sz w:val="24"/>
          <w:szCs w:val="24"/>
          <w:lang w:eastAsia="lv-LV"/>
        </w:rPr>
        <w:t xml:space="preserve">Nozares stratēģijas vērtības: </w:t>
      </w:r>
    </w:p>
    <w:p w14:paraId="4E6AA97E" w14:textId="77777777" w:rsidR="003835FD" w:rsidRDefault="003835FD" w:rsidP="003835FD">
      <w:pPr>
        <w:pStyle w:val="ListParagraph"/>
        <w:numPr>
          <w:ilvl w:val="0"/>
          <w:numId w:val="57"/>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 xml:space="preserve">taisnīgums, </w:t>
      </w:r>
    </w:p>
    <w:p w14:paraId="13DCAE1B" w14:textId="77777777" w:rsidR="003835FD" w:rsidRDefault="003835FD" w:rsidP="003835FD">
      <w:pPr>
        <w:pStyle w:val="ListParagraph"/>
        <w:numPr>
          <w:ilvl w:val="0"/>
          <w:numId w:val="57"/>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 xml:space="preserve">sadarbība, </w:t>
      </w:r>
    </w:p>
    <w:p w14:paraId="444A374B" w14:textId="77777777" w:rsidR="003835FD" w:rsidRDefault="003835FD" w:rsidP="003835FD">
      <w:pPr>
        <w:pStyle w:val="ListParagraph"/>
        <w:numPr>
          <w:ilvl w:val="0"/>
          <w:numId w:val="57"/>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 xml:space="preserve">profesionalitāte, </w:t>
      </w:r>
    </w:p>
    <w:p w14:paraId="78B5E0AD" w14:textId="77777777" w:rsidR="003835FD" w:rsidRDefault="003835FD" w:rsidP="003835FD">
      <w:pPr>
        <w:pStyle w:val="ListParagraph"/>
        <w:numPr>
          <w:ilvl w:val="0"/>
          <w:numId w:val="57"/>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 xml:space="preserve">godprātība, </w:t>
      </w:r>
    </w:p>
    <w:p w14:paraId="140FD730" w14:textId="6E381621" w:rsidR="00754E5E" w:rsidRPr="0022495A" w:rsidRDefault="003835FD" w:rsidP="0022495A">
      <w:pPr>
        <w:pStyle w:val="ListParagraph"/>
        <w:numPr>
          <w:ilvl w:val="0"/>
          <w:numId w:val="57"/>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uzticamība.</w:t>
      </w:r>
    </w:p>
    <w:p w14:paraId="4C36569C" w14:textId="77777777" w:rsidR="005273DC" w:rsidRPr="00B60ED2" w:rsidRDefault="00236014"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ab/>
      </w:r>
      <w:r w:rsidR="00B80D03" w:rsidRPr="00B60ED2">
        <w:rPr>
          <w:rFonts w:ascii="Times New Roman" w:eastAsia="+mn-ea" w:hAnsi="Times New Roman" w:cs="Times New Roman"/>
          <w:color w:val="000000"/>
          <w:kern w:val="24"/>
          <w:sz w:val="24"/>
          <w:szCs w:val="24"/>
          <w:lang w:eastAsia="lv-LV"/>
        </w:rPr>
        <w:t>Nozares s</w:t>
      </w:r>
      <w:r w:rsidRPr="00B60ED2">
        <w:rPr>
          <w:rFonts w:ascii="Times New Roman" w:eastAsia="+mn-ea" w:hAnsi="Times New Roman" w:cs="Times New Roman"/>
          <w:color w:val="000000"/>
          <w:kern w:val="24"/>
          <w:sz w:val="24"/>
          <w:szCs w:val="24"/>
          <w:lang w:eastAsia="lv-LV"/>
        </w:rPr>
        <w:t>tratēģija – tai skaitā vīzija, misija un vērtības - ir saistoša visai iekšlietu nozare</w:t>
      </w:r>
      <w:r w:rsidR="00B80D03" w:rsidRPr="00B60ED2">
        <w:rPr>
          <w:rFonts w:ascii="Times New Roman" w:eastAsia="+mn-ea" w:hAnsi="Times New Roman" w:cs="Times New Roman"/>
          <w:color w:val="000000"/>
          <w:kern w:val="24"/>
          <w:sz w:val="24"/>
          <w:szCs w:val="24"/>
          <w:lang w:eastAsia="lv-LV"/>
        </w:rPr>
        <w:t xml:space="preserve">i. </w:t>
      </w:r>
      <w:r w:rsidR="005273DC" w:rsidRPr="00B60ED2">
        <w:rPr>
          <w:rFonts w:ascii="Times New Roman" w:eastAsia="+mn-ea" w:hAnsi="Times New Roman" w:cs="Times New Roman"/>
          <w:color w:val="000000"/>
          <w:kern w:val="24"/>
          <w:sz w:val="24"/>
          <w:szCs w:val="24"/>
          <w:lang w:eastAsia="lv-LV"/>
        </w:rPr>
        <w:t xml:space="preserve">Ministrija un tās padotībā esošās iestādes savas darbības stratēģijas 2023. – 2027. gadam izstrādā, nodrošinot kaskādi no Nozares stratēģijas. </w:t>
      </w:r>
    </w:p>
    <w:p w14:paraId="6FF1019E" w14:textId="02BBD5EF" w:rsidR="003719D2" w:rsidRPr="00B60ED2" w:rsidRDefault="008A2EDF"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Ministrija un tās</w:t>
      </w:r>
      <w:r w:rsidR="00B80D03" w:rsidRPr="00B60ED2">
        <w:rPr>
          <w:rFonts w:ascii="Times New Roman" w:eastAsia="+mn-ea" w:hAnsi="Times New Roman" w:cs="Times New Roman"/>
          <w:color w:val="000000"/>
          <w:kern w:val="24"/>
          <w:sz w:val="24"/>
          <w:szCs w:val="24"/>
          <w:lang w:eastAsia="lv-LV"/>
        </w:rPr>
        <w:t xml:space="preserve"> padotībā esošās</w:t>
      </w:r>
      <w:r w:rsidR="00236014" w:rsidRPr="00B60ED2">
        <w:rPr>
          <w:rFonts w:ascii="Times New Roman" w:eastAsia="+mn-ea" w:hAnsi="Times New Roman" w:cs="Times New Roman"/>
          <w:color w:val="000000"/>
          <w:kern w:val="24"/>
          <w:sz w:val="24"/>
          <w:szCs w:val="24"/>
          <w:lang w:eastAsia="lv-LV"/>
        </w:rPr>
        <w:t xml:space="preserve"> iestādes veido savas darbības stratēģijas patstāvīgi</w:t>
      </w:r>
      <w:r w:rsidRPr="00B60ED2">
        <w:rPr>
          <w:rFonts w:ascii="Times New Roman" w:eastAsia="+mn-ea" w:hAnsi="Times New Roman" w:cs="Times New Roman"/>
          <w:color w:val="000000"/>
          <w:kern w:val="24"/>
          <w:sz w:val="24"/>
          <w:szCs w:val="24"/>
          <w:lang w:eastAsia="lv-LV"/>
        </w:rPr>
        <w:t xml:space="preserve">, vienlaikus nodrošinot saskaņotību ar Nozares stratēģiju. </w:t>
      </w:r>
      <w:r w:rsidR="000E744F" w:rsidRPr="00B60ED2">
        <w:rPr>
          <w:rFonts w:ascii="Times New Roman" w:eastAsia="+mn-ea" w:hAnsi="Times New Roman" w:cs="Times New Roman"/>
          <w:color w:val="000000"/>
          <w:kern w:val="24"/>
          <w:sz w:val="24"/>
          <w:szCs w:val="24"/>
          <w:lang w:eastAsia="lv-LV"/>
        </w:rPr>
        <w:t>Kapitālsabiedrība, kurā Ministrija ir kapitālā daļu turētāja, plāno savu stratēģisko redzējumu saskaņā ar Nozares stratēģiju.</w:t>
      </w:r>
    </w:p>
    <w:p w14:paraId="3715D2C6" w14:textId="0F1B0C3E" w:rsidR="005273DC" w:rsidRPr="00B60ED2" w:rsidRDefault="003719D2"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Lai nodrošinātu Eiropas Komisijas Strukturālo reformu atbalsta programmas projekta “Iekšlietu nozares iestāžu efektivitātes paaugstināšana” pir</w:t>
      </w:r>
      <w:r w:rsidR="006603A8" w:rsidRPr="00B60ED2">
        <w:rPr>
          <w:rFonts w:ascii="Times New Roman" w:eastAsia="+mn-ea" w:hAnsi="Times New Roman" w:cs="Times New Roman"/>
          <w:color w:val="000000"/>
          <w:kern w:val="24"/>
          <w:sz w:val="24"/>
          <w:szCs w:val="24"/>
          <w:lang w:eastAsia="lv-LV"/>
        </w:rPr>
        <w:t>mā un trešā posma rekomendāciju ieviešanu</w:t>
      </w:r>
      <w:r w:rsidRPr="00B60ED2">
        <w:rPr>
          <w:rFonts w:ascii="Times New Roman" w:eastAsia="+mn-ea" w:hAnsi="Times New Roman" w:cs="Times New Roman"/>
          <w:color w:val="000000"/>
          <w:kern w:val="24"/>
          <w:sz w:val="24"/>
          <w:szCs w:val="24"/>
          <w:lang w:eastAsia="lv-LV"/>
        </w:rPr>
        <w:t>, Ministrijas un tās padotībā esošo iestāžu darbības stratēģijas izstrādājamas, izmantojot līdzsvarotās vadības kartes metodi</w:t>
      </w:r>
      <w:r w:rsidR="0061401B" w:rsidRPr="00B60ED2">
        <w:rPr>
          <w:rStyle w:val="FootnoteReference"/>
          <w:rFonts w:ascii="Times New Roman" w:eastAsia="+mn-ea" w:hAnsi="Times New Roman" w:cs="Times New Roman"/>
          <w:color w:val="000000"/>
          <w:kern w:val="24"/>
          <w:sz w:val="24"/>
          <w:szCs w:val="24"/>
          <w:lang w:eastAsia="lv-LV"/>
        </w:rPr>
        <w:footnoteReference w:id="3"/>
      </w:r>
      <w:r w:rsidRPr="00B60ED2">
        <w:rPr>
          <w:rFonts w:ascii="Times New Roman" w:eastAsia="+mn-ea" w:hAnsi="Times New Roman" w:cs="Times New Roman"/>
          <w:color w:val="000000"/>
          <w:kern w:val="24"/>
          <w:sz w:val="24"/>
          <w:szCs w:val="24"/>
          <w:lang w:eastAsia="lv-LV"/>
        </w:rPr>
        <w:t>.</w:t>
      </w:r>
    </w:p>
    <w:p w14:paraId="5FB88D2F" w14:textId="00201DA7" w:rsidR="00B80D03" w:rsidRPr="00B60ED2" w:rsidRDefault="005273DC"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 xml:space="preserve">Papildus jau minētajam Ministrijai un tās padotībā esošajām iestādēm savu darbības stratēģiju izstrādes procesā jāņem vērā Ministru kabineta 2022. gada 1. februāra instrukcijā </w:t>
      </w:r>
      <w:r w:rsidRPr="00B60ED2">
        <w:rPr>
          <w:rFonts w:ascii="Times New Roman" w:eastAsia="+mn-ea" w:hAnsi="Times New Roman" w:cs="Times New Roman"/>
          <w:color w:val="000000"/>
          <w:kern w:val="24"/>
          <w:sz w:val="24"/>
          <w:szCs w:val="24"/>
          <w:lang w:eastAsia="lv-LV"/>
        </w:rPr>
        <w:lastRenderedPageBreak/>
        <w:t>Nr. 1 "Kārtība, kādā izstrādā un aktualizē institūcijas darbības stratēģiju un novērtē tās ieviešanu"</w:t>
      </w:r>
      <w:r w:rsidR="006603A8" w:rsidRPr="00B60ED2">
        <w:rPr>
          <w:rFonts w:ascii="Times New Roman" w:eastAsia="+mn-ea" w:hAnsi="Times New Roman" w:cs="Times New Roman"/>
          <w:color w:val="000000"/>
          <w:kern w:val="24"/>
          <w:sz w:val="24"/>
          <w:szCs w:val="24"/>
          <w:lang w:eastAsia="lv-LV"/>
        </w:rPr>
        <w:t xml:space="preserve"> noteiktais</w:t>
      </w:r>
      <w:r w:rsidR="003719D2" w:rsidRPr="00B60ED2">
        <w:rPr>
          <w:rFonts w:ascii="Times New Roman" w:eastAsia="+mn-ea" w:hAnsi="Times New Roman" w:cs="Times New Roman"/>
          <w:color w:val="000000"/>
          <w:kern w:val="24"/>
          <w:sz w:val="24"/>
          <w:szCs w:val="24"/>
          <w:lang w:eastAsia="lv-LV"/>
        </w:rPr>
        <w:t>.</w:t>
      </w:r>
    </w:p>
    <w:p w14:paraId="3A614B04" w14:textId="1F883DC2" w:rsidR="003719D2" w:rsidRPr="00B60ED2" w:rsidRDefault="000E744F"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Nozares stratēģija ir strukturēta atbilstoši piecām iekšlietu nozares pārziņā esošajām politikas jomām, kā arī nosakot divus prioritāros horizontālos mērķus, kuri atbilstoši kompetencei ir saistoši gan Ministrijai, gan tās padotībā esošajām iestādēm.</w:t>
      </w:r>
      <w:r w:rsidR="00FF56B9" w:rsidRPr="00B60ED2">
        <w:rPr>
          <w:rFonts w:ascii="Times New Roman" w:eastAsia="+mn-ea" w:hAnsi="Times New Roman" w:cs="Times New Roman"/>
          <w:color w:val="000000"/>
          <w:kern w:val="24"/>
          <w:sz w:val="24"/>
          <w:szCs w:val="24"/>
          <w:lang w:eastAsia="lv-LV"/>
        </w:rPr>
        <w:t xml:space="preserve"> Minētās politikas jomas ir:</w:t>
      </w:r>
    </w:p>
    <w:p w14:paraId="4F6DF0DF" w14:textId="77777777" w:rsidR="00FF56B9" w:rsidRPr="00B60ED2" w:rsidRDefault="00FF56B9" w:rsidP="007312FB">
      <w:pPr>
        <w:numPr>
          <w:ilvl w:val="0"/>
          <w:numId w:val="35"/>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Sabiedriskā kārtība un drošība;</w:t>
      </w:r>
    </w:p>
    <w:p w14:paraId="47BE6EDB" w14:textId="77777777" w:rsidR="00FF56B9" w:rsidRPr="00B60ED2" w:rsidRDefault="00FF56B9" w:rsidP="007312FB">
      <w:pPr>
        <w:numPr>
          <w:ilvl w:val="0"/>
          <w:numId w:val="35"/>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Valsts robežas drošība;</w:t>
      </w:r>
    </w:p>
    <w:p w14:paraId="6FAFAB36" w14:textId="77777777" w:rsidR="00FF56B9" w:rsidRPr="00B60ED2" w:rsidRDefault="00FF56B9" w:rsidP="007312FB">
      <w:pPr>
        <w:numPr>
          <w:ilvl w:val="0"/>
          <w:numId w:val="35"/>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Noziedzības novēršana un apkarošana;</w:t>
      </w:r>
    </w:p>
    <w:p w14:paraId="18EAA169" w14:textId="247ED249" w:rsidR="006603A8" w:rsidRPr="00B60ED2" w:rsidRDefault="006603A8" w:rsidP="007312FB">
      <w:pPr>
        <w:numPr>
          <w:ilvl w:val="0"/>
          <w:numId w:val="35"/>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Civilā aizsardzība un katastrofu pārvaldīšana, ugunsdrošība, ugunsdzēsība, glābšana un vienotais ārkārtas pa</w:t>
      </w:r>
      <w:bookmarkStart w:id="1" w:name="_Toc94545572"/>
      <w:r w:rsidR="00513912" w:rsidRPr="00B60ED2">
        <w:rPr>
          <w:rFonts w:ascii="Times New Roman" w:eastAsia="+mn-ea" w:hAnsi="Times New Roman" w:cs="Times New Roman"/>
          <w:color w:val="000000"/>
          <w:kern w:val="24"/>
          <w:sz w:val="24"/>
          <w:szCs w:val="24"/>
          <w:lang w:eastAsia="lv-LV"/>
        </w:rPr>
        <w:t>līdzības izsaukuma numurs «112»;</w:t>
      </w:r>
    </w:p>
    <w:p w14:paraId="5BC05EFD" w14:textId="305443BF" w:rsidR="006603A8" w:rsidRPr="00B60ED2" w:rsidRDefault="006603A8" w:rsidP="007312FB">
      <w:pPr>
        <w:numPr>
          <w:ilvl w:val="0"/>
          <w:numId w:val="35"/>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Pilsonība, migrācija, iedzīvotāju uzskaite un personu apliecinoši dokumenti</w:t>
      </w:r>
      <w:r w:rsidR="00513912" w:rsidRPr="00B60ED2">
        <w:rPr>
          <w:rFonts w:ascii="Times New Roman" w:eastAsia="+mn-ea" w:hAnsi="Times New Roman" w:cs="Times New Roman"/>
          <w:color w:val="000000"/>
          <w:kern w:val="24"/>
          <w:sz w:val="24"/>
          <w:szCs w:val="24"/>
          <w:lang w:eastAsia="lv-LV"/>
        </w:rPr>
        <w:t>.</w:t>
      </w:r>
    </w:p>
    <w:p w14:paraId="2FBE69A3" w14:textId="7A70FDAA" w:rsidR="00FF56B9" w:rsidRPr="00B60ED2" w:rsidRDefault="00FF56B9" w:rsidP="006603A8">
      <w:pPr>
        <w:spacing w:before="240" w:after="0"/>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Papildus noteiktie iekšlietu nozares prioritārie horizontālie mērķi ir:</w:t>
      </w:r>
    </w:p>
    <w:p w14:paraId="65F87477" w14:textId="4D680902" w:rsidR="00FF56B9" w:rsidRPr="00B60ED2" w:rsidRDefault="00FF56B9" w:rsidP="007312FB">
      <w:pPr>
        <w:pStyle w:val="ListParagraph"/>
        <w:numPr>
          <w:ilvl w:val="0"/>
          <w:numId w:val="34"/>
        </w:numPr>
        <w:spacing w:before="120" w:after="0"/>
        <w:ind w:left="709" w:hanging="357"/>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Profesionāli, motivēti un uz attīstību orientēti nodarbinātie;</w:t>
      </w:r>
    </w:p>
    <w:p w14:paraId="618ECB94" w14:textId="2002F2B6" w:rsidR="00724D9C" w:rsidRPr="00B60ED2" w:rsidRDefault="00FF56B9" w:rsidP="007312FB">
      <w:pPr>
        <w:pStyle w:val="ListParagraph"/>
        <w:numPr>
          <w:ilvl w:val="0"/>
          <w:numId w:val="34"/>
        </w:numPr>
        <w:spacing w:after="0"/>
        <w:ind w:left="709" w:hanging="357"/>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Kvalitatīva darba vide.</w:t>
      </w:r>
    </w:p>
    <w:p w14:paraId="047E07D5" w14:textId="77777777" w:rsidR="00AE6D76" w:rsidRPr="00B60ED2" w:rsidRDefault="00AE6D76">
      <w:pP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color w:val="767171" w:themeColor="background2" w:themeShade="80"/>
          <w:kern w:val="24"/>
          <w:lang w:eastAsia="lv-LV"/>
        </w:rPr>
        <w:br w:type="page"/>
      </w:r>
    </w:p>
    <w:p w14:paraId="337BB3D2" w14:textId="22752E4D" w:rsidR="00A87463" w:rsidRPr="00B60ED2" w:rsidRDefault="00A87463" w:rsidP="006603A8">
      <w:pPr>
        <w:pStyle w:val="Heading1"/>
        <w:spacing w:before="120" w:after="240"/>
        <w:jc w:val="center"/>
        <w:rPr>
          <w:rFonts w:ascii="Times New Roman" w:eastAsia="+mn-ea" w:hAnsi="Times New Roman" w:cs="Times New Roman"/>
          <w:b/>
          <w:bCs/>
          <w:color w:val="767171" w:themeColor="background2" w:themeShade="80"/>
          <w:kern w:val="24"/>
          <w:lang w:eastAsia="lv-LV"/>
        </w:rPr>
      </w:pPr>
      <w:r w:rsidRPr="00B60ED2">
        <w:rPr>
          <w:rFonts w:ascii="Times New Roman" w:eastAsia="+mn-ea" w:hAnsi="Times New Roman" w:cs="Times New Roman"/>
          <w:b/>
          <w:bCs/>
          <w:color w:val="767171" w:themeColor="background2" w:themeShade="80"/>
          <w:kern w:val="24"/>
          <w:lang w:eastAsia="lv-LV"/>
        </w:rPr>
        <w:lastRenderedPageBreak/>
        <w:t>Nozares ārējās un iekšējās vides raksturojums</w:t>
      </w:r>
      <w:bookmarkEnd w:id="1"/>
    </w:p>
    <w:p w14:paraId="29A26A68" w14:textId="77777777" w:rsidR="00E65A0E" w:rsidRPr="00B60ED2" w:rsidRDefault="00566F01" w:rsidP="006603A8">
      <w:pPr>
        <w:spacing w:after="80"/>
        <w:ind w:firstLine="720"/>
        <w:jc w:val="both"/>
        <w:rPr>
          <w:rFonts w:ascii="Times New Roman" w:eastAsia="+mn-ea" w:hAnsi="Times New Roman" w:cs="Times New Roman"/>
          <w:bCs/>
          <w:color w:val="000000"/>
          <w:kern w:val="24"/>
          <w:sz w:val="24"/>
          <w:szCs w:val="24"/>
          <w:lang w:eastAsia="lv-LV"/>
        </w:rPr>
      </w:pPr>
      <w:r w:rsidRPr="00B60ED2">
        <w:rPr>
          <w:rFonts w:ascii="Times New Roman" w:eastAsia="+mn-ea" w:hAnsi="Times New Roman" w:cs="Times New Roman"/>
          <w:bCs/>
          <w:color w:val="000000"/>
          <w:kern w:val="24"/>
          <w:sz w:val="24"/>
          <w:szCs w:val="24"/>
          <w:lang w:eastAsia="lv-LV"/>
        </w:rPr>
        <w:t xml:space="preserve">Iekšlietu nozares stratēģijas kartē un Nozares stratēģijā noteiktie prioritārie politikas mērķi un prioritārie horizontālie mērķi tika noteikti atbilstoši Ministrijas un tās padotībā esošo iestāžu veiktam ārējās un iekšējās vides faktoru izvērtējumam. </w:t>
      </w:r>
    </w:p>
    <w:p w14:paraId="2BAE4B91" w14:textId="6086B4FA" w:rsidR="00236014" w:rsidRPr="00B60ED2" w:rsidRDefault="00566F01" w:rsidP="006603A8">
      <w:pPr>
        <w:spacing w:after="80"/>
        <w:ind w:firstLine="720"/>
        <w:jc w:val="both"/>
        <w:rPr>
          <w:rFonts w:ascii="Times New Roman" w:eastAsia="+mn-ea" w:hAnsi="Times New Roman" w:cs="Times New Roman"/>
          <w:bCs/>
          <w:color w:val="000000"/>
          <w:kern w:val="24"/>
          <w:sz w:val="24"/>
          <w:szCs w:val="24"/>
          <w:lang w:eastAsia="lv-LV"/>
        </w:rPr>
      </w:pPr>
      <w:r w:rsidRPr="00B60ED2">
        <w:rPr>
          <w:rFonts w:ascii="Times New Roman" w:eastAsia="+mn-ea" w:hAnsi="Times New Roman" w:cs="Times New Roman"/>
          <w:bCs/>
          <w:color w:val="000000"/>
          <w:kern w:val="24"/>
          <w:sz w:val="24"/>
          <w:szCs w:val="24"/>
          <w:lang w:eastAsia="lv-LV"/>
        </w:rPr>
        <w:t>Analīzes mērķis bija konstatēt un novērtēt būtiskākos ārējās un iekšējās vides faktorus, kas konkrētā plānošanas perioda ietvaros ietekmēs iekšlietu nozarei saistošās politikas jomas un katras iestādes darbību. Nozares stratēģijā, kā arī Ministrijas un padotības iestāžu darbīb</w:t>
      </w:r>
      <w:r w:rsidR="00956BB5" w:rsidRPr="00B60ED2">
        <w:rPr>
          <w:rFonts w:ascii="Times New Roman" w:eastAsia="+mn-ea" w:hAnsi="Times New Roman" w:cs="Times New Roman"/>
          <w:bCs/>
          <w:color w:val="000000"/>
          <w:kern w:val="24"/>
          <w:sz w:val="24"/>
          <w:szCs w:val="24"/>
          <w:lang w:eastAsia="lv-LV"/>
        </w:rPr>
        <w:t>a</w:t>
      </w:r>
      <w:r w:rsidRPr="00B60ED2">
        <w:rPr>
          <w:rFonts w:ascii="Times New Roman" w:eastAsia="+mn-ea" w:hAnsi="Times New Roman" w:cs="Times New Roman"/>
          <w:bCs/>
          <w:color w:val="000000"/>
          <w:kern w:val="24"/>
          <w:sz w:val="24"/>
          <w:szCs w:val="24"/>
          <w:lang w:eastAsia="lv-LV"/>
        </w:rPr>
        <w:t>s stratēģijās paredzētie pasākumi tika noteikti, lai izmantotu nozares potenciālās iespējas un pašlaik esošās stiprās puses, kā arī lai novērstu potenciālos draudus un mazinātu vājo pušu negatīvo ietekmi uz iestāžu darbību.</w:t>
      </w:r>
    </w:p>
    <w:p w14:paraId="5A2AD49F" w14:textId="0495B738" w:rsidR="00AE6D76" w:rsidRPr="00B60ED2" w:rsidRDefault="005023C6" w:rsidP="00AE6D76">
      <w:pPr>
        <w:spacing w:after="80"/>
        <w:ind w:firstLine="720"/>
        <w:jc w:val="both"/>
        <w:rPr>
          <w:rFonts w:ascii="Times New Roman" w:eastAsia="+mn-ea" w:hAnsi="Times New Roman" w:cs="Times New Roman"/>
          <w:bCs/>
          <w:color w:val="000000"/>
          <w:kern w:val="24"/>
          <w:sz w:val="24"/>
          <w:szCs w:val="24"/>
          <w:lang w:eastAsia="lv-LV"/>
        </w:rPr>
      </w:pPr>
      <w:r w:rsidRPr="00B60ED2">
        <w:rPr>
          <w:rFonts w:ascii="Times New Roman" w:eastAsia="+mn-ea" w:hAnsi="Times New Roman" w:cs="Times New Roman"/>
          <w:bCs/>
          <w:color w:val="000000"/>
          <w:kern w:val="24"/>
          <w:sz w:val="24"/>
          <w:szCs w:val="24"/>
          <w:lang w:eastAsia="lv-LV"/>
        </w:rPr>
        <w:t>Ārējās un iekšējās</w:t>
      </w:r>
      <w:r w:rsidR="00566F01" w:rsidRPr="00B60ED2">
        <w:rPr>
          <w:rFonts w:ascii="Times New Roman" w:eastAsia="+mn-ea" w:hAnsi="Times New Roman" w:cs="Times New Roman"/>
          <w:bCs/>
          <w:color w:val="000000"/>
          <w:kern w:val="24"/>
          <w:sz w:val="24"/>
          <w:szCs w:val="24"/>
          <w:lang w:eastAsia="lv-LV"/>
        </w:rPr>
        <w:t xml:space="preserve"> vides analīze tiek veikta</w:t>
      </w:r>
      <w:r w:rsidR="00166625" w:rsidRPr="00B60ED2">
        <w:rPr>
          <w:rFonts w:ascii="Times New Roman" w:eastAsia="+mn-ea" w:hAnsi="Times New Roman" w:cs="Times New Roman"/>
          <w:bCs/>
          <w:color w:val="000000"/>
          <w:kern w:val="24"/>
          <w:sz w:val="24"/>
          <w:szCs w:val="24"/>
          <w:lang w:eastAsia="lv-LV"/>
        </w:rPr>
        <w:t xml:space="preserve"> par katru politikas jomu</w:t>
      </w:r>
      <w:r w:rsidR="00566F01" w:rsidRPr="00B60ED2">
        <w:rPr>
          <w:rFonts w:ascii="Times New Roman" w:eastAsia="+mn-ea" w:hAnsi="Times New Roman" w:cs="Times New Roman"/>
          <w:bCs/>
          <w:color w:val="000000"/>
          <w:kern w:val="24"/>
          <w:sz w:val="24"/>
          <w:szCs w:val="24"/>
          <w:lang w:eastAsia="lv-LV"/>
        </w:rPr>
        <w:t xml:space="preserve">, </w:t>
      </w:r>
      <w:bookmarkStart w:id="2" w:name="_Hlk174912512"/>
      <w:r w:rsidR="00566F01" w:rsidRPr="00B60ED2">
        <w:rPr>
          <w:rFonts w:ascii="Times New Roman" w:eastAsia="+mn-ea" w:hAnsi="Times New Roman" w:cs="Times New Roman"/>
          <w:bCs/>
          <w:color w:val="000000"/>
          <w:kern w:val="24"/>
          <w:sz w:val="24"/>
          <w:szCs w:val="24"/>
          <w:lang w:eastAsia="lv-LV"/>
        </w:rPr>
        <w:t>izmantojot SVID</w:t>
      </w:r>
      <w:r w:rsidR="006554EA" w:rsidRPr="00B60ED2">
        <w:rPr>
          <w:rStyle w:val="FootnoteReference"/>
          <w:rFonts w:ascii="Times New Roman" w:eastAsia="+mn-ea" w:hAnsi="Times New Roman" w:cs="Times New Roman"/>
          <w:bCs/>
          <w:color w:val="000000"/>
          <w:kern w:val="24"/>
          <w:sz w:val="24"/>
          <w:szCs w:val="24"/>
          <w:lang w:eastAsia="lv-LV"/>
        </w:rPr>
        <w:footnoteReference w:id="4"/>
      </w:r>
      <w:r w:rsidR="00566F01" w:rsidRPr="00B60ED2">
        <w:rPr>
          <w:rFonts w:ascii="Times New Roman" w:eastAsia="+mn-ea" w:hAnsi="Times New Roman" w:cs="Times New Roman"/>
          <w:bCs/>
          <w:color w:val="000000"/>
          <w:kern w:val="24"/>
          <w:sz w:val="24"/>
          <w:szCs w:val="24"/>
          <w:lang w:eastAsia="lv-LV"/>
        </w:rPr>
        <w:t xml:space="preserve"> un PESTEL</w:t>
      </w:r>
      <w:r w:rsidRPr="00B60ED2">
        <w:rPr>
          <w:rStyle w:val="FootnoteReference"/>
          <w:rFonts w:ascii="Times New Roman" w:eastAsia="+mn-ea" w:hAnsi="Times New Roman" w:cs="Times New Roman"/>
          <w:bCs/>
          <w:color w:val="000000"/>
          <w:kern w:val="24"/>
          <w:sz w:val="24"/>
          <w:szCs w:val="24"/>
          <w:lang w:eastAsia="lv-LV"/>
        </w:rPr>
        <w:footnoteReference w:id="5"/>
      </w:r>
      <w:r w:rsidR="00566F01" w:rsidRPr="00B60ED2">
        <w:rPr>
          <w:rFonts w:ascii="Times New Roman" w:eastAsia="+mn-ea" w:hAnsi="Times New Roman" w:cs="Times New Roman"/>
          <w:bCs/>
          <w:color w:val="000000"/>
          <w:kern w:val="24"/>
          <w:sz w:val="24"/>
          <w:szCs w:val="24"/>
          <w:lang w:eastAsia="lv-LV"/>
        </w:rPr>
        <w:t xml:space="preserve"> metodes.</w:t>
      </w:r>
      <w:bookmarkEnd w:id="2"/>
      <w:r w:rsidR="00166625" w:rsidRPr="00B60ED2">
        <w:rPr>
          <w:rFonts w:ascii="Times New Roman" w:eastAsia="+mn-ea" w:hAnsi="Times New Roman" w:cs="Times New Roman"/>
          <w:bCs/>
          <w:color w:val="000000"/>
          <w:kern w:val="24"/>
          <w:sz w:val="24"/>
          <w:szCs w:val="24"/>
          <w:lang w:eastAsia="lv-LV"/>
        </w:rPr>
        <w:t xml:space="preserve"> Konstatētie ārējās un iekšējās vides </w:t>
      </w:r>
      <w:r w:rsidR="00513912" w:rsidRPr="00B60ED2">
        <w:rPr>
          <w:rFonts w:ascii="Times New Roman" w:eastAsia="+mn-ea" w:hAnsi="Times New Roman" w:cs="Times New Roman"/>
          <w:bCs/>
          <w:color w:val="000000"/>
          <w:kern w:val="24"/>
          <w:sz w:val="24"/>
          <w:szCs w:val="24"/>
          <w:lang w:eastAsia="lv-LV"/>
        </w:rPr>
        <w:t>faktori tika izvērtēti un priori</w:t>
      </w:r>
      <w:r w:rsidR="00166625" w:rsidRPr="00B60ED2">
        <w:rPr>
          <w:rFonts w:ascii="Times New Roman" w:eastAsia="+mn-ea" w:hAnsi="Times New Roman" w:cs="Times New Roman"/>
          <w:bCs/>
          <w:color w:val="000000"/>
          <w:kern w:val="24"/>
          <w:sz w:val="24"/>
          <w:szCs w:val="24"/>
          <w:lang w:eastAsia="lv-LV"/>
        </w:rPr>
        <w:t xml:space="preserve">tizēti atbilstoši to iestāšanās varbūtībai un potenciālajai ietekmei </w:t>
      </w:r>
      <w:r w:rsidR="006554EA" w:rsidRPr="00B60ED2">
        <w:rPr>
          <w:rFonts w:ascii="Times New Roman" w:eastAsia="+mn-ea" w:hAnsi="Times New Roman" w:cs="Times New Roman"/>
          <w:bCs/>
          <w:color w:val="000000"/>
          <w:kern w:val="24"/>
          <w:sz w:val="24"/>
          <w:szCs w:val="24"/>
          <w:lang w:eastAsia="lv-LV"/>
        </w:rPr>
        <w:t xml:space="preserve">uz </w:t>
      </w:r>
      <w:r w:rsidR="00166625" w:rsidRPr="00B60ED2">
        <w:rPr>
          <w:rFonts w:ascii="Times New Roman" w:eastAsia="+mn-ea" w:hAnsi="Times New Roman" w:cs="Times New Roman"/>
          <w:bCs/>
          <w:color w:val="000000"/>
          <w:kern w:val="24"/>
          <w:sz w:val="24"/>
          <w:szCs w:val="24"/>
          <w:lang w:eastAsia="lv-LV"/>
        </w:rPr>
        <w:t xml:space="preserve">iekšlietu nozares politikas jomām vai iestādēm. </w:t>
      </w:r>
      <w:r w:rsidRPr="00B60ED2">
        <w:rPr>
          <w:rFonts w:ascii="Times New Roman" w:eastAsia="+mn-ea" w:hAnsi="Times New Roman" w:cs="Times New Roman"/>
          <w:bCs/>
          <w:color w:val="000000"/>
          <w:kern w:val="24"/>
          <w:sz w:val="24"/>
          <w:szCs w:val="24"/>
          <w:lang w:eastAsia="lv-LV"/>
        </w:rPr>
        <w:t>Lai gan būtiskākais darbs ārējās un iekšējās analīzes izstrādē tiek veikts pirms Nozares stratēģija</w:t>
      </w:r>
      <w:r w:rsidR="00890BF3" w:rsidRPr="00B60ED2">
        <w:rPr>
          <w:rFonts w:ascii="Times New Roman" w:eastAsia="+mn-ea" w:hAnsi="Times New Roman" w:cs="Times New Roman"/>
          <w:bCs/>
          <w:color w:val="000000"/>
          <w:kern w:val="24"/>
          <w:sz w:val="24"/>
          <w:szCs w:val="24"/>
          <w:lang w:eastAsia="lv-LV"/>
        </w:rPr>
        <w:t>s izstrādes, analīzes rezultāti</w:t>
      </w:r>
      <w:r w:rsidRPr="00B60ED2">
        <w:rPr>
          <w:rFonts w:ascii="Times New Roman" w:eastAsia="+mn-ea" w:hAnsi="Times New Roman" w:cs="Times New Roman"/>
          <w:bCs/>
          <w:color w:val="000000"/>
          <w:kern w:val="24"/>
          <w:sz w:val="24"/>
          <w:szCs w:val="24"/>
          <w:lang w:eastAsia="lv-LV"/>
        </w:rPr>
        <w:t xml:space="preserve"> tiek pārskatīti un izvērtēti katru gadu pirms Nozares stratēģijas un Ministrijas un tās padotībā esošo iestāžu darbības stratēģiju aktualizācijas.</w:t>
      </w:r>
    </w:p>
    <w:p w14:paraId="13750C8C" w14:textId="7985DDE9" w:rsidR="00AB671C" w:rsidRPr="00B60ED2" w:rsidRDefault="00166625" w:rsidP="006740F9">
      <w:pPr>
        <w:jc w:val="center"/>
        <w:rPr>
          <w:rFonts w:ascii="Times New Roman" w:hAnsi="Times New Roman" w:cs="Times New Roman"/>
          <w:b/>
        </w:rPr>
      </w:pPr>
      <w:r w:rsidRPr="00B60ED2">
        <w:rPr>
          <w:rFonts w:ascii="Times New Roman" w:hAnsi="Times New Roman" w:cs="Times New Roman"/>
          <w:b/>
          <w:color w:val="808080" w:themeColor="background1" w:themeShade="80"/>
          <w:sz w:val="28"/>
        </w:rPr>
        <w:t>Galvenie</w:t>
      </w:r>
      <w:r w:rsidR="005023C6" w:rsidRPr="00B60ED2">
        <w:rPr>
          <w:rFonts w:ascii="Times New Roman" w:hAnsi="Times New Roman" w:cs="Times New Roman"/>
          <w:b/>
          <w:color w:val="808080" w:themeColor="background1" w:themeShade="80"/>
          <w:sz w:val="28"/>
        </w:rPr>
        <w:t xml:space="preserve"> konstatēti</w:t>
      </w:r>
      <w:r w:rsidRPr="00B60ED2">
        <w:rPr>
          <w:rFonts w:ascii="Times New Roman" w:hAnsi="Times New Roman" w:cs="Times New Roman"/>
          <w:b/>
          <w:color w:val="808080" w:themeColor="background1" w:themeShade="80"/>
          <w:sz w:val="28"/>
        </w:rPr>
        <w:t xml:space="preserve"> ārējās un iekšējās vides faktori</w:t>
      </w:r>
    </w:p>
    <w:p w14:paraId="523C3B7F" w14:textId="578EB3C6" w:rsidR="006740F9" w:rsidRPr="00B60ED2" w:rsidRDefault="006740F9" w:rsidP="00AB671C">
      <w:pPr>
        <w:rPr>
          <w:rFonts w:ascii="Times New Roman" w:hAnsi="Times New Roman" w:cs="Times New Roman"/>
        </w:rPr>
      </w:pPr>
      <w:r w:rsidRPr="00B60ED2">
        <w:rPr>
          <w:rFonts w:ascii="Times New Roman" w:hAnsi="Times New Roman" w:cs="Times New Roman"/>
          <w:noProof/>
          <w:lang w:eastAsia="lv-LV"/>
        </w:rPr>
        <w:drawing>
          <wp:inline distT="0" distB="0" distL="0" distR="0" wp14:anchorId="77BDAC26" wp14:editId="293F2258">
            <wp:extent cx="5327915" cy="377952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eja vi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7915" cy="3779528"/>
                    </a:xfrm>
                    <a:prstGeom prst="rect">
                      <a:avLst/>
                    </a:prstGeom>
                  </pic:spPr>
                </pic:pic>
              </a:graphicData>
            </a:graphic>
          </wp:inline>
        </w:drawing>
      </w:r>
    </w:p>
    <w:p w14:paraId="19545320" w14:textId="77777777" w:rsidR="006740F9" w:rsidRPr="00B60ED2" w:rsidRDefault="006740F9" w:rsidP="006740F9">
      <w:pPr>
        <w:jc w:val="center"/>
        <w:rPr>
          <w:rFonts w:ascii="Times New Roman" w:eastAsia="+mn-ea" w:hAnsi="Times New Roman" w:cs="Times New Roman"/>
          <w:b/>
          <w:color w:val="808080" w:themeColor="background1" w:themeShade="80"/>
          <w:sz w:val="28"/>
          <w:lang w:eastAsia="lv-LV"/>
        </w:rPr>
      </w:pPr>
      <w:r w:rsidRPr="00B60ED2">
        <w:rPr>
          <w:rFonts w:ascii="Times New Roman" w:hAnsi="Times New Roman" w:cs="Times New Roman"/>
        </w:rPr>
        <w:br w:type="page"/>
      </w:r>
      <w:r w:rsidRPr="00B60ED2">
        <w:rPr>
          <w:rFonts w:ascii="Times New Roman" w:eastAsia="+mn-ea" w:hAnsi="Times New Roman" w:cs="Times New Roman"/>
          <w:b/>
          <w:color w:val="808080" w:themeColor="background1" w:themeShade="80"/>
          <w:sz w:val="28"/>
          <w:lang w:eastAsia="lv-LV"/>
        </w:rPr>
        <w:lastRenderedPageBreak/>
        <w:t>Iespējas</w:t>
      </w:r>
    </w:p>
    <w:tbl>
      <w:tblPr>
        <w:tblStyle w:val="TableGrid"/>
        <w:tblW w:w="0" w:type="auto"/>
        <w:tblInd w:w="-2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76"/>
        <w:gridCol w:w="7133"/>
      </w:tblGrid>
      <w:tr w:rsidR="006740F9" w:rsidRPr="00B60ED2" w14:paraId="0629A1AB" w14:textId="77777777" w:rsidTr="007320A3">
        <w:tc>
          <w:tcPr>
            <w:tcW w:w="2076" w:type="dxa"/>
          </w:tcPr>
          <w:p w14:paraId="5305BAA1" w14:textId="77777777" w:rsidR="006740F9" w:rsidRPr="00B60ED2" w:rsidRDefault="006740F9" w:rsidP="007320A3">
            <w:pPr>
              <w:spacing w:line="276" w:lineRule="auto"/>
              <w:jc w:val="both"/>
              <w:rPr>
                <w:rFonts w:ascii="Times New Roman" w:hAnsi="Times New Roman" w:cs="Times New Roman"/>
                <w:b/>
                <w:iCs/>
                <w:sz w:val="24"/>
                <w:szCs w:val="24"/>
                <w:lang w:eastAsia="lv-LV"/>
              </w:rPr>
            </w:pPr>
            <w:r w:rsidRPr="00B60ED2">
              <w:rPr>
                <w:rFonts w:ascii="Times New Roman" w:hAnsi="Times New Roman" w:cs="Times New Roman"/>
                <w:b/>
                <w:iCs/>
                <w:noProof/>
                <w:sz w:val="24"/>
                <w:szCs w:val="24"/>
                <w:lang w:eastAsia="lv-LV"/>
              </w:rPr>
              <w:drawing>
                <wp:anchor distT="0" distB="0" distL="114300" distR="114300" simplePos="0" relativeHeight="251684864" behindDoc="1" locked="0" layoutInCell="1" allowOverlap="1" wp14:anchorId="111B965D" wp14:editId="6A64399C">
                  <wp:simplePos x="0" y="0"/>
                  <wp:positionH relativeFrom="column">
                    <wp:posOffset>95885</wp:posOffset>
                  </wp:positionH>
                  <wp:positionV relativeFrom="paragraph">
                    <wp:posOffset>227330</wp:posOffset>
                  </wp:positionV>
                  <wp:extent cx="904875" cy="990600"/>
                  <wp:effectExtent l="0" t="0" r="9525" b="0"/>
                  <wp:wrapTight wrapText="bothSides">
                    <wp:wrapPolygon edited="0">
                      <wp:start x="0" y="0"/>
                      <wp:lineTo x="0" y="21185"/>
                      <wp:lineTo x="21373" y="21185"/>
                      <wp:lineTo x="2137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hield.png"/>
                          <pic:cNvPicPr/>
                        </pic:nvPicPr>
                        <pic:blipFill>
                          <a:blip r:embed="rId10">
                            <a:extLst>
                              <a:ext uri="{28A0092B-C50C-407E-A947-70E740481C1C}">
                                <a14:useLocalDpi xmlns:a14="http://schemas.microsoft.com/office/drawing/2010/main" val="0"/>
                              </a:ext>
                            </a:extLst>
                          </a:blip>
                          <a:stretch>
                            <a:fillRect/>
                          </a:stretch>
                        </pic:blipFill>
                        <pic:spPr>
                          <a:xfrm>
                            <a:off x="0" y="0"/>
                            <a:ext cx="904875" cy="990600"/>
                          </a:xfrm>
                          <a:prstGeom prst="rect">
                            <a:avLst/>
                          </a:prstGeom>
                        </pic:spPr>
                      </pic:pic>
                    </a:graphicData>
                  </a:graphic>
                  <wp14:sizeRelH relativeFrom="margin">
                    <wp14:pctWidth>0</wp14:pctWidth>
                  </wp14:sizeRelH>
                  <wp14:sizeRelV relativeFrom="margin">
                    <wp14:pctHeight>0</wp14:pctHeight>
                  </wp14:sizeRelV>
                </wp:anchor>
              </w:drawing>
            </w:r>
          </w:p>
        </w:tc>
        <w:tc>
          <w:tcPr>
            <w:tcW w:w="7133" w:type="dxa"/>
          </w:tcPr>
          <w:p w14:paraId="1DD5A1AF" w14:textId="77777777" w:rsidR="006740F9" w:rsidRPr="00B60ED2" w:rsidRDefault="006740F9" w:rsidP="007320A3">
            <w:pPr>
              <w:spacing w:line="276" w:lineRule="auto"/>
              <w:jc w:val="both"/>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Iekšējās drošības nozīme strauji pieaug gan nacionālajā, gan Eiropas Savienības līmenī</w:t>
            </w:r>
            <w:r w:rsidRPr="00B60ED2">
              <w:rPr>
                <w:rFonts w:ascii="Times New Roman" w:hAnsi="Times New Roman" w:cs="Times New Roman"/>
                <w:iCs/>
                <w:sz w:val="24"/>
                <w:szCs w:val="24"/>
                <w:lang w:eastAsia="lv-LV"/>
              </w:rPr>
              <w:t xml:space="preserve">, ņemot vērā globālos un vietēja mēroga izaicinājumus – Eiropas Savienības kaimiņvalstu nestabilitāte vai agresīvā ārpolitika, pieaugošās migrācijas un bēgļu plūsmas, organizētā noziedzība, klimata pārmaiņas. </w:t>
            </w:r>
            <w:r w:rsidRPr="00B60ED2">
              <w:rPr>
                <w:rFonts w:ascii="Times New Roman" w:hAnsi="Times New Roman" w:cs="Times New Roman"/>
                <w:b/>
                <w:iCs/>
                <w:sz w:val="24"/>
                <w:szCs w:val="24"/>
                <w:lang w:eastAsia="lv-LV"/>
              </w:rPr>
              <w:t>Tas sniedz iespējas piesaistīt finansējumu un ārvalstu ekspertīzi lielu vietēja vai starptautiska mēroga projektu īstenošanai.</w:t>
            </w:r>
          </w:p>
          <w:p w14:paraId="27A87F55" w14:textId="77777777" w:rsidR="006740F9" w:rsidRPr="00B60ED2" w:rsidRDefault="006740F9" w:rsidP="007320A3">
            <w:pPr>
              <w:rPr>
                <w:rFonts w:ascii="Times New Roman" w:eastAsia="+mn-ea" w:hAnsi="Times New Roman" w:cs="Times New Roman"/>
                <w:b/>
                <w:noProof/>
                <w:color w:val="808080" w:themeColor="background1" w:themeShade="80"/>
                <w:sz w:val="28"/>
                <w:lang w:eastAsia="lv-LV"/>
              </w:rPr>
            </w:pPr>
          </w:p>
        </w:tc>
      </w:tr>
      <w:tr w:rsidR="006740F9" w:rsidRPr="00B60ED2" w14:paraId="61361F61" w14:textId="77777777" w:rsidTr="007320A3">
        <w:tc>
          <w:tcPr>
            <w:tcW w:w="2076" w:type="dxa"/>
          </w:tcPr>
          <w:p w14:paraId="062BE308" w14:textId="77777777" w:rsidR="006740F9" w:rsidRPr="00B60ED2" w:rsidRDefault="006740F9" w:rsidP="007320A3">
            <w:pPr>
              <w:spacing w:line="276" w:lineRule="auto"/>
              <w:jc w:val="both"/>
              <w:rPr>
                <w:rFonts w:ascii="Times New Roman" w:eastAsia="+mn-ea" w:hAnsi="Times New Roman" w:cs="Times New Roman"/>
                <w:noProof/>
                <w:color w:val="808080" w:themeColor="background1" w:themeShade="80"/>
                <w:sz w:val="28"/>
                <w:lang w:eastAsia="lv-LV"/>
              </w:rPr>
            </w:pPr>
            <w:r w:rsidRPr="00B60ED2">
              <w:rPr>
                <w:rFonts w:ascii="Times New Roman" w:eastAsia="+mn-ea" w:hAnsi="Times New Roman" w:cs="Times New Roman"/>
                <w:noProof/>
                <w:color w:val="808080" w:themeColor="background1" w:themeShade="80"/>
                <w:sz w:val="28"/>
                <w:lang w:eastAsia="lv-LV"/>
              </w:rPr>
              <w:drawing>
                <wp:anchor distT="0" distB="0" distL="114300" distR="114300" simplePos="0" relativeHeight="251683840" behindDoc="1" locked="0" layoutInCell="1" allowOverlap="1" wp14:anchorId="22030EFC" wp14:editId="6A628FF1">
                  <wp:simplePos x="0" y="0"/>
                  <wp:positionH relativeFrom="column">
                    <wp:posOffset>114935</wp:posOffset>
                  </wp:positionH>
                  <wp:positionV relativeFrom="paragraph">
                    <wp:posOffset>223520</wp:posOffset>
                  </wp:positionV>
                  <wp:extent cx="815975" cy="962025"/>
                  <wp:effectExtent l="0" t="0" r="3175" b="9525"/>
                  <wp:wrapTight wrapText="bothSides">
                    <wp:wrapPolygon edited="0">
                      <wp:start x="0" y="0"/>
                      <wp:lineTo x="0" y="21386"/>
                      <wp:lineTo x="21180" y="21386"/>
                      <wp:lineTo x="211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png"/>
                          <pic:cNvPicPr/>
                        </pic:nvPicPr>
                        <pic:blipFill>
                          <a:blip r:embed="rId11">
                            <a:extLst>
                              <a:ext uri="{28A0092B-C50C-407E-A947-70E740481C1C}">
                                <a14:useLocalDpi xmlns:a14="http://schemas.microsoft.com/office/drawing/2010/main" val="0"/>
                              </a:ext>
                            </a:extLst>
                          </a:blip>
                          <a:stretch>
                            <a:fillRect/>
                          </a:stretch>
                        </pic:blipFill>
                        <pic:spPr>
                          <a:xfrm>
                            <a:off x="0" y="0"/>
                            <a:ext cx="815975" cy="962025"/>
                          </a:xfrm>
                          <a:prstGeom prst="rect">
                            <a:avLst/>
                          </a:prstGeom>
                        </pic:spPr>
                      </pic:pic>
                    </a:graphicData>
                  </a:graphic>
                  <wp14:sizeRelH relativeFrom="margin">
                    <wp14:pctWidth>0</wp14:pctWidth>
                  </wp14:sizeRelH>
                  <wp14:sizeRelV relativeFrom="margin">
                    <wp14:pctHeight>0</wp14:pctHeight>
                  </wp14:sizeRelV>
                </wp:anchor>
              </w:drawing>
            </w:r>
          </w:p>
        </w:tc>
        <w:tc>
          <w:tcPr>
            <w:tcW w:w="7133" w:type="dxa"/>
          </w:tcPr>
          <w:p w14:paraId="5CB16F70" w14:textId="77777777" w:rsidR="006740F9" w:rsidRPr="00B60ED2" w:rsidRDefault="006740F9" w:rsidP="007320A3">
            <w:pPr>
              <w:spacing w:line="276" w:lineRule="auto"/>
              <w:jc w:val="both"/>
              <w:rPr>
                <w:rFonts w:ascii="Times New Roman" w:hAnsi="Times New Roman" w:cs="Times New Roman"/>
                <w:iCs/>
                <w:sz w:val="24"/>
                <w:szCs w:val="24"/>
                <w:lang w:eastAsia="lv-LV"/>
              </w:rPr>
            </w:pPr>
          </w:p>
          <w:p w14:paraId="1E0D0B1C" w14:textId="77777777" w:rsidR="006740F9" w:rsidRPr="00B60ED2" w:rsidRDefault="006740F9"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Sagaidāms, ka </w:t>
            </w:r>
            <w:r w:rsidRPr="00B60ED2">
              <w:rPr>
                <w:rFonts w:ascii="Times New Roman" w:hAnsi="Times New Roman" w:cs="Times New Roman"/>
                <w:b/>
                <w:iCs/>
                <w:sz w:val="24"/>
                <w:szCs w:val="24"/>
                <w:lang w:eastAsia="lv-LV"/>
              </w:rPr>
              <w:t>nākamajos gados iekšlietu nozares attīstības prioritātes krasi netiks mainītas</w:t>
            </w:r>
            <w:r w:rsidRPr="00B60ED2">
              <w:rPr>
                <w:rFonts w:ascii="Times New Roman" w:hAnsi="Times New Roman" w:cs="Times New Roman"/>
                <w:iCs/>
                <w:sz w:val="24"/>
                <w:szCs w:val="24"/>
                <w:lang w:eastAsia="lv-LV"/>
              </w:rPr>
              <w:t>, ļaujot ilgtermiņā plānot un koncentrēt resursus un piesaistīt Eiropas Savienības fondu finansējumu nozares prioritāšu īstenošanai - infrastruktūras sakārtošana, izglītības sistēmas pilnveidošana, atalgojuma palielināšana, strukturālās reformas.</w:t>
            </w:r>
          </w:p>
          <w:p w14:paraId="756FE877"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tc>
      </w:tr>
      <w:tr w:rsidR="006740F9" w:rsidRPr="00B60ED2" w14:paraId="2B8B3B93" w14:textId="77777777" w:rsidTr="007320A3">
        <w:tc>
          <w:tcPr>
            <w:tcW w:w="2076" w:type="dxa"/>
          </w:tcPr>
          <w:p w14:paraId="745EB9B5" w14:textId="77777777" w:rsidR="006740F9" w:rsidRPr="00B60ED2" w:rsidRDefault="006740F9" w:rsidP="007320A3">
            <w:pPr>
              <w:spacing w:line="276" w:lineRule="auto"/>
              <w:jc w:val="both"/>
              <w:rPr>
                <w:rFonts w:ascii="Times New Roman" w:eastAsia="+mn-ea" w:hAnsi="Times New Roman" w:cs="Times New Roman"/>
                <w:noProof/>
                <w:color w:val="808080" w:themeColor="background1" w:themeShade="80"/>
                <w:sz w:val="28"/>
                <w:lang w:eastAsia="lv-LV"/>
              </w:rPr>
            </w:pPr>
            <w:r w:rsidRPr="00B60ED2">
              <w:rPr>
                <w:rFonts w:ascii="Times New Roman" w:eastAsia="+mn-ea" w:hAnsi="Times New Roman" w:cs="Times New Roman"/>
                <w:noProof/>
                <w:color w:val="808080" w:themeColor="background1" w:themeShade="80"/>
                <w:sz w:val="28"/>
                <w:lang w:eastAsia="lv-LV"/>
              </w:rPr>
              <w:drawing>
                <wp:anchor distT="0" distB="0" distL="114300" distR="114300" simplePos="0" relativeHeight="251685888" behindDoc="1" locked="0" layoutInCell="1" allowOverlap="1" wp14:anchorId="62390BCE" wp14:editId="4186D652">
                  <wp:simplePos x="0" y="0"/>
                  <wp:positionH relativeFrom="column">
                    <wp:posOffset>57785</wp:posOffset>
                  </wp:positionH>
                  <wp:positionV relativeFrom="paragraph">
                    <wp:posOffset>549275</wp:posOffset>
                  </wp:positionV>
                  <wp:extent cx="1009650" cy="879475"/>
                  <wp:effectExtent l="0" t="0" r="0" b="0"/>
                  <wp:wrapTight wrapText="bothSides">
                    <wp:wrapPolygon edited="0">
                      <wp:start x="0" y="0"/>
                      <wp:lineTo x="0" y="21054"/>
                      <wp:lineTo x="21192" y="21054"/>
                      <wp:lineTo x="2119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ch.png"/>
                          <pic:cNvPicPr/>
                        </pic:nvPicPr>
                        <pic:blipFill>
                          <a:blip r:embed="rId12">
                            <a:extLst>
                              <a:ext uri="{28A0092B-C50C-407E-A947-70E740481C1C}">
                                <a14:useLocalDpi xmlns:a14="http://schemas.microsoft.com/office/drawing/2010/main" val="0"/>
                              </a:ext>
                            </a:extLst>
                          </a:blip>
                          <a:stretch>
                            <a:fillRect/>
                          </a:stretch>
                        </pic:blipFill>
                        <pic:spPr>
                          <a:xfrm flipH="1">
                            <a:off x="0" y="0"/>
                            <a:ext cx="1009650" cy="879475"/>
                          </a:xfrm>
                          <a:prstGeom prst="rect">
                            <a:avLst/>
                          </a:prstGeom>
                        </pic:spPr>
                      </pic:pic>
                    </a:graphicData>
                  </a:graphic>
                  <wp14:sizeRelH relativeFrom="margin">
                    <wp14:pctWidth>0</wp14:pctWidth>
                  </wp14:sizeRelH>
                  <wp14:sizeRelV relativeFrom="margin">
                    <wp14:pctHeight>0</wp14:pctHeight>
                  </wp14:sizeRelV>
                </wp:anchor>
              </w:drawing>
            </w:r>
          </w:p>
        </w:tc>
        <w:tc>
          <w:tcPr>
            <w:tcW w:w="7133" w:type="dxa"/>
          </w:tcPr>
          <w:p w14:paraId="71073D0D"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3DBE15EE" w14:textId="77777777" w:rsidR="006740F9" w:rsidRPr="00B60ED2" w:rsidRDefault="006740F9"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Strauji attīstās jaunās tehnoloģijas, kas var tikt izmantotas iekšlietu nozares iestāžu efektivitātes un darba kvalitātes uzlabošanai</w:t>
            </w:r>
            <w:r w:rsidRPr="00B60ED2">
              <w:rPr>
                <w:rFonts w:ascii="Times New Roman" w:hAnsi="Times New Roman" w:cs="Times New Roman"/>
                <w:iCs/>
                <w:sz w:val="24"/>
                <w:szCs w:val="24"/>
                <w:lang w:eastAsia="lv-LV"/>
              </w:rPr>
              <w:t xml:space="preserve">. Iekšējos procesus var uzlabot tādas jaunās tehnoloģijas kā 5G, mākslīgais intelekts, savstarpēji integrētas sistēmas un IT resursi, lielie dati, mākoņdatošana. Šos risinājumus ir iespējams ieviest, jo papildus nacionālajam finansējumam </w:t>
            </w:r>
            <w:r w:rsidRPr="00B60ED2">
              <w:rPr>
                <w:rFonts w:ascii="Times New Roman" w:hAnsi="Times New Roman" w:cs="Times New Roman"/>
                <w:b/>
                <w:iCs/>
                <w:sz w:val="24"/>
                <w:szCs w:val="24"/>
                <w:lang w:eastAsia="lv-LV"/>
              </w:rPr>
              <w:t>Eiropas Atveseļošanās fonda ietvaros ir iespējams piesaistīt apjomīgus finanšu resursus valsts pārvaldes digitālajai transformācijai</w:t>
            </w:r>
            <w:r w:rsidRPr="00B60ED2">
              <w:rPr>
                <w:rFonts w:ascii="Times New Roman" w:hAnsi="Times New Roman" w:cs="Times New Roman"/>
                <w:iCs/>
                <w:sz w:val="24"/>
                <w:szCs w:val="24"/>
                <w:lang w:eastAsia="lv-LV"/>
              </w:rPr>
              <w:t>.</w:t>
            </w:r>
          </w:p>
          <w:p w14:paraId="405C2F31" w14:textId="77777777" w:rsidR="006740F9" w:rsidRPr="00B60ED2" w:rsidRDefault="006740F9" w:rsidP="007320A3">
            <w:pPr>
              <w:spacing w:line="276" w:lineRule="auto"/>
              <w:jc w:val="both"/>
              <w:rPr>
                <w:rFonts w:ascii="Times New Roman" w:hAnsi="Times New Roman" w:cs="Times New Roman"/>
                <w:iCs/>
                <w:sz w:val="24"/>
                <w:szCs w:val="24"/>
                <w:lang w:eastAsia="lv-LV"/>
              </w:rPr>
            </w:pPr>
          </w:p>
        </w:tc>
      </w:tr>
    </w:tbl>
    <w:p w14:paraId="177948E7" w14:textId="77777777" w:rsidR="006740F9" w:rsidRPr="00B60ED2" w:rsidRDefault="006740F9" w:rsidP="006740F9">
      <w:pPr>
        <w:rPr>
          <w:rFonts w:ascii="Times New Roman" w:eastAsia="+mn-ea" w:hAnsi="Times New Roman" w:cs="Times New Roman"/>
          <w:b/>
          <w:color w:val="808080" w:themeColor="background1" w:themeShade="80"/>
          <w:sz w:val="28"/>
          <w:lang w:eastAsia="lv-LV"/>
        </w:rPr>
      </w:pPr>
    </w:p>
    <w:p w14:paraId="22EE78DF" w14:textId="77777777" w:rsidR="006740F9" w:rsidRPr="00B60ED2" w:rsidRDefault="006740F9" w:rsidP="006740F9">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Draudi</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66"/>
        <w:gridCol w:w="7064"/>
      </w:tblGrid>
      <w:tr w:rsidR="006740F9" w:rsidRPr="00B60ED2" w14:paraId="06D55128" w14:textId="77777777" w:rsidTr="007320A3">
        <w:tc>
          <w:tcPr>
            <w:tcW w:w="1838" w:type="dxa"/>
          </w:tcPr>
          <w:p w14:paraId="319FCA45"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86912" behindDoc="1" locked="0" layoutInCell="1" allowOverlap="1" wp14:anchorId="6CD8E49F" wp14:editId="57C7A9FC">
                  <wp:simplePos x="0" y="0"/>
                  <wp:positionH relativeFrom="column">
                    <wp:posOffset>-68580</wp:posOffset>
                  </wp:positionH>
                  <wp:positionV relativeFrom="paragraph">
                    <wp:posOffset>169545</wp:posOffset>
                  </wp:positionV>
                  <wp:extent cx="1042035" cy="1038225"/>
                  <wp:effectExtent l="0" t="0" r="5715" b="9525"/>
                  <wp:wrapTight wrapText="bothSides">
                    <wp:wrapPolygon edited="0">
                      <wp:start x="0" y="0"/>
                      <wp:lineTo x="0" y="21402"/>
                      <wp:lineTo x="21324" y="21402"/>
                      <wp:lineTo x="2132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oka.PNG"/>
                          <pic:cNvPicPr/>
                        </pic:nvPicPr>
                        <pic:blipFill>
                          <a:blip r:embed="rId13">
                            <a:extLst>
                              <a:ext uri="{28A0092B-C50C-407E-A947-70E740481C1C}">
                                <a14:useLocalDpi xmlns:a14="http://schemas.microsoft.com/office/drawing/2010/main" val="0"/>
                              </a:ext>
                            </a:extLst>
                          </a:blip>
                          <a:stretch>
                            <a:fillRect/>
                          </a:stretch>
                        </pic:blipFill>
                        <pic:spPr>
                          <a:xfrm>
                            <a:off x="0" y="0"/>
                            <a:ext cx="1042035" cy="1038225"/>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5A1F88F0"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Politiskā nestabilitāte Eiropas Savienības kaimiņvalstīs rada virkni apdraudējumu Latvijai</w:t>
            </w:r>
            <w:r w:rsidRPr="00B60ED2">
              <w:rPr>
                <w:rFonts w:ascii="Times New Roman" w:eastAsia="+mn-ea" w:hAnsi="Times New Roman" w:cs="Times New Roman"/>
                <w:bCs/>
                <w:kern w:val="24"/>
                <w:sz w:val="24"/>
                <w:szCs w:val="24"/>
                <w:lang w:eastAsia="lv-LV"/>
              </w:rPr>
              <w:t>, it īpaši robežu drošības, nelikumīgas migrācijas, hibrīdo uzbrukumu un organizētās noziedzības jomās. Lielākie riski ir saistīti ar Krievijas politisko līderu agresīvo rīcību reģionālā un starptautiskā līmenī, tostarp uzsākto karu pret Ukrainu, kā arī kiberuzbrukumiem un dezinformācijas kampaņām, kas vērstas pret Eiropas Savienības un NATO dalībvalstīm.</w:t>
            </w:r>
          </w:p>
        </w:tc>
      </w:tr>
      <w:tr w:rsidR="006740F9" w:rsidRPr="00B60ED2" w14:paraId="6105235A" w14:textId="77777777" w:rsidTr="007320A3">
        <w:tc>
          <w:tcPr>
            <w:tcW w:w="1838" w:type="dxa"/>
          </w:tcPr>
          <w:p w14:paraId="40972992"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87936" behindDoc="1" locked="0" layoutInCell="1" allowOverlap="1" wp14:anchorId="21D11D10" wp14:editId="6E54B398">
                  <wp:simplePos x="0" y="0"/>
                  <wp:positionH relativeFrom="column">
                    <wp:posOffset>-11430</wp:posOffset>
                  </wp:positionH>
                  <wp:positionV relativeFrom="paragraph">
                    <wp:posOffset>327025</wp:posOffset>
                  </wp:positionV>
                  <wp:extent cx="1013460" cy="590550"/>
                  <wp:effectExtent l="0" t="0" r="0" b="0"/>
                  <wp:wrapTight wrapText="bothSides">
                    <wp:wrapPolygon edited="0">
                      <wp:start x="0" y="0"/>
                      <wp:lineTo x="0" y="20903"/>
                      <wp:lineTo x="21113" y="20903"/>
                      <wp:lineTo x="2111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mo.PNG"/>
                          <pic:cNvPicPr/>
                        </pic:nvPicPr>
                        <pic:blipFill>
                          <a:blip r:embed="rId14">
                            <a:extLst>
                              <a:ext uri="{28A0092B-C50C-407E-A947-70E740481C1C}">
                                <a14:useLocalDpi xmlns:a14="http://schemas.microsoft.com/office/drawing/2010/main" val="0"/>
                              </a:ext>
                            </a:extLst>
                          </a:blip>
                          <a:stretch>
                            <a:fillRect/>
                          </a:stretch>
                        </pic:blipFill>
                        <pic:spPr>
                          <a:xfrm>
                            <a:off x="0" y="0"/>
                            <a:ext cx="1013460" cy="590550"/>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0222AF2B" w14:textId="77777777" w:rsidR="006740F9" w:rsidRPr="00B60ED2" w:rsidRDefault="006740F9" w:rsidP="007320A3">
            <w:pPr>
              <w:spacing w:line="276" w:lineRule="auto"/>
              <w:jc w:val="both"/>
              <w:rPr>
                <w:rFonts w:ascii="Times New Roman" w:eastAsia="+mn-ea" w:hAnsi="Times New Roman" w:cs="Times New Roman"/>
                <w:b/>
                <w:bCs/>
                <w:kern w:val="24"/>
                <w:sz w:val="24"/>
                <w:szCs w:val="24"/>
                <w:lang w:eastAsia="lv-LV"/>
              </w:rPr>
            </w:pPr>
          </w:p>
          <w:p w14:paraId="07A6B208"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 xml:space="preserve">Ilgtermiņā Latvijai draud būtiska demogrāfiskās situācijas pasliktināšanās - </w:t>
            </w:r>
            <w:r w:rsidRPr="00B60ED2">
              <w:rPr>
                <w:rFonts w:ascii="Times New Roman" w:eastAsia="+mn-ea" w:hAnsi="Times New Roman" w:cs="Times New Roman"/>
                <w:bCs/>
                <w:kern w:val="24"/>
                <w:sz w:val="24"/>
                <w:szCs w:val="24"/>
                <w:lang w:eastAsia="lv-LV"/>
              </w:rPr>
              <w:t xml:space="preserve">iedzīvotāju skaita samazinājums, sabiedrības novecošanās, lauku reģionu depopulācija. Tas apgrūtina jaunu darbinieku piesaisti, ierobežo efektīva un ekonomiska pakalpojuma </w:t>
            </w:r>
            <w:r w:rsidRPr="00B60ED2">
              <w:rPr>
                <w:rFonts w:ascii="Times New Roman" w:eastAsia="+mn-ea" w:hAnsi="Times New Roman" w:cs="Times New Roman"/>
                <w:bCs/>
                <w:kern w:val="24"/>
                <w:sz w:val="24"/>
                <w:szCs w:val="24"/>
                <w:lang w:eastAsia="lv-LV"/>
              </w:rPr>
              <w:lastRenderedPageBreak/>
              <w:t>nodrošināšanu visā Latvijā, kā arī akcentē jaunus iekšējās un ārējās drošības izaicinājumus.</w:t>
            </w:r>
          </w:p>
          <w:p w14:paraId="2108933C"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r w:rsidR="006740F9" w:rsidRPr="00B60ED2" w14:paraId="19B67096" w14:textId="77777777" w:rsidTr="007320A3">
        <w:tc>
          <w:tcPr>
            <w:tcW w:w="1838" w:type="dxa"/>
          </w:tcPr>
          <w:p w14:paraId="1D2A17FD"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lastRenderedPageBreak/>
              <w:drawing>
                <wp:anchor distT="0" distB="0" distL="114300" distR="114300" simplePos="0" relativeHeight="251688960" behindDoc="1" locked="0" layoutInCell="1" allowOverlap="1" wp14:anchorId="427AC4AE" wp14:editId="7AD827CA">
                  <wp:simplePos x="0" y="0"/>
                  <wp:positionH relativeFrom="column">
                    <wp:posOffset>112395</wp:posOffset>
                  </wp:positionH>
                  <wp:positionV relativeFrom="paragraph">
                    <wp:posOffset>96520</wp:posOffset>
                  </wp:positionV>
                  <wp:extent cx="819150" cy="1010285"/>
                  <wp:effectExtent l="0" t="0" r="0" b="0"/>
                  <wp:wrapTight wrapText="bothSides">
                    <wp:wrapPolygon edited="0">
                      <wp:start x="0" y="0"/>
                      <wp:lineTo x="0" y="21179"/>
                      <wp:lineTo x="21098" y="21179"/>
                      <wp:lineTo x="2109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abadz.PNG"/>
                          <pic:cNvPicPr/>
                        </pic:nvPicPr>
                        <pic:blipFill>
                          <a:blip r:embed="rId15">
                            <a:extLst>
                              <a:ext uri="{28A0092B-C50C-407E-A947-70E740481C1C}">
                                <a14:useLocalDpi xmlns:a14="http://schemas.microsoft.com/office/drawing/2010/main" val="0"/>
                              </a:ext>
                            </a:extLst>
                          </a:blip>
                          <a:stretch>
                            <a:fillRect/>
                          </a:stretch>
                        </pic:blipFill>
                        <pic:spPr>
                          <a:xfrm>
                            <a:off x="0" y="0"/>
                            <a:ext cx="819150" cy="1010285"/>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72E7106F"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 xml:space="preserve">Augstais nabadzības, ienākumu nevienlīdzības līmenis, kā arī izglītības kvalitātes apsvērumi negatīvi ietekmē iekšējo drošību. </w:t>
            </w:r>
            <w:r w:rsidRPr="00B60ED2">
              <w:rPr>
                <w:rFonts w:ascii="Times New Roman" w:eastAsia="+mn-ea" w:hAnsi="Times New Roman" w:cs="Times New Roman"/>
                <w:bCs/>
                <w:kern w:val="24"/>
                <w:sz w:val="24"/>
                <w:szCs w:val="24"/>
                <w:lang w:eastAsia="lv-LV"/>
              </w:rPr>
              <w:t>Kā galvenie riski, kas saistīti ar šiem faktoriem, gan īstermiņā, gan ilgtermiņā akcentējama pieaugošā noziedzība, ēnu ekonomika, kontrabanda, alkohola un narkotiku lietošana, ugunsdrošības standartu un prasību neievērošana.</w:t>
            </w:r>
          </w:p>
          <w:p w14:paraId="256E7620"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p>
        </w:tc>
      </w:tr>
      <w:tr w:rsidR="00015031" w:rsidRPr="00B60ED2" w14:paraId="16A4222E" w14:textId="77777777" w:rsidTr="007320A3">
        <w:tc>
          <w:tcPr>
            <w:tcW w:w="1838" w:type="dxa"/>
          </w:tcPr>
          <w:p w14:paraId="5E2D6556" w14:textId="50107432" w:rsidR="00015031" w:rsidRPr="00B60ED2" w:rsidRDefault="00426D7B" w:rsidP="007320A3">
            <w:pPr>
              <w:spacing w:line="276" w:lineRule="auto"/>
              <w:jc w:val="center"/>
              <w:rPr>
                <w:rFonts w:ascii="Times New Roman" w:eastAsia="+mn-ea" w:hAnsi="Times New Roman" w:cs="Times New Roman"/>
                <w:b/>
                <w:bCs/>
                <w:noProof/>
                <w:color w:val="767171" w:themeColor="background2" w:themeShade="80"/>
                <w:kern w:val="24"/>
                <w:sz w:val="32"/>
                <w:szCs w:val="32"/>
                <w:lang w:eastAsia="lv-LV"/>
              </w:rPr>
            </w:pPr>
            <w:r>
              <w:rPr>
                <w:rFonts w:eastAsiaTheme="minorEastAsia"/>
                <w:noProof/>
                <w:sz w:val="20"/>
                <w:szCs w:val="20"/>
              </w:rPr>
              <w:pict w14:anchorId="3BB95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2.8pt;width:67.2pt;height:67.2pt;z-index:251700224;mso-position-horizontal-relative:margin;mso-position-vertical-relative:margin">
                  <v:imagedata r:id="rId16" o:title="krasas"/>
                  <w10:wrap type="square" anchorx="margin" anchory="margin"/>
                </v:shape>
              </w:pict>
            </w:r>
          </w:p>
        </w:tc>
        <w:tc>
          <w:tcPr>
            <w:tcW w:w="7082" w:type="dxa"/>
          </w:tcPr>
          <w:p w14:paraId="0E957487" w14:textId="5DEEE19E" w:rsidR="00015031" w:rsidRPr="00B60ED2" w:rsidRDefault="00253A83" w:rsidP="00701B95">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 xml:space="preserve">Strauja inflācija, kas </w:t>
            </w:r>
            <w:r w:rsidR="00537131" w:rsidRPr="00B60ED2">
              <w:rPr>
                <w:rFonts w:ascii="Times New Roman" w:eastAsia="+mn-ea" w:hAnsi="Times New Roman" w:cs="Times New Roman"/>
                <w:b/>
                <w:bCs/>
                <w:kern w:val="24"/>
                <w:sz w:val="24"/>
                <w:szCs w:val="24"/>
                <w:lang w:eastAsia="lv-LV"/>
              </w:rPr>
              <w:t>īpaši</w:t>
            </w:r>
            <w:r w:rsidRPr="00B60ED2">
              <w:rPr>
                <w:rFonts w:ascii="Times New Roman" w:eastAsia="+mn-ea" w:hAnsi="Times New Roman" w:cs="Times New Roman"/>
                <w:b/>
                <w:bCs/>
                <w:kern w:val="24"/>
                <w:sz w:val="24"/>
                <w:szCs w:val="24"/>
                <w:lang w:eastAsia="lv-LV"/>
              </w:rPr>
              <w:t xml:space="preserve"> palielina būvniecības un ēku uzturēšanas izmaksas, kā arī mazina nodarbināto reālo atalgojumu. </w:t>
            </w:r>
            <w:r w:rsidR="00537131" w:rsidRPr="00B60ED2">
              <w:rPr>
                <w:rFonts w:ascii="Times New Roman" w:eastAsia="+mn-ea" w:hAnsi="Times New Roman" w:cs="Times New Roman"/>
                <w:bCs/>
                <w:kern w:val="24"/>
                <w:sz w:val="24"/>
                <w:szCs w:val="24"/>
                <w:lang w:eastAsia="lv-LV"/>
              </w:rPr>
              <w:t xml:space="preserve">Ir būtiski riski, ka inflācija kavēs </w:t>
            </w:r>
            <w:r w:rsidR="00701B95" w:rsidRPr="00B60ED2">
              <w:rPr>
                <w:rFonts w:ascii="Times New Roman" w:eastAsia="+mn-ea" w:hAnsi="Times New Roman" w:cs="Times New Roman"/>
                <w:bCs/>
                <w:kern w:val="24"/>
                <w:sz w:val="24"/>
                <w:szCs w:val="24"/>
                <w:lang w:eastAsia="lv-LV"/>
              </w:rPr>
              <w:t xml:space="preserve">vai negatīvi ietekmēs </w:t>
            </w:r>
            <w:r w:rsidR="00537131" w:rsidRPr="00B60ED2">
              <w:rPr>
                <w:rFonts w:ascii="Times New Roman" w:eastAsia="+mn-ea" w:hAnsi="Times New Roman" w:cs="Times New Roman"/>
                <w:bCs/>
                <w:kern w:val="24"/>
                <w:sz w:val="24"/>
                <w:szCs w:val="24"/>
                <w:lang w:eastAsia="lv-LV"/>
              </w:rPr>
              <w:t>iekšlietu nozares infrastruktūras attīst</w:t>
            </w:r>
            <w:r w:rsidR="00701B95" w:rsidRPr="00B60ED2">
              <w:rPr>
                <w:rFonts w:ascii="Times New Roman" w:eastAsia="+mn-ea" w:hAnsi="Times New Roman" w:cs="Times New Roman"/>
                <w:bCs/>
                <w:kern w:val="24"/>
                <w:sz w:val="24"/>
                <w:szCs w:val="24"/>
                <w:lang w:eastAsia="lv-LV"/>
              </w:rPr>
              <w:t>ību</w:t>
            </w:r>
            <w:r w:rsidR="00537131" w:rsidRPr="00B60ED2">
              <w:rPr>
                <w:rFonts w:ascii="Times New Roman" w:eastAsia="+mn-ea" w:hAnsi="Times New Roman" w:cs="Times New Roman"/>
                <w:bCs/>
                <w:kern w:val="24"/>
                <w:sz w:val="24"/>
                <w:szCs w:val="24"/>
                <w:lang w:eastAsia="lv-LV"/>
              </w:rPr>
              <w:t xml:space="preserve">. Patēriņa preču </w:t>
            </w:r>
            <w:r w:rsidR="00701B95" w:rsidRPr="00B60ED2">
              <w:rPr>
                <w:rFonts w:ascii="Times New Roman" w:eastAsia="+mn-ea" w:hAnsi="Times New Roman" w:cs="Times New Roman"/>
                <w:bCs/>
                <w:kern w:val="24"/>
                <w:sz w:val="24"/>
                <w:szCs w:val="24"/>
                <w:lang w:eastAsia="lv-LV"/>
              </w:rPr>
              <w:t xml:space="preserve">un energoresursu </w:t>
            </w:r>
            <w:r w:rsidR="00537131" w:rsidRPr="00B60ED2">
              <w:rPr>
                <w:rFonts w:ascii="Times New Roman" w:eastAsia="+mn-ea" w:hAnsi="Times New Roman" w:cs="Times New Roman"/>
                <w:bCs/>
                <w:kern w:val="24"/>
                <w:sz w:val="24"/>
                <w:szCs w:val="24"/>
                <w:lang w:eastAsia="lv-LV"/>
              </w:rPr>
              <w:t>cenu infl</w:t>
            </w:r>
            <w:r w:rsidR="00701B95" w:rsidRPr="00B60ED2">
              <w:rPr>
                <w:rFonts w:ascii="Times New Roman" w:eastAsia="+mn-ea" w:hAnsi="Times New Roman" w:cs="Times New Roman"/>
                <w:bCs/>
                <w:kern w:val="24"/>
                <w:sz w:val="24"/>
                <w:szCs w:val="24"/>
                <w:lang w:eastAsia="lv-LV"/>
              </w:rPr>
              <w:t>ācija</w:t>
            </w:r>
            <w:r w:rsidR="00537131" w:rsidRPr="00B60ED2">
              <w:rPr>
                <w:rFonts w:ascii="Times New Roman" w:eastAsia="+mn-ea" w:hAnsi="Times New Roman" w:cs="Times New Roman"/>
                <w:bCs/>
                <w:kern w:val="24"/>
                <w:sz w:val="24"/>
                <w:szCs w:val="24"/>
                <w:lang w:eastAsia="lv-LV"/>
              </w:rPr>
              <w:t xml:space="preserve"> negatīvi ietekmē </w:t>
            </w:r>
            <w:r w:rsidR="00701B95" w:rsidRPr="00B60ED2">
              <w:rPr>
                <w:rFonts w:ascii="Times New Roman" w:eastAsia="+mn-ea" w:hAnsi="Times New Roman" w:cs="Times New Roman"/>
                <w:bCs/>
                <w:kern w:val="24"/>
                <w:sz w:val="24"/>
                <w:szCs w:val="24"/>
                <w:lang w:eastAsia="lv-LV"/>
              </w:rPr>
              <w:t xml:space="preserve">arī </w:t>
            </w:r>
            <w:r w:rsidR="00537131" w:rsidRPr="00B60ED2">
              <w:rPr>
                <w:rFonts w:ascii="Times New Roman" w:eastAsia="+mn-ea" w:hAnsi="Times New Roman" w:cs="Times New Roman"/>
                <w:bCs/>
                <w:kern w:val="24"/>
                <w:sz w:val="24"/>
                <w:szCs w:val="24"/>
                <w:lang w:eastAsia="lv-LV"/>
              </w:rPr>
              <w:t>nozarē nodarbināto reālos ienākumus, kuru vērtība kr</w:t>
            </w:r>
            <w:r w:rsidR="00701B95" w:rsidRPr="00B60ED2">
              <w:rPr>
                <w:rFonts w:ascii="Times New Roman" w:eastAsia="+mn-ea" w:hAnsi="Times New Roman" w:cs="Times New Roman"/>
                <w:bCs/>
                <w:kern w:val="24"/>
                <w:sz w:val="24"/>
                <w:szCs w:val="24"/>
                <w:lang w:eastAsia="lv-LV"/>
              </w:rPr>
              <w:t>ītas. Tam</w:t>
            </w:r>
            <w:r w:rsidR="00537131" w:rsidRPr="00B60ED2">
              <w:rPr>
                <w:rFonts w:ascii="Times New Roman" w:eastAsia="+mn-ea" w:hAnsi="Times New Roman" w:cs="Times New Roman"/>
                <w:bCs/>
                <w:kern w:val="24"/>
                <w:sz w:val="24"/>
                <w:szCs w:val="24"/>
                <w:lang w:eastAsia="lv-LV"/>
              </w:rPr>
              <w:t xml:space="preserve"> ir risks novest pie darba spēka aizplūšanas uz privāto sektoru, kas ir elastīgāks atalgojuma pielāgošanas ziņā.</w:t>
            </w:r>
          </w:p>
        </w:tc>
      </w:tr>
      <w:tr w:rsidR="006740F9" w:rsidRPr="00B60ED2" w14:paraId="011731C1" w14:textId="77777777" w:rsidTr="007320A3">
        <w:tc>
          <w:tcPr>
            <w:tcW w:w="1838" w:type="dxa"/>
          </w:tcPr>
          <w:p w14:paraId="0709DE7F" w14:textId="77777777" w:rsidR="006740F9" w:rsidRPr="00B60ED2" w:rsidRDefault="006740F9" w:rsidP="007320A3">
            <w:pPr>
              <w:spacing w:line="276" w:lineRule="auto"/>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89984" behindDoc="1" locked="0" layoutInCell="1" allowOverlap="1" wp14:anchorId="517B75C1" wp14:editId="2B2E2819">
                  <wp:simplePos x="0" y="0"/>
                  <wp:positionH relativeFrom="column">
                    <wp:posOffset>88265</wp:posOffset>
                  </wp:positionH>
                  <wp:positionV relativeFrom="paragraph">
                    <wp:posOffset>211455</wp:posOffset>
                  </wp:positionV>
                  <wp:extent cx="843280" cy="7429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iber.PNG"/>
                          <pic:cNvPicPr/>
                        </pic:nvPicPr>
                        <pic:blipFill>
                          <a:blip r:embed="rId17">
                            <a:extLst>
                              <a:ext uri="{28A0092B-C50C-407E-A947-70E740481C1C}">
                                <a14:useLocalDpi xmlns:a14="http://schemas.microsoft.com/office/drawing/2010/main" val="0"/>
                              </a:ext>
                            </a:extLst>
                          </a:blip>
                          <a:stretch>
                            <a:fillRect/>
                          </a:stretch>
                        </pic:blipFill>
                        <pic:spPr>
                          <a:xfrm>
                            <a:off x="0" y="0"/>
                            <a:ext cx="843280" cy="742950"/>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20A963DD" w14:textId="77777777" w:rsidR="006740F9" w:rsidRPr="00B60ED2" w:rsidRDefault="006740F9" w:rsidP="007320A3">
            <w:pPr>
              <w:spacing w:line="276" w:lineRule="auto"/>
              <w:jc w:val="both"/>
              <w:rPr>
                <w:rFonts w:ascii="Times New Roman" w:eastAsia="+mn-ea" w:hAnsi="Times New Roman" w:cs="Times New Roman"/>
                <w:b/>
                <w:bCs/>
                <w:kern w:val="24"/>
                <w:sz w:val="24"/>
                <w:szCs w:val="24"/>
                <w:lang w:eastAsia="lv-LV"/>
              </w:rPr>
            </w:pPr>
          </w:p>
          <w:p w14:paraId="1D68D1D4"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Pastāvīgi pieaug apdraudējums kibertelpā</w:t>
            </w:r>
            <w:r w:rsidRPr="00B60ED2">
              <w:rPr>
                <w:rFonts w:ascii="Times New Roman" w:eastAsia="+mn-ea" w:hAnsi="Times New Roman" w:cs="Times New Roman"/>
                <w:bCs/>
                <w:kern w:val="24"/>
                <w:sz w:val="24"/>
                <w:szCs w:val="24"/>
                <w:lang w:eastAsia="lv-LV"/>
              </w:rPr>
              <w:t xml:space="preserve">, tostarp citu valstu atbalstītu kiberuzbrukumu iespējamība valsts iestādēm un kritiskajai infrastruktūrai. Arvien vairāk pieaug </w:t>
            </w:r>
            <w:proofErr w:type="spellStart"/>
            <w:r w:rsidRPr="00B60ED2">
              <w:rPr>
                <w:rFonts w:ascii="Times New Roman" w:eastAsia="+mn-ea" w:hAnsi="Times New Roman" w:cs="Times New Roman"/>
                <w:bCs/>
                <w:kern w:val="24"/>
                <w:sz w:val="24"/>
                <w:szCs w:val="24"/>
                <w:lang w:eastAsia="lv-LV"/>
              </w:rPr>
              <w:t>kibernoziedzība</w:t>
            </w:r>
            <w:proofErr w:type="spellEnd"/>
            <w:r w:rsidRPr="00B60ED2">
              <w:rPr>
                <w:rFonts w:ascii="Times New Roman" w:eastAsia="+mn-ea" w:hAnsi="Times New Roman" w:cs="Times New Roman"/>
                <w:bCs/>
                <w:kern w:val="24"/>
                <w:sz w:val="24"/>
                <w:szCs w:val="24"/>
                <w:lang w:eastAsia="lv-LV"/>
              </w:rPr>
              <w:t xml:space="preserve"> un citu nelegālu darbību veikšana interneta vidē vai izmantojot jaunās tehnoloģijas.</w:t>
            </w:r>
          </w:p>
          <w:p w14:paraId="594682DD"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p>
        </w:tc>
      </w:tr>
      <w:tr w:rsidR="006740F9" w:rsidRPr="00B60ED2" w14:paraId="06C14143" w14:textId="77777777" w:rsidTr="007320A3">
        <w:tc>
          <w:tcPr>
            <w:tcW w:w="1838" w:type="dxa"/>
          </w:tcPr>
          <w:p w14:paraId="71DC67F1"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91008" behindDoc="0" locked="0" layoutInCell="1" allowOverlap="1" wp14:anchorId="18C33B1B" wp14:editId="14BF3C86">
                  <wp:simplePos x="0" y="0"/>
                  <wp:positionH relativeFrom="column">
                    <wp:posOffset>83820</wp:posOffset>
                  </wp:positionH>
                  <wp:positionV relativeFrom="paragraph">
                    <wp:posOffset>57150</wp:posOffset>
                  </wp:positionV>
                  <wp:extent cx="895350" cy="9144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adical.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350" cy="914400"/>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2F8C768C" w14:textId="77777777" w:rsidR="006740F9" w:rsidRPr="00B60ED2" w:rsidRDefault="006740F9" w:rsidP="007320A3">
            <w:pPr>
              <w:spacing w:line="276" w:lineRule="auto"/>
              <w:jc w:val="both"/>
              <w:rPr>
                <w:rFonts w:ascii="Times New Roman" w:eastAsia="+mn-ea" w:hAnsi="Times New Roman" w:cs="Times New Roman"/>
                <w:b/>
                <w:bCs/>
                <w:kern w:val="24"/>
                <w:sz w:val="24"/>
                <w:szCs w:val="24"/>
                <w:lang w:eastAsia="lv-LV"/>
              </w:rPr>
            </w:pPr>
          </w:p>
          <w:p w14:paraId="3AACB0C0"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Augsta sabiedrības neuzticība valsts pārvaldes iestādēm</w:t>
            </w:r>
            <w:r w:rsidRPr="00B60ED2">
              <w:rPr>
                <w:rFonts w:ascii="Times New Roman" w:eastAsia="+mn-ea" w:hAnsi="Times New Roman" w:cs="Times New Roman"/>
                <w:bCs/>
                <w:kern w:val="24"/>
                <w:sz w:val="24"/>
                <w:szCs w:val="24"/>
                <w:lang w:eastAsia="lv-LV"/>
              </w:rPr>
              <w:t>, tostarp dezinformācijas un viltus ziņu rezultātā. Sabiedrības šķelšanās, radikalizācija un pieaugoša tolerance pret likumpārkāpumiem.</w:t>
            </w:r>
          </w:p>
          <w:p w14:paraId="0E059211"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bl>
    <w:p w14:paraId="3EF16BD3" w14:textId="77777777" w:rsidR="006740F9" w:rsidRPr="00B60ED2" w:rsidRDefault="006740F9" w:rsidP="006740F9">
      <w:pPr>
        <w:spacing w:line="276" w:lineRule="auto"/>
        <w:jc w:val="both"/>
        <w:rPr>
          <w:rFonts w:ascii="Times New Roman" w:eastAsia="+mn-ea" w:hAnsi="Times New Roman" w:cs="Times New Roman"/>
          <w:bCs/>
          <w:kern w:val="24"/>
          <w:sz w:val="24"/>
          <w:szCs w:val="24"/>
          <w:lang w:eastAsia="lv-LV"/>
        </w:rPr>
      </w:pPr>
    </w:p>
    <w:p w14:paraId="4EC2583D" w14:textId="77777777" w:rsidR="006740F9" w:rsidRPr="00B60ED2" w:rsidRDefault="006740F9" w:rsidP="006740F9">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Stiprās puses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6940"/>
      </w:tblGrid>
      <w:tr w:rsidR="006740F9" w:rsidRPr="00B60ED2" w14:paraId="5F39D841" w14:textId="77777777" w:rsidTr="007320A3">
        <w:tc>
          <w:tcPr>
            <w:tcW w:w="1980" w:type="dxa"/>
          </w:tcPr>
          <w:p w14:paraId="10C00D28" w14:textId="77777777" w:rsidR="006740F9" w:rsidRPr="00B60ED2" w:rsidRDefault="006740F9" w:rsidP="007320A3">
            <w:pPr>
              <w:spacing w:line="276" w:lineRule="auto"/>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noProof/>
                <w:color w:val="767171" w:themeColor="background2" w:themeShade="80"/>
                <w:kern w:val="24"/>
                <w:sz w:val="28"/>
                <w:szCs w:val="28"/>
                <w:lang w:eastAsia="lv-LV"/>
              </w:rPr>
              <w:drawing>
                <wp:anchor distT="0" distB="0" distL="114300" distR="114300" simplePos="0" relativeHeight="251694080" behindDoc="1" locked="0" layoutInCell="1" allowOverlap="1" wp14:anchorId="07819FA0" wp14:editId="12D5606B">
                  <wp:simplePos x="0" y="0"/>
                  <wp:positionH relativeFrom="column">
                    <wp:posOffset>165100</wp:posOffset>
                  </wp:positionH>
                  <wp:positionV relativeFrom="paragraph">
                    <wp:posOffset>0</wp:posOffset>
                  </wp:positionV>
                  <wp:extent cx="781050" cy="807720"/>
                  <wp:effectExtent l="0" t="0" r="0" b="0"/>
                  <wp:wrapTight wrapText="bothSides">
                    <wp:wrapPolygon edited="0">
                      <wp:start x="0" y="0"/>
                      <wp:lineTo x="0" y="20887"/>
                      <wp:lineTo x="21073" y="20887"/>
                      <wp:lineTo x="2107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appy.PNG"/>
                          <pic:cNvPicPr/>
                        </pic:nvPicPr>
                        <pic:blipFill>
                          <a:blip r:embed="rId19">
                            <a:extLst>
                              <a:ext uri="{28A0092B-C50C-407E-A947-70E740481C1C}">
                                <a14:useLocalDpi xmlns:a14="http://schemas.microsoft.com/office/drawing/2010/main" val="0"/>
                              </a:ext>
                            </a:extLst>
                          </a:blip>
                          <a:stretch>
                            <a:fillRect/>
                          </a:stretch>
                        </pic:blipFill>
                        <pic:spPr>
                          <a:xfrm>
                            <a:off x="0" y="0"/>
                            <a:ext cx="781050" cy="807720"/>
                          </a:xfrm>
                          <a:prstGeom prst="rect">
                            <a:avLst/>
                          </a:prstGeom>
                        </pic:spPr>
                      </pic:pic>
                    </a:graphicData>
                  </a:graphic>
                  <wp14:sizeRelH relativeFrom="margin">
                    <wp14:pctWidth>0</wp14:pctWidth>
                  </wp14:sizeRelH>
                  <wp14:sizeRelV relativeFrom="margin">
                    <wp14:pctHeight>0</wp14:pctHeight>
                  </wp14:sizeRelV>
                </wp:anchor>
              </w:drawing>
            </w:r>
          </w:p>
        </w:tc>
        <w:tc>
          <w:tcPr>
            <w:tcW w:w="6940" w:type="dxa"/>
          </w:tcPr>
          <w:p w14:paraId="32C567B6" w14:textId="77777777" w:rsidR="006740F9" w:rsidRPr="00B60ED2" w:rsidRDefault="006740F9" w:rsidP="007320A3">
            <w:pPr>
              <w:spacing w:line="276" w:lineRule="auto"/>
              <w:jc w:val="both"/>
              <w:rPr>
                <w:rFonts w:ascii="Times New Roman" w:eastAsia="+mn-ea" w:hAnsi="Times New Roman" w:cs="Times New Roman"/>
                <w:b/>
                <w:bCs/>
                <w:kern w:val="24"/>
                <w:sz w:val="24"/>
                <w:szCs w:val="32"/>
                <w:lang w:eastAsia="lv-LV"/>
              </w:rPr>
            </w:pPr>
          </w:p>
          <w:p w14:paraId="5A288316" w14:textId="77777777" w:rsidR="006740F9" w:rsidRPr="00B60ED2" w:rsidRDefault="006740F9" w:rsidP="007320A3">
            <w:pPr>
              <w:spacing w:line="276"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
                <w:bCs/>
                <w:kern w:val="24"/>
                <w:sz w:val="24"/>
                <w:szCs w:val="32"/>
                <w:lang w:eastAsia="lv-LV"/>
              </w:rPr>
              <w:t>Nodarbinātie ir lepni strādāt iekšlietu nozarē</w:t>
            </w:r>
            <w:r w:rsidRPr="00B60ED2">
              <w:rPr>
                <w:rFonts w:ascii="Times New Roman" w:eastAsia="+mn-ea" w:hAnsi="Times New Roman" w:cs="Times New Roman"/>
                <w:bCs/>
                <w:kern w:val="24"/>
                <w:sz w:val="24"/>
                <w:szCs w:val="32"/>
                <w:lang w:eastAsia="lv-LV"/>
              </w:rPr>
              <w:t>. Tos motivē ne tikai atalgojums, bet arī misija un aicinājums veidot Latviju par drošu valsti, kam ir arī pozitīva ietekme uz nodarbināto sniegumu.</w:t>
            </w:r>
          </w:p>
        </w:tc>
      </w:tr>
      <w:tr w:rsidR="006740F9" w:rsidRPr="00B60ED2" w14:paraId="108514CC" w14:textId="77777777" w:rsidTr="007320A3">
        <w:tc>
          <w:tcPr>
            <w:tcW w:w="1980" w:type="dxa"/>
          </w:tcPr>
          <w:p w14:paraId="492A19B8"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noProof/>
                <w:color w:val="767171" w:themeColor="background2" w:themeShade="80"/>
                <w:kern w:val="24"/>
                <w:sz w:val="28"/>
                <w:szCs w:val="28"/>
                <w:lang w:eastAsia="lv-LV"/>
              </w:rPr>
              <w:lastRenderedPageBreak/>
              <w:drawing>
                <wp:anchor distT="0" distB="0" distL="114300" distR="114300" simplePos="0" relativeHeight="251693056" behindDoc="0" locked="0" layoutInCell="1" allowOverlap="1" wp14:anchorId="1EE0B18E" wp14:editId="2D084F68">
                  <wp:simplePos x="0" y="0"/>
                  <wp:positionH relativeFrom="column">
                    <wp:posOffset>121285</wp:posOffset>
                  </wp:positionH>
                  <wp:positionV relativeFrom="paragraph">
                    <wp:posOffset>200660</wp:posOffset>
                  </wp:positionV>
                  <wp:extent cx="833755" cy="833755"/>
                  <wp:effectExtent l="0" t="0" r="4445" b="444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ocgar.PNG"/>
                          <pic:cNvPicPr/>
                        </pic:nvPicPr>
                        <pic:blipFill>
                          <a:blip r:embed="rId20">
                            <a:extLst>
                              <a:ext uri="{28A0092B-C50C-407E-A947-70E740481C1C}">
                                <a14:useLocalDpi xmlns:a14="http://schemas.microsoft.com/office/drawing/2010/main" val="0"/>
                              </a:ext>
                            </a:extLst>
                          </a:blip>
                          <a:stretch>
                            <a:fillRect/>
                          </a:stretch>
                        </pic:blipFill>
                        <pic:spPr>
                          <a:xfrm>
                            <a:off x="0" y="0"/>
                            <a:ext cx="833755" cy="833755"/>
                          </a:xfrm>
                          <a:prstGeom prst="rect">
                            <a:avLst/>
                          </a:prstGeom>
                        </pic:spPr>
                      </pic:pic>
                    </a:graphicData>
                  </a:graphic>
                  <wp14:sizeRelH relativeFrom="margin">
                    <wp14:pctWidth>0</wp14:pctWidth>
                  </wp14:sizeRelH>
                  <wp14:sizeRelV relativeFrom="margin">
                    <wp14:pctHeight>0</wp14:pctHeight>
                  </wp14:sizeRelV>
                </wp:anchor>
              </w:drawing>
            </w:r>
          </w:p>
        </w:tc>
        <w:tc>
          <w:tcPr>
            <w:tcW w:w="6940" w:type="dxa"/>
          </w:tcPr>
          <w:p w14:paraId="6F297518" w14:textId="77777777" w:rsidR="006740F9" w:rsidRPr="00B60ED2" w:rsidRDefault="006740F9" w:rsidP="007320A3">
            <w:pPr>
              <w:spacing w:line="276" w:lineRule="auto"/>
              <w:jc w:val="both"/>
              <w:rPr>
                <w:rFonts w:ascii="Times New Roman" w:eastAsia="+mn-ea" w:hAnsi="Times New Roman" w:cs="Times New Roman"/>
                <w:b/>
                <w:bCs/>
                <w:kern w:val="24"/>
                <w:sz w:val="24"/>
                <w:szCs w:val="32"/>
                <w:lang w:eastAsia="lv-LV"/>
              </w:rPr>
            </w:pPr>
          </w:p>
          <w:p w14:paraId="247DFDFA" w14:textId="77777777" w:rsidR="006740F9" w:rsidRPr="00B60ED2" w:rsidRDefault="006740F9" w:rsidP="007320A3">
            <w:pPr>
              <w:spacing w:line="276"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
                <w:bCs/>
                <w:kern w:val="24"/>
                <w:sz w:val="24"/>
                <w:szCs w:val="32"/>
                <w:lang w:eastAsia="lv-LV"/>
              </w:rPr>
              <w:t xml:space="preserve">Iekšlietu nozarē nodarbinātie saņem konkurētspējīgas sociālās garantijas, </w:t>
            </w:r>
            <w:r w:rsidRPr="00B60ED2">
              <w:rPr>
                <w:rFonts w:ascii="Times New Roman" w:eastAsia="+mn-ea" w:hAnsi="Times New Roman" w:cs="Times New Roman"/>
                <w:bCs/>
                <w:kern w:val="24"/>
                <w:sz w:val="24"/>
                <w:szCs w:val="32"/>
                <w:lang w:eastAsia="lv-LV"/>
              </w:rPr>
              <w:t>tostarp veselības apdrošināšanu, izdienas pensijas, papildus atvaļinājuma dienas, piemaksas. Tas palīdz noturēt un motivēt nodarbinātos.</w:t>
            </w:r>
            <w:r w:rsidRPr="00B60ED2">
              <w:rPr>
                <w:rFonts w:ascii="Times New Roman" w:eastAsia="+mn-ea" w:hAnsi="Times New Roman" w:cs="Times New Roman"/>
                <w:bCs/>
                <w:kern w:val="24"/>
                <w:sz w:val="24"/>
                <w:szCs w:val="32"/>
                <w:lang w:eastAsia="lv-LV"/>
              </w:rPr>
              <w:br/>
            </w:r>
          </w:p>
        </w:tc>
      </w:tr>
      <w:tr w:rsidR="006740F9" w:rsidRPr="00B60ED2" w14:paraId="5BCD7720" w14:textId="77777777" w:rsidTr="007320A3">
        <w:tc>
          <w:tcPr>
            <w:tcW w:w="1980" w:type="dxa"/>
          </w:tcPr>
          <w:p w14:paraId="5C7B99B1"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noProof/>
                <w:color w:val="767171" w:themeColor="background2" w:themeShade="80"/>
                <w:kern w:val="24"/>
                <w:sz w:val="28"/>
                <w:szCs w:val="28"/>
                <w:lang w:eastAsia="lv-LV"/>
              </w:rPr>
              <w:drawing>
                <wp:anchor distT="0" distB="0" distL="114300" distR="114300" simplePos="0" relativeHeight="251692032" behindDoc="0" locked="0" layoutInCell="1" allowOverlap="1" wp14:anchorId="32DB12D0" wp14:editId="196D7AB9">
                  <wp:simplePos x="0" y="0"/>
                  <wp:positionH relativeFrom="column">
                    <wp:posOffset>102870</wp:posOffset>
                  </wp:positionH>
                  <wp:positionV relativeFrom="paragraph">
                    <wp:posOffset>146685</wp:posOffset>
                  </wp:positionV>
                  <wp:extent cx="819150" cy="82423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rukt.PNG"/>
                          <pic:cNvPicPr/>
                        </pic:nvPicPr>
                        <pic:blipFill>
                          <a:blip r:embed="rId21">
                            <a:extLst>
                              <a:ext uri="{28A0092B-C50C-407E-A947-70E740481C1C}">
                                <a14:useLocalDpi xmlns:a14="http://schemas.microsoft.com/office/drawing/2010/main" val="0"/>
                              </a:ext>
                            </a:extLst>
                          </a:blip>
                          <a:stretch>
                            <a:fillRect/>
                          </a:stretch>
                        </pic:blipFill>
                        <pic:spPr>
                          <a:xfrm>
                            <a:off x="0" y="0"/>
                            <a:ext cx="819150" cy="824230"/>
                          </a:xfrm>
                          <a:prstGeom prst="rect">
                            <a:avLst/>
                          </a:prstGeom>
                        </pic:spPr>
                      </pic:pic>
                    </a:graphicData>
                  </a:graphic>
                  <wp14:sizeRelH relativeFrom="margin">
                    <wp14:pctWidth>0</wp14:pctWidth>
                  </wp14:sizeRelH>
                  <wp14:sizeRelV relativeFrom="margin">
                    <wp14:pctHeight>0</wp14:pctHeight>
                  </wp14:sizeRelV>
                </wp:anchor>
              </w:drawing>
            </w:r>
          </w:p>
        </w:tc>
        <w:tc>
          <w:tcPr>
            <w:tcW w:w="6940" w:type="dxa"/>
          </w:tcPr>
          <w:p w14:paraId="0CC4155D" w14:textId="77777777" w:rsidR="006740F9" w:rsidRPr="00B60ED2" w:rsidRDefault="006740F9" w:rsidP="007320A3">
            <w:pPr>
              <w:spacing w:line="276"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
                <w:bCs/>
                <w:kern w:val="24"/>
                <w:sz w:val="24"/>
                <w:szCs w:val="32"/>
                <w:lang w:eastAsia="lv-LV"/>
              </w:rPr>
              <w:br/>
              <w:t>Iekšlietu nozarē īstenotās strukturālās reformas</w:t>
            </w:r>
            <w:r w:rsidRPr="00B60ED2">
              <w:rPr>
                <w:rFonts w:ascii="Times New Roman" w:eastAsia="+mn-ea" w:hAnsi="Times New Roman" w:cs="Times New Roman"/>
                <w:bCs/>
                <w:kern w:val="24"/>
                <w:sz w:val="24"/>
                <w:szCs w:val="32"/>
                <w:lang w:eastAsia="lv-LV"/>
              </w:rPr>
              <w:t>, lai nodrošinātu ērtāku, kvalitatīvāku un ekonomiskāku pakalpojumu iedzīvotājiem, uzlabotu plānošanas un rezultātu uzraudzības procesus, kā arī veicinātu iekšējo procesu digitalizāciju.</w:t>
            </w:r>
          </w:p>
          <w:p w14:paraId="59744023" w14:textId="77777777" w:rsidR="006740F9" w:rsidRPr="00B60ED2" w:rsidRDefault="006740F9" w:rsidP="007320A3">
            <w:pPr>
              <w:spacing w:line="276" w:lineRule="auto"/>
              <w:jc w:val="both"/>
              <w:rPr>
                <w:rFonts w:ascii="Times New Roman" w:eastAsia="+mn-ea" w:hAnsi="Times New Roman" w:cs="Times New Roman"/>
                <w:bCs/>
                <w:kern w:val="24"/>
                <w:sz w:val="24"/>
                <w:szCs w:val="32"/>
                <w:lang w:eastAsia="lv-LV"/>
              </w:rPr>
            </w:pPr>
          </w:p>
        </w:tc>
      </w:tr>
      <w:tr w:rsidR="006740F9" w:rsidRPr="00B60ED2" w14:paraId="3744442F" w14:textId="77777777" w:rsidTr="007320A3">
        <w:tc>
          <w:tcPr>
            <w:tcW w:w="1980" w:type="dxa"/>
          </w:tcPr>
          <w:p w14:paraId="745FDC7D"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noProof/>
                <w:color w:val="767171" w:themeColor="background2" w:themeShade="80"/>
                <w:kern w:val="24"/>
                <w:sz w:val="28"/>
                <w:szCs w:val="28"/>
                <w:lang w:eastAsia="lv-LV"/>
              </w:rPr>
              <w:drawing>
                <wp:anchor distT="0" distB="0" distL="114300" distR="114300" simplePos="0" relativeHeight="251695104" behindDoc="0" locked="0" layoutInCell="1" allowOverlap="1" wp14:anchorId="1809D7C9" wp14:editId="4CA805EC">
                  <wp:simplePos x="0" y="0"/>
                  <wp:positionH relativeFrom="column">
                    <wp:posOffset>150495</wp:posOffset>
                  </wp:positionH>
                  <wp:positionV relativeFrom="paragraph">
                    <wp:posOffset>452120</wp:posOffset>
                  </wp:positionV>
                  <wp:extent cx="770255" cy="78359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nfra.PNG"/>
                          <pic:cNvPicPr/>
                        </pic:nvPicPr>
                        <pic:blipFill>
                          <a:blip r:embed="rId22">
                            <a:extLst>
                              <a:ext uri="{28A0092B-C50C-407E-A947-70E740481C1C}">
                                <a14:useLocalDpi xmlns:a14="http://schemas.microsoft.com/office/drawing/2010/main" val="0"/>
                              </a:ext>
                            </a:extLst>
                          </a:blip>
                          <a:stretch>
                            <a:fillRect/>
                          </a:stretch>
                        </pic:blipFill>
                        <pic:spPr>
                          <a:xfrm>
                            <a:off x="0" y="0"/>
                            <a:ext cx="770255" cy="783590"/>
                          </a:xfrm>
                          <a:prstGeom prst="rect">
                            <a:avLst/>
                          </a:prstGeom>
                        </pic:spPr>
                      </pic:pic>
                    </a:graphicData>
                  </a:graphic>
                  <wp14:sizeRelH relativeFrom="margin">
                    <wp14:pctWidth>0</wp14:pctWidth>
                  </wp14:sizeRelH>
                  <wp14:sizeRelV relativeFrom="margin">
                    <wp14:pctHeight>0</wp14:pctHeight>
                  </wp14:sizeRelV>
                </wp:anchor>
              </w:drawing>
            </w:r>
          </w:p>
        </w:tc>
        <w:tc>
          <w:tcPr>
            <w:tcW w:w="6940" w:type="dxa"/>
          </w:tcPr>
          <w:p w14:paraId="1C9AADC2" w14:textId="77777777" w:rsidR="006740F9" w:rsidRPr="00B60ED2" w:rsidRDefault="006740F9" w:rsidP="007320A3">
            <w:pPr>
              <w:spacing w:line="276" w:lineRule="auto"/>
              <w:jc w:val="both"/>
              <w:rPr>
                <w:rFonts w:ascii="Times New Roman" w:eastAsia="+mn-ea" w:hAnsi="Times New Roman" w:cs="Times New Roman"/>
                <w:b/>
                <w:bCs/>
                <w:kern w:val="24"/>
                <w:sz w:val="24"/>
                <w:szCs w:val="32"/>
                <w:lang w:eastAsia="lv-LV"/>
              </w:rPr>
            </w:pPr>
          </w:p>
          <w:p w14:paraId="6AB4DB0C" w14:textId="05A0EFB5" w:rsidR="006740F9" w:rsidRPr="00B60ED2" w:rsidRDefault="00826333" w:rsidP="00826333">
            <w:pPr>
              <w:spacing w:line="276"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Vīzija par iekšlietu nozares infrastruktūras funkcionāli lietderīgu, ilgtspējīgu attīstību, tostarp izmantojot tipveida skiču projektus jaunu ugunsdzēsības depo un Valsts policijas iecirkņu ēku būvniecībai. Ir saņemts finansējums vairāku jaunu ugunsdzēsības depo un katastrofu pārvaldības centru būvniecībai, kuros plānots izvietot Ministrijas padotības iestāžu struktūrvienības un nepieciešamības gadījumā arī citu resoru iestādes. Tiek īstenoti un ir plānoti pasākumi ēku energoefektivitātes uzlabošanai, veicinot gandrīz nulles enerģijas patēriņa ēku būvniecību, un nekustamo īpašumu struktūras optimizēšanai, samazinot kopējo Ministrijas valdījumā un nomā esošo nekustamo īpašumu skaitu.</w:t>
            </w:r>
          </w:p>
        </w:tc>
      </w:tr>
    </w:tbl>
    <w:p w14:paraId="50F89D55" w14:textId="77777777" w:rsidR="006740F9" w:rsidRPr="00B60ED2" w:rsidRDefault="006740F9" w:rsidP="006740F9">
      <w:pPr>
        <w:spacing w:line="276" w:lineRule="auto"/>
        <w:rPr>
          <w:rFonts w:ascii="Times New Roman" w:eastAsia="+mn-ea" w:hAnsi="Times New Roman" w:cs="Times New Roman"/>
          <w:b/>
          <w:bCs/>
          <w:color w:val="767171" w:themeColor="background2" w:themeShade="80"/>
          <w:kern w:val="24"/>
          <w:sz w:val="28"/>
          <w:szCs w:val="28"/>
          <w:lang w:eastAsia="lv-LV"/>
        </w:rPr>
      </w:pPr>
    </w:p>
    <w:p w14:paraId="6CB8B30C" w14:textId="77777777" w:rsidR="006740F9" w:rsidRPr="00B60ED2" w:rsidRDefault="006740F9" w:rsidP="006740F9">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Vājās puses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6940"/>
      </w:tblGrid>
      <w:tr w:rsidR="006740F9" w:rsidRPr="00B60ED2" w14:paraId="57B26035" w14:textId="77777777" w:rsidTr="007320A3">
        <w:tc>
          <w:tcPr>
            <w:tcW w:w="1980" w:type="dxa"/>
          </w:tcPr>
          <w:p w14:paraId="04B9C627"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96128" behindDoc="0" locked="0" layoutInCell="1" allowOverlap="1" wp14:anchorId="64F808A5" wp14:editId="1A70A0F3">
                  <wp:simplePos x="0" y="0"/>
                  <wp:positionH relativeFrom="column">
                    <wp:posOffset>13970</wp:posOffset>
                  </wp:positionH>
                  <wp:positionV relativeFrom="paragraph">
                    <wp:posOffset>223520</wp:posOffset>
                  </wp:positionV>
                  <wp:extent cx="1062182" cy="952500"/>
                  <wp:effectExtent l="0" t="0" r="508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ilveki.PNG"/>
                          <pic:cNvPicPr/>
                        </pic:nvPicPr>
                        <pic:blipFill>
                          <a:blip r:embed="rId23">
                            <a:extLst>
                              <a:ext uri="{28A0092B-C50C-407E-A947-70E740481C1C}">
                                <a14:useLocalDpi xmlns:a14="http://schemas.microsoft.com/office/drawing/2010/main" val="0"/>
                              </a:ext>
                            </a:extLst>
                          </a:blip>
                          <a:stretch>
                            <a:fillRect/>
                          </a:stretch>
                        </pic:blipFill>
                        <pic:spPr>
                          <a:xfrm>
                            <a:off x="0" y="0"/>
                            <a:ext cx="1062182" cy="952500"/>
                          </a:xfrm>
                          <a:prstGeom prst="rect">
                            <a:avLst/>
                          </a:prstGeom>
                        </pic:spPr>
                      </pic:pic>
                    </a:graphicData>
                  </a:graphic>
                </wp:anchor>
              </w:drawing>
            </w:r>
          </w:p>
        </w:tc>
        <w:tc>
          <w:tcPr>
            <w:tcW w:w="6940" w:type="dxa"/>
          </w:tcPr>
          <w:p w14:paraId="65F38422"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4A20EE82" w14:textId="77777777" w:rsidR="006740F9" w:rsidRPr="00B60ED2" w:rsidRDefault="006740F9"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Dienestos un iestādēs trūkst nodarbināto, lai nodrošinātu kvalitatīvu un laicīgu funkciju izpildi</w:t>
            </w:r>
            <w:r w:rsidRPr="00B60ED2">
              <w:rPr>
                <w:rFonts w:ascii="Times New Roman" w:hAnsi="Times New Roman" w:cs="Times New Roman"/>
                <w:iCs/>
                <w:sz w:val="24"/>
                <w:szCs w:val="24"/>
                <w:lang w:eastAsia="lv-LV"/>
              </w:rPr>
              <w:t>. Nekonkurētspējīgais atalgojums salīdzinājumā ar privāto sektoru apgrūtina iespējas piesaistīt un noturēt darbiniekus, palielinot personāla mainību un kaitējot institucionālajai atmiņai.</w:t>
            </w:r>
          </w:p>
          <w:p w14:paraId="6C6AC91D"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r w:rsidR="006740F9" w:rsidRPr="00B60ED2" w14:paraId="6F84FCD2" w14:textId="77777777" w:rsidTr="007320A3">
        <w:tc>
          <w:tcPr>
            <w:tcW w:w="1980" w:type="dxa"/>
          </w:tcPr>
          <w:p w14:paraId="7121C910"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inline distT="0" distB="0" distL="0" distR="0" wp14:anchorId="6DDB392E" wp14:editId="0E2D8EAD">
                  <wp:extent cx="1004239" cy="1123950"/>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nfrastr.PNG"/>
                          <pic:cNvPicPr/>
                        </pic:nvPicPr>
                        <pic:blipFill>
                          <a:blip r:embed="rId24">
                            <a:extLst>
                              <a:ext uri="{28A0092B-C50C-407E-A947-70E740481C1C}">
                                <a14:useLocalDpi xmlns:a14="http://schemas.microsoft.com/office/drawing/2010/main" val="0"/>
                              </a:ext>
                            </a:extLst>
                          </a:blip>
                          <a:stretch>
                            <a:fillRect/>
                          </a:stretch>
                        </pic:blipFill>
                        <pic:spPr>
                          <a:xfrm>
                            <a:off x="0" y="0"/>
                            <a:ext cx="1024756" cy="1146913"/>
                          </a:xfrm>
                          <a:prstGeom prst="rect">
                            <a:avLst/>
                          </a:prstGeom>
                        </pic:spPr>
                      </pic:pic>
                    </a:graphicData>
                  </a:graphic>
                </wp:inline>
              </w:drawing>
            </w:r>
          </w:p>
        </w:tc>
        <w:tc>
          <w:tcPr>
            <w:tcW w:w="6940" w:type="dxa"/>
          </w:tcPr>
          <w:p w14:paraId="382B55A9"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71820F21" w14:textId="0CB9F667" w:rsidR="006740F9" w:rsidRPr="00B60ED2" w:rsidRDefault="00047862"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Slikts infrastruktūras stāvoklis, jo īpaši Valsts policijā</w:t>
            </w:r>
            <w:r w:rsidR="006740F9" w:rsidRPr="00B60ED2">
              <w:rPr>
                <w:rFonts w:ascii="Times New Roman" w:hAnsi="Times New Roman" w:cs="Times New Roman"/>
                <w:b/>
                <w:iCs/>
                <w:sz w:val="24"/>
                <w:szCs w:val="24"/>
                <w:lang w:eastAsia="lv-LV"/>
              </w:rPr>
              <w:t xml:space="preserve"> un Valsts ugu</w:t>
            </w:r>
            <w:r w:rsidRPr="00B60ED2">
              <w:rPr>
                <w:rFonts w:ascii="Times New Roman" w:hAnsi="Times New Roman" w:cs="Times New Roman"/>
                <w:b/>
                <w:iCs/>
                <w:sz w:val="24"/>
                <w:szCs w:val="24"/>
                <w:lang w:eastAsia="lv-LV"/>
              </w:rPr>
              <w:t>nsdzēsības un glābšanas dienestā,</w:t>
            </w:r>
            <w:r w:rsidR="006740F9" w:rsidRPr="00B60ED2">
              <w:rPr>
                <w:rFonts w:ascii="Times New Roman" w:hAnsi="Times New Roman" w:cs="Times New Roman"/>
                <w:b/>
                <w:iCs/>
                <w:sz w:val="24"/>
                <w:szCs w:val="24"/>
                <w:lang w:eastAsia="lv-LV"/>
              </w:rPr>
              <w:t xml:space="preserve"> </w:t>
            </w:r>
            <w:proofErr w:type="spellStart"/>
            <w:r w:rsidR="006740F9" w:rsidRPr="00B60ED2">
              <w:rPr>
                <w:rFonts w:ascii="Times New Roman" w:hAnsi="Times New Roman" w:cs="Times New Roman"/>
                <w:iCs/>
                <w:sz w:val="24"/>
                <w:szCs w:val="24"/>
                <w:lang w:eastAsia="lv-LV"/>
              </w:rPr>
              <w:t>demotivē</w:t>
            </w:r>
            <w:proofErr w:type="spellEnd"/>
            <w:r w:rsidR="006740F9" w:rsidRPr="00B60ED2">
              <w:rPr>
                <w:rFonts w:ascii="Times New Roman" w:hAnsi="Times New Roman" w:cs="Times New Roman"/>
                <w:iCs/>
                <w:sz w:val="24"/>
                <w:szCs w:val="24"/>
                <w:lang w:eastAsia="lv-LV"/>
              </w:rPr>
              <w:t xml:space="preserve"> nodarbinātos, kaitē produktivitātei, ietekmē sabiedrībai sniegtā pakalpojuma kvalitāti un palielina personāla aizplūšanas risku.</w:t>
            </w:r>
          </w:p>
          <w:p w14:paraId="258B63EB"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r w:rsidR="006740F9" w:rsidRPr="00B60ED2" w14:paraId="22211DA0" w14:textId="77777777" w:rsidTr="007320A3">
        <w:tc>
          <w:tcPr>
            <w:tcW w:w="1980" w:type="dxa"/>
          </w:tcPr>
          <w:p w14:paraId="5BE3E4F2"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lastRenderedPageBreak/>
              <w:drawing>
                <wp:anchor distT="0" distB="0" distL="114300" distR="114300" simplePos="0" relativeHeight="251697152" behindDoc="0" locked="0" layoutInCell="1" allowOverlap="1" wp14:anchorId="04C74B28" wp14:editId="6C9AFBDF">
                  <wp:simplePos x="0" y="0"/>
                  <wp:positionH relativeFrom="column">
                    <wp:posOffset>33020</wp:posOffset>
                  </wp:positionH>
                  <wp:positionV relativeFrom="paragraph">
                    <wp:posOffset>171450</wp:posOffset>
                  </wp:positionV>
                  <wp:extent cx="1041400" cy="1047750"/>
                  <wp:effectExtent l="0" t="0" r="635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acibas.PNG"/>
                          <pic:cNvPicPr/>
                        </pic:nvPicPr>
                        <pic:blipFill>
                          <a:blip r:embed="rId25">
                            <a:extLst>
                              <a:ext uri="{28A0092B-C50C-407E-A947-70E740481C1C}">
                                <a14:useLocalDpi xmlns:a14="http://schemas.microsoft.com/office/drawing/2010/main" val="0"/>
                              </a:ext>
                            </a:extLst>
                          </a:blip>
                          <a:stretch>
                            <a:fillRect/>
                          </a:stretch>
                        </pic:blipFill>
                        <pic:spPr>
                          <a:xfrm>
                            <a:off x="0" y="0"/>
                            <a:ext cx="1041400" cy="1047750"/>
                          </a:xfrm>
                          <a:prstGeom prst="rect">
                            <a:avLst/>
                          </a:prstGeom>
                        </pic:spPr>
                      </pic:pic>
                    </a:graphicData>
                  </a:graphic>
                </wp:anchor>
              </w:drawing>
            </w:r>
          </w:p>
        </w:tc>
        <w:tc>
          <w:tcPr>
            <w:tcW w:w="6940" w:type="dxa"/>
          </w:tcPr>
          <w:p w14:paraId="50D2FE0A"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4968B593" w14:textId="02E0ADF6" w:rsidR="006740F9" w:rsidRPr="00B60ED2" w:rsidRDefault="00047862"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P</w:t>
            </w:r>
            <w:r w:rsidR="006740F9" w:rsidRPr="00B60ED2">
              <w:rPr>
                <w:rFonts w:ascii="Times New Roman" w:hAnsi="Times New Roman" w:cs="Times New Roman"/>
                <w:b/>
                <w:iCs/>
                <w:sz w:val="24"/>
                <w:szCs w:val="24"/>
                <w:lang w:eastAsia="lv-LV"/>
              </w:rPr>
              <w:t>roblēmas mācību un profesionālās pilnveides jomās.</w:t>
            </w:r>
            <w:r w:rsidR="006740F9" w:rsidRPr="00B60ED2">
              <w:rPr>
                <w:rFonts w:ascii="Times New Roman" w:hAnsi="Times New Roman" w:cs="Times New Roman"/>
                <w:iCs/>
                <w:sz w:val="24"/>
                <w:szCs w:val="24"/>
                <w:lang w:eastAsia="lv-LV"/>
              </w:rPr>
              <w:t xml:space="preserve"> Lēns process profesionālās pilnveides jomā, kā arī jaunu mācību moduļu ieviešanā kadetiem. Novecojusi mācību infrastruktūra Valsts policijas koledžā un Ugunsdrošības un civilās aizsardzības koledžā, kas liedz pilnvērtīgi sagatavot jaunus nodarbinātos.</w:t>
            </w:r>
          </w:p>
          <w:p w14:paraId="510AB07A"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r w:rsidR="006740F9" w:rsidRPr="00B60ED2" w14:paraId="21D8B16E" w14:textId="77777777" w:rsidTr="007320A3">
        <w:tc>
          <w:tcPr>
            <w:tcW w:w="1980" w:type="dxa"/>
          </w:tcPr>
          <w:p w14:paraId="6B7A4CC7"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98176" behindDoc="0" locked="0" layoutInCell="1" allowOverlap="1" wp14:anchorId="10BD78A6" wp14:editId="4FCA3BAA">
                  <wp:simplePos x="0" y="0"/>
                  <wp:positionH relativeFrom="column">
                    <wp:posOffset>83820</wp:posOffset>
                  </wp:positionH>
                  <wp:positionV relativeFrom="paragraph">
                    <wp:posOffset>85725</wp:posOffset>
                  </wp:positionV>
                  <wp:extent cx="933450" cy="1140883"/>
                  <wp:effectExtent l="0" t="0" r="0" b="254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roken.PNG"/>
                          <pic:cNvPicPr/>
                        </pic:nvPicPr>
                        <pic:blipFill>
                          <a:blip r:embed="rId26">
                            <a:extLst>
                              <a:ext uri="{28A0092B-C50C-407E-A947-70E740481C1C}">
                                <a14:useLocalDpi xmlns:a14="http://schemas.microsoft.com/office/drawing/2010/main" val="0"/>
                              </a:ext>
                            </a:extLst>
                          </a:blip>
                          <a:stretch>
                            <a:fillRect/>
                          </a:stretch>
                        </pic:blipFill>
                        <pic:spPr>
                          <a:xfrm>
                            <a:off x="0" y="0"/>
                            <a:ext cx="933450" cy="1140883"/>
                          </a:xfrm>
                          <a:prstGeom prst="rect">
                            <a:avLst/>
                          </a:prstGeom>
                        </pic:spPr>
                      </pic:pic>
                    </a:graphicData>
                  </a:graphic>
                </wp:anchor>
              </w:drawing>
            </w:r>
          </w:p>
        </w:tc>
        <w:tc>
          <w:tcPr>
            <w:tcW w:w="6940" w:type="dxa"/>
          </w:tcPr>
          <w:p w14:paraId="4DE05D56"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33698D93" w14:textId="77777777" w:rsidR="006740F9" w:rsidRPr="00B60ED2" w:rsidRDefault="006740F9"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Atsevišķu procesu vājā organizācija un harmonizācija.</w:t>
            </w:r>
            <w:r w:rsidRPr="00B60ED2">
              <w:rPr>
                <w:rFonts w:ascii="Times New Roman" w:hAnsi="Times New Roman" w:cs="Times New Roman"/>
                <w:iCs/>
                <w:sz w:val="24"/>
                <w:szCs w:val="24"/>
                <w:lang w:eastAsia="lv-LV"/>
              </w:rPr>
              <w:t xml:space="preserve"> Politikas un budžeta plānošanas procesu vājā sasaiste, neattīstītas snieguma novērtēšanas un iekšējās kontroles sistēmas, kā arī nepietiekoša iekšējā komunikācija un koordinācija.</w:t>
            </w:r>
          </w:p>
          <w:p w14:paraId="7369185E"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bl>
    <w:p w14:paraId="0EDE64C6" w14:textId="5B23659D" w:rsidR="007320A3" w:rsidRPr="00B60ED2" w:rsidRDefault="007320A3" w:rsidP="00826333">
      <w:pPr>
        <w:pStyle w:val="NormalWeb"/>
        <w:spacing w:before="0" w:beforeAutospacing="0" w:after="240" w:afterAutospacing="0"/>
        <w:rPr>
          <w:rFonts w:eastAsia="+mn-ea"/>
          <w:b/>
          <w:bCs/>
          <w:kern w:val="24"/>
          <w:sz w:val="32"/>
          <w:szCs w:val="32"/>
        </w:rPr>
        <w:sectPr w:rsidR="007320A3" w:rsidRPr="00B60ED2" w:rsidSect="00BB300A">
          <w:headerReference w:type="default" r:id="rId27"/>
          <w:footerReference w:type="default" r:id="rId28"/>
          <w:headerReference w:type="first" r:id="rId29"/>
          <w:footerReference w:type="first" r:id="rId30"/>
          <w:pgSz w:w="11906" w:h="16838"/>
          <w:pgMar w:top="1418" w:right="1416" w:bottom="1418" w:left="1560" w:header="708" w:footer="708" w:gutter="0"/>
          <w:pgNumType w:start="0"/>
          <w:cols w:space="708"/>
          <w:titlePg/>
          <w:docGrid w:linePitch="360"/>
        </w:sectPr>
      </w:pPr>
    </w:p>
    <w:p w14:paraId="1C162D63" w14:textId="19272C62" w:rsidR="005112CC" w:rsidRPr="00B60ED2" w:rsidRDefault="005112CC" w:rsidP="00AA18B5">
      <w:pPr>
        <w:pStyle w:val="NormalWeb"/>
        <w:spacing w:before="0" w:beforeAutospacing="0" w:after="200" w:afterAutospacing="0"/>
        <w:jc w:val="center"/>
        <w:rPr>
          <w:rFonts w:eastAsia="+mn-ea"/>
          <w:b/>
          <w:bCs/>
          <w:kern w:val="24"/>
          <w:sz w:val="32"/>
          <w:szCs w:val="32"/>
        </w:rPr>
      </w:pPr>
      <w:r w:rsidRPr="00B60ED2">
        <w:rPr>
          <w:rFonts w:eastAsia="+mn-ea"/>
          <w:b/>
          <w:bCs/>
          <w:kern w:val="24"/>
          <w:sz w:val="32"/>
          <w:szCs w:val="32"/>
        </w:rPr>
        <w:lastRenderedPageBreak/>
        <w:t>Nozares stratēģijas prioritārie politikas mērķi</w:t>
      </w:r>
    </w:p>
    <w:p w14:paraId="108ED1F3" w14:textId="45E1EE53" w:rsidR="005828ED" w:rsidRPr="00B60ED2" w:rsidRDefault="005828ED" w:rsidP="00AA18B5">
      <w:pPr>
        <w:ind w:firstLine="720"/>
        <w:jc w:val="both"/>
        <w:rPr>
          <w:rFonts w:ascii="Times New Roman" w:hAnsi="Times New Roman" w:cs="Times New Roman"/>
          <w:sz w:val="24"/>
        </w:rPr>
      </w:pPr>
      <w:r w:rsidRPr="00B60ED2">
        <w:rPr>
          <w:rFonts w:ascii="Times New Roman" w:hAnsi="Times New Roman" w:cs="Times New Roman"/>
          <w:sz w:val="24"/>
        </w:rPr>
        <w:t>Nozares stratēģijā ir</w:t>
      </w:r>
      <w:r w:rsidR="002D33CF" w:rsidRPr="00B60ED2">
        <w:rPr>
          <w:rFonts w:ascii="Times New Roman" w:hAnsi="Times New Roman" w:cs="Times New Roman"/>
          <w:sz w:val="24"/>
        </w:rPr>
        <w:t xml:space="preserve"> noteikti</w:t>
      </w:r>
      <w:r w:rsidRPr="00B60ED2">
        <w:rPr>
          <w:rFonts w:ascii="Times New Roman" w:hAnsi="Times New Roman" w:cs="Times New Roman"/>
          <w:sz w:val="24"/>
        </w:rPr>
        <w:t xml:space="preserve"> prioritārie politikas un prioritārie horizontālie mērķi Ministrijai un tās padotībā esošajām iestādēm. </w:t>
      </w:r>
      <w:r w:rsidR="00BA09C0" w:rsidRPr="00B60ED2">
        <w:rPr>
          <w:rFonts w:ascii="Times New Roman" w:hAnsi="Times New Roman" w:cs="Times New Roman"/>
          <w:sz w:val="24"/>
        </w:rPr>
        <w:t>Šo mērķu sasniegšanai ir noteikti konkrēti rīcības virzieni un galvenie veicam</w:t>
      </w:r>
      <w:r w:rsidR="0031440A" w:rsidRPr="00B60ED2">
        <w:rPr>
          <w:rFonts w:ascii="Times New Roman" w:hAnsi="Times New Roman" w:cs="Times New Roman"/>
          <w:sz w:val="24"/>
        </w:rPr>
        <w:t>ie uzdevum</w:t>
      </w:r>
      <w:r w:rsidR="00BA09C0" w:rsidRPr="00B60ED2">
        <w:rPr>
          <w:rFonts w:ascii="Times New Roman" w:hAnsi="Times New Roman" w:cs="Times New Roman"/>
          <w:sz w:val="24"/>
        </w:rPr>
        <w:t>i</w:t>
      </w:r>
      <w:r w:rsidR="0031440A" w:rsidRPr="00B60ED2">
        <w:rPr>
          <w:rStyle w:val="FootnoteReference"/>
          <w:rFonts w:ascii="Times New Roman" w:hAnsi="Times New Roman" w:cs="Times New Roman"/>
          <w:sz w:val="24"/>
        </w:rPr>
        <w:footnoteReference w:id="6"/>
      </w:r>
      <w:r w:rsidR="00BA09C0" w:rsidRPr="00B60ED2">
        <w:rPr>
          <w:rFonts w:ascii="Times New Roman" w:hAnsi="Times New Roman" w:cs="Times New Roman"/>
          <w:sz w:val="24"/>
        </w:rPr>
        <w:t xml:space="preserve"> laika posmā no 2023.-2027. gadam. </w:t>
      </w:r>
      <w:r w:rsidR="0031440A" w:rsidRPr="00B60ED2">
        <w:rPr>
          <w:rFonts w:ascii="Times New Roman" w:hAnsi="Times New Roman" w:cs="Times New Roman"/>
          <w:sz w:val="24"/>
        </w:rPr>
        <w:t>Gan noteiktie mērķi, gan ar tiem saistītie rīcības virzieni un galvenie uzdevumi izriet no nozares ārējās un iekšējās vides analīze</w:t>
      </w:r>
      <w:r w:rsidR="00956BB5" w:rsidRPr="00B60ED2">
        <w:rPr>
          <w:rFonts w:ascii="Times New Roman" w:hAnsi="Times New Roman" w:cs="Times New Roman"/>
          <w:sz w:val="24"/>
        </w:rPr>
        <w:t>s</w:t>
      </w:r>
      <w:r w:rsidR="0031440A" w:rsidRPr="00B60ED2">
        <w:rPr>
          <w:rFonts w:ascii="Times New Roman" w:hAnsi="Times New Roman" w:cs="Times New Roman"/>
          <w:sz w:val="24"/>
        </w:rPr>
        <w:t>. Rīcības virzieni un to ietvaros definēt</w:t>
      </w:r>
      <w:r w:rsidR="00506F6A" w:rsidRPr="00B60ED2">
        <w:rPr>
          <w:rFonts w:ascii="Times New Roman" w:hAnsi="Times New Roman" w:cs="Times New Roman"/>
          <w:sz w:val="24"/>
        </w:rPr>
        <w:t>ie</w:t>
      </w:r>
      <w:r w:rsidR="0031440A" w:rsidRPr="00B60ED2">
        <w:rPr>
          <w:rFonts w:ascii="Times New Roman" w:hAnsi="Times New Roman" w:cs="Times New Roman"/>
          <w:sz w:val="24"/>
        </w:rPr>
        <w:t xml:space="preserve"> galvenie uzdevumi lielākā detalizācijas pakāpē kaskadējas uz Ministrijas un </w:t>
      </w:r>
      <w:r w:rsidR="00956BB5" w:rsidRPr="00B60ED2">
        <w:rPr>
          <w:rFonts w:ascii="Times New Roman" w:hAnsi="Times New Roman" w:cs="Times New Roman"/>
          <w:sz w:val="24"/>
        </w:rPr>
        <w:t xml:space="preserve">tās </w:t>
      </w:r>
      <w:r w:rsidR="0031440A" w:rsidRPr="00B60ED2">
        <w:rPr>
          <w:rFonts w:ascii="Times New Roman" w:hAnsi="Times New Roman" w:cs="Times New Roman"/>
          <w:sz w:val="24"/>
        </w:rPr>
        <w:t xml:space="preserve">padotībā </w:t>
      </w:r>
      <w:r w:rsidR="00956BB5" w:rsidRPr="00B60ED2">
        <w:rPr>
          <w:rFonts w:ascii="Times New Roman" w:hAnsi="Times New Roman" w:cs="Times New Roman"/>
          <w:sz w:val="24"/>
        </w:rPr>
        <w:t xml:space="preserve">esošo </w:t>
      </w:r>
      <w:r w:rsidR="0031440A" w:rsidRPr="00B60ED2">
        <w:rPr>
          <w:rFonts w:ascii="Times New Roman" w:hAnsi="Times New Roman" w:cs="Times New Roman"/>
          <w:sz w:val="24"/>
        </w:rPr>
        <w:t>iestāžu darbības stratēģijām 2023.-2027. gadam.</w:t>
      </w:r>
    </w:p>
    <w:p w14:paraId="286AEEED" w14:textId="4ADD1B3E" w:rsidR="007225D5" w:rsidRPr="00B60ED2" w:rsidRDefault="005112CC" w:rsidP="006B7A99">
      <w:pPr>
        <w:pStyle w:val="NormalWeb"/>
        <w:spacing w:before="0" w:beforeAutospacing="0" w:after="120" w:afterAutospacing="0"/>
        <w:jc w:val="center"/>
        <w:rPr>
          <w:rFonts w:eastAsia="+mn-ea"/>
          <w:b/>
          <w:bCs/>
          <w:color w:val="767171" w:themeColor="background2" w:themeShade="80"/>
          <w:kern w:val="24"/>
          <w:sz w:val="32"/>
          <w:szCs w:val="32"/>
        </w:rPr>
      </w:pPr>
      <w:r w:rsidRPr="00B60ED2">
        <w:rPr>
          <w:rFonts w:eastAsia="+mn-ea"/>
          <w:b/>
          <w:bCs/>
          <w:color w:val="767171" w:themeColor="background2" w:themeShade="80"/>
          <w:kern w:val="24"/>
          <w:sz w:val="32"/>
          <w:szCs w:val="32"/>
        </w:rPr>
        <w:t xml:space="preserve">1. </w:t>
      </w:r>
      <w:r w:rsidR="00F25486" w:rsidRPr="00B60ED2">
        <w:rPr>
          <w:rFonts w:eastAsia="+mn-ea"/>
          <w:b/>
          <w:bCs/>
          <w:color w:val="767171" w:themeColor="background2" w:themeShade="80"/>
          <w:kern w:val="24"/>
          <w:sz w:val="32"/>
          <w:szCs w:val="32"/>
        </w:rPr>
        <w:t>Sabiedriskā kārtība un drošība</w:t>
      </w:r>
    </w:p>
    <w:tbl>
      <w:tblPr>
        <w:tblStyle w:val="GridTable4-Accent5"/>
        <w:tblW w:w="14176" w:type="dxa"/>
        <w:tblInd w:w="-5" w:type="dxa"/>
        <w:tblLook w:val="04A0" w:firstRow="1" w:lastRow="0" w:firstColumn="1" w:lastColumn="0" w:noHBand="0" w:noVBand="1"/>
      </w:tblPr>
      <w:tblGrid>
        <w:gridCol w:w="1985"/>
        <w:gridCol w:w="4961"/>
        <w:gridCol w:w="1205"/>
        <w:gridCol w:w="1205"/>
        <w:gridCol w:w="1205"/>
        <w:gridCol w:w="1205"/>
        <w:gridCol w:w="1205"/>
        <w:gridCol w:w="1205"/>
      </w:tblGrid>
      <w:tr w:rsidR="00D70FB4" w:rsidRPr="00B60ED2" w14:paraId="4C0167B5" w14:textId="77777777" w:rsidTr="004A4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7E29E5EA" w14:textId="77777777" w:rsidR="00D70FB4" w:rsidRPr="00B60ED2" w:rsidRDefault="00D70FB4" w:rsidP="00165ADA">
            <w:pPr>
              <w:jc w:val="center"/>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Prioritārais politikas mērķis</w:t>
            </w:r>
          </w:p>
        </w:tc>
        <w:tc>
          <w:tcPr>
            <w:tcW w:w="4961" w:type="dxa"/>
            <w:vMerge w:val="restart"/>
            <w:vAlign w:val="center"/>
          </w:tcPr>
          <w:p w14:paraId="2866474F" w14:textId="77777777" w:rsidR="00D70FB4" w:rsidRPr="00B60ED2" w:rsidRDefault="00D70FB4"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Galvenais rezultatīvais rādītājs</w:t>
            </w:r>
          </w:p>
        </w:tc>
        <w:tc>
          <w:tcPr>
            <w:tcW w:w="7230" w:type="dxa"/>
            <w:gridSpan w:val="6"/>
          </w:tcPr>
          <w:p w14:paraId="76CA5A91" w14:textId="0DB64201" w:rsidR="00D70FB4" w:rsidRPr="00B60ED2" w:rsidRDefault="00D70FB4" w:rsidP="00165A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Rādītāju vērtības (prognoze)</w:t>
            </w:r>
          </w:p>
        </w:tc>
      </w:tr>
      <w:tr w:rsidR="007320A3" w:rsidRPr="00B60ED2" w14:paraId="2489DCE8" w14:textId="77777777" w:rsidTr="000B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6CF46E7B" w14:textId="77777777" w:rsidR="00D70FB4" w:rsidRPr="00B60ED2" w:rsidRDefault="00D70FB4" w:rsidP="00165ADA">
            <w:pPr>
              <w:jc w:val="center"/>
              <w:rPr>
                <w:rFonts w:ascii="Times New Roman" w:hAnsi="Times New Roman" w:cs="Times New Roman"/>
                <w:b w:val="0"/>
                <w:iCs/>
                <w:sz w:val="24"/>
                <w:szCs w:val="24"/>
                <w:lang w:eastAsia="lv-LV"/>
              </w:rPr>
            </w:pPr>
          </w:p>
        </w:tc>
        <w:tc>
          <w:tcPr>
            <w:tcW w:w="4961" w:type="dxa"/>
            <w:vMerge/>
          </w:tcPr>
          <w:p w14:paraId="783F5BD1" w14:textId="77777777" w:rsidR="00D70FB4" w:rsidRPr="00B60ED2" w:rsidRDefault="00D70FB4"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p>
        </w:tc>
        <w:tc>
          <w:tcPr>
            <w:tcW w:w="1205" w:type="dxa"/>
            <w:vAlign w:val="center"/>
          </w:tcPr>
          <w:p w14:paraId="4468E74C" w14:textId="0208E941" w:rsidR="00D70FB4" w:rsidRPr="00B60ED2" w:rsidRDefault="00D70FB4" w:rsidP="00D70F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2021</w:t>
            </w:r>
            <w:r w:rsidR="00281630" w:rsidRPr="00B60ED2">
              <w:rPr>
                <w:rFonts w:ascii="Times New Roman" w:hAnsi="Times New Roman" w:cs="Times New Roman"/>
                <w:b/>
                <w:iCs/>
                <w:sz w:val="24"/>
                <w:szCs w:val="24"/>
                <w:lang w:eastAsia="lv-LV"/>
              </w:rPr>
              <w:t xml:space="preserve"> (izpilde)</w:t>
            </w:r>
          </w:p>
        </w:tc>
        <w:tc>
          <w:tcPr>
            <w:tcW w:w="1205" w:type="dxa"/>
            <w:vAlign w:val="center"/>
          </w:tcPr>
          <w:p w14:paraId="31B259F0" w14:textId="68F2C47D" w:rsidR="00D70FB4" w:rsidRPr="00B60ED2"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2023</w:t>
            </w:r>
          </w:p>
        </w:tc>
        <w:tc>
          <w:tcPr>
            <w:tcW w:w="1205" w:type="dxa"/>
            <w:vAlign w:val="center"/>
          </w:tcPr>
          <w:p w14:paraId="22310D27" w14:textId="77777777" w:rsidR="00D70FB4" w:rsidRPr="00B60ED2"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2024</w:t>
            </w:r>
          </w:p>
        </w:tc>
        <w:tc>
          <w:tcPr>
            <w:tcW w:w="1205" w:type="dxa"/>
            <w:vAlign w:val="center"/>
          </w:tcPr>
          <w:p w14:paraId="4ED25727" w14:textId="77777777" w:rsidR="00D70FB4" w:rsidRPr="00B60ED2"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2025</w:t>
            </w:r>
          </w:p>
        </w:tc>
        <w:tc>
          <w:tcPr>
            <w:tcW w:w="1205" w:type="dxa"/>
            <w:vAlign w:val="center"/>
          </w:tcPr>
          <w:p w14:paraId="76663FAB" w14:textId="77777777" w:rsidR="00D70FB4" w:rsidRPr="00B60ED2"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2026</w:t>
            </w:r>
          </w:p>
        </w:tc>
        <w:tc>
          <w:tcPr>
            <w:tcW w:w="1205" w:type="dxa"/>
            <w:vAlign w:val="center"/>
          </w:tcPr>
          <w:p w14:paraId="4BA56E6B" w14:textId="77777777" w:rsidR="00D70FB4" w:rsidRPr="00B60ED2"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2027</w:t>
            </w:r>
          </w:p>
        </w:tc>
      </w:tr>
      <w:tr w:rsidR="007320A3" w:rsidRPr="00B60ED2" w14:paraId="6D2DE390" w14:textId="77777777" w:rsidTr="000B5870">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57EC888C" w14:textId="77777777" w:rsidR="00D70FB4" w:rsidRPr="00B60ED2" w:rsidRDefault="00D70FB4" w:rsidP="00F25486">
            <w:pPr>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Uzlabot sabiedrisko kārtību un drošību</w:t>
            </w:r>
          </w:p>
        </w:tc>
        <w:tc>
          <w:tcPr>
            <w:tcW w:w="4961" w:type="dxa"/>
          </w:tcPr>
          <w:p w14:paraId="283F3BA7" w14:textId="77777777" w:rsidR="00D70FB4" w:rsidRPr="00B60ED2" w:rsidRDefault="00D70FB4"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Iedzīvotāju, kuri jūtas droši, pārvietojoties pa savu apkaimi diennakts tumšajā laikā, īpatsvars (%)</w:t>
            </w:r>
          </w:p>
        </w:tc>
        <w:tc>
          <w:tcPr>
            <w:tcW w:w="1205" w:type="dxa"/>
            <w:vAlign w:val="center"/>
          </w:tcPr>
          <w:p w14:paraId="0BBAAE49" w14:textId="522B6289" w:rsidR="00D70FB4" w:rsidRPr="00B60ED2" w:rsidRDefault="00D70FB4" w:rsidP="00D70F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75%</w:t>
            </w:r>
          </w:p>
        </w:tc>
        <w:tc>
          <w:tcPr>
            <w:tcW w:w="1205" w:type="dxa"/>
            <w:vAlign w:val="center"/>
          </w:tcPr>
          <w:p w14:paraId="1CE03283" w14:textId="76384C4D"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80%</w:t>
            </w:r>
            <w:r w:rsidR="004A1D89">
              <w:rPr>
                <w:rFonts w:ascii="Times New Roman" w:hAnsi="Times New Roman" w:cs="Times New Roman"/>
                <w:iCs/>
                <w:sz w:val="24"/>
                <w:szCs w:val="24"/>
                <w:lang w:eastAsia="lv-LV"/>
              </w:rPr>
              <w:t>/73%</w:t>
            </w:r>
          </w:p>
        </w:tc>
        <w:tc>
          <w:tcPr>
            <w:tcW w:w="1205" w:type="dxa"/>
            <w:vAlign w:val="center"/>
          </w:tcPr>
          <w:p w14:paraId="5FFE91F2" w14:textId="1E1CE32D"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83%</w:t>
            </w:r>
            <w:r w:rsidR="008063BE">
              <w:rPr>
                <w:rFonts w:ascii="Times New Roman" w:hAnsi="Times New Roman" w:cs="Times New Roman"/>
                <w:iCs/>
                <w:sz w:val="24"/>
                <w:szCs w:val="24"/>
                <w:lang w:eastAsia="lv-LV"/>
              </w:rPr>
              <w:t>/79%</w:t>
            </w:r>
          </w:p>
        </w:tc>
        <w:tc>
          <w:tcPr>
            <w:tcW w:w="1205" w:type="dxa"/>
            <w:vAlign w:val="center"/>
          </w:tcPr>
          <w:p w14:paraId="4431E042" w14:textId="55D5BAC9"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86%</w:t>
            </w:r>
          </w:p>
        </w:tc>
        <w:tc>
          <w:tcPr>
            <w:tcW w:w="1205" w:type="dxa"/>
            <w:vAlign w:val="center"/>
          </w:tcPr>
          <w:p w14:paraId="48751AAB" w14:textId="64E84E5A"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88%</w:t>
            </w:r>
          </w:p>
        </w:tc>
        <w:tc>
          <w:tcPr>
            <w:tcW w:w="1205" w:type="dxa"/>
            <w:vAlign w:val="center"/>
          </w:tcPr>
          <w:p w14:paraId="4F8CF207" w14:textId="54E3ACC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90%</w:t>
            </w:r>
          </w:p>
        </w:tc>
      </w:tr>
      <w:tr w:rsidR="007320A3" w:rsidRPr="00B60ED2" w14:paraId="62CECE9C" w14:textId="77777777" w:rsidTr="000B587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147FF02B" w14:textId="77777777" w:rsidR="00D70FB4" w:rsidRPr="00B60ED2" w:rsidRDefault="00D70FB4" w:rsidP="00F25486">
            <w:pPr>
              <w:rPr>
                <w:rFonts w:ascii="Times New Roman" w:hAnsi="Times New Roman" w:cs="Times New Roman"/>
                <w:iCs/>
                <w:sz w:val="24"/>
                <w:szCs w:val="24"/>
                <w:lang w:eastAsia="lv-LV"/>
              </w:rPr>
            </w:pPr>
          </w:p>
        </w:tc>
        <w:tc>
          <w:tcPr>
            <w:tcW w:w="4961" w:type="dxa"/>
            <w:vAlign w:val="center"/>
          </w:tcPr>
          <w:p w14:paraId="0B2D67FB" w14:textId="053D34F7" w:rsidR="00D70FB4" w:rsidRPr="00B60ED2" w:rsidRDefault="00D70FB4" w:rsidP="00D577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Iedzīvotāju, kuri uzticas V</w:t>
            </w:r>
            <w:r w:rsidR="00D577B8" w:rsidRPr="00B60ED2">
              <w:rPr>
                <w:rFonts w:ascii="Times New Roman" w:hAnsi="Times New Roman" w:cs="Times New Roman"/>
                <w:iCs/>
                <w:sz w:val="24"/>
                <w:szCs w:val="24"/>
                <w:lang w:eastAsia="lv-LV"/>
              </w:rPr>
              <w:t>alsts policijai</w:t>
            </w:r>
            <w:r w:rsidRPr="00B60ED2">
              <w:rPr>
                <w:rFonts w:ascii="Times New Roman" w:hAnsi="Times New Roman" w:cs="Times New Roman"/>
                <w:iCs/>
                <w:sz w:val="24"/>
                <w:szCs w:val="24"/>
                <w:lang w:eastAsia="lv-LV"/>
              </w:rPr>
              <w:t>, īpatsvars (%)</w:t>
            </w:r>
          </w:p>
        </w:tc>
        <w:tc>
          <w:tcPr>
            <w:tcW w:w="1205" w:type="dxa"/>
            <w:vAlign w:val="center"/>
          </w:tcPr>
          <w:p w14:paraId="4CCAB6EA" w14:textId="1F4777D8" w:rsidR="00D70FB4" w:rsidRPr="00B60ED2" w:rsidRDefault="00D70FB4" w:rsidP="00D70F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72%</w:t>
            </w:r>
          </w:p>
        </w:tc>
        <w:tc>
          <w:tcPr>
            <w:tcW w:w="1205" w:type="dxa"/>
            <w:vAlign w:val="center"/>
          </w:tcPr>
          <w:p w14:paraId="67FAD129" w14:textId="19D4B4D0"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78%</w:t>
            </w:r>
            <w:r w:rsidR="004A1D89">
              <w:rPr>
                <w:rFonts w:ascii="Times New Roman" w:hAnsi="Times New Roman" w:cs="Times New Roman"/>
                <w:iCs/>
                <w:sz w:val="24"/>
                <w:szCs w:val="24"/>
                <w:lang w:eastAsia="lv-LV"/>
              </w:rPr>
              <w:t>/64%</w:t>
            </w:r>
          </w:p>
        </w:tc>
        <w:tc>
          <w:tcPr>
            <w:tcW w:w="1205" w:type="dxa"/>
            <w:vAlign w:val="center"/>
          </w:tcPr>
          <w:p w14:paraId="1C370EF4" w14:textId="2BC14DEE"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81%</w:t>
            </w:r>
            <w:r w:rsidR="002E43DE">
              <w:rPr>
                <w:rFonts w:ascii="Times New Roman" w:hAnsi="Times New Roman" w:cs="Times New Roman"/>
                <w:iCs/>
                <w:sz w:val="24"/>
                <w:szCs w:val="24"/>
                <w:lang w:eastAsia="lv-LV"/>
              </w:rPr>
              <w:t>/69%</w:t>
            </w:r>
          </w:p>
        </w:tc>
        <w:tc>
          <w:tcPr>
            <w:tcW w:w="1205" w:type="dxa"/>
            <w:vAlign w:val="center"/>
          </w:tcPr>
          <w:p w14:paraId="07456030" w14:textId="012A5A21"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84%</w:t>
            </w:r>
          </w:p>
        </w:tc>
        <w:tc>
          <w:tcPr>
            <w:tcW w:w="1205" w:type="dxa"/>
            <w:vAlign w:val="center"/>
          </w:tcPr>
          <w:p w14:paraId="0B87D819" w14:textId="557B346D"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87%</w:t>
            </w:r>
          </w:p>
        </w:tc>
        <w:tc>
          <w:tcPr>
            <w:tcW w:w="1205" w:type="dxa"/>
            <w:vAlign w:val="center"/>
          </w:tcPr>
          <w:p w14:paraId="7579F592" w14:textId="096606E1"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90%</w:t>
            </w:r>
          </w:p>
        </w:tc>
      </w:tr>
      <w:tr w:rsidR="007320A3" w:rsidRPr="00B60ED2" w14:paraId="14DC4534" w14:textId="77777777" w:rsidTr="000B5870">
        <w:trPr>
          <w:trHeight w:val="970"/>
        </w:trPr>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32D91828" w14:textId="77777777" w:rsidR="00D70FB4" w:rsidRPr="00B60ED2" w:rsidRDefault="00D70FB4" w:rsidP="00F25486">
            <w:pPr>
              <w:rPr>
                <w:rFonts w:ascii="Times New Roman" w:hAnsi="Times New Roman" w:cs="Times New Roman"/>
                <w:iCs/>
                <w:sz w:val="24"/>
                <w:szCs w:val="24"/>
                <w:lang w:eastAsia="lv-LV"/>
              </w:rPr>
            </w:pPr>
          </w:p>
        </w:tc>
        <w:tc>
          <w:tcPr>
            <w:tcW w:w="4961" w:type="dxa"/>
            <w:vAlign w:val="center"/>
          </w:tcPr>
          <w:p w14:paraId="4D807612" w14:textId="25A13578" w:rsidR="00D70FB4" w:rsidRPr="00B60ED2" w:rsidRDefault="00D577B8" w:rsidP="00602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Ceļu satiksmes negadījumos</w:t>
            </w:r>
            <w:r w:rsidR="00D70FB4" w:rsidRPr="00B60ED2">
              <w:rPr>
                <w:rFonts w:ascii="Times New Roman" w:hAnsi="Times New Roman" w:cs="Times New Roman"/>
                <w:iCs/>
                <w:sz w:val="24"/>
                <w:szCs w:val="24"/>
                <w:lang w:eastAsia="lv-LV"/>
              </w:rPr>
              <w:t xml:space="preserve"> smagi ievainoto un bojāgājušo skaits uz 100 000 iedzīvotāju</w:t>
            </w:r>
          </w:p>
        </w:tc>
        <w:tc>
          <w:tcPr>
            <w:tcW w:w="1205" w:type="dxa"/>
            <w:vAlign w:val="center"/>
          </w:tcPr>
          <w:p w14:paraId="5753AD6F" w14:textId="1B7A49C1" w:rsidR="00D70FB4" w:rsidRPr="00B60ED2" w:rsidRDefault="00D70FB4" w:rsidP="00D70F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29,72</w:t>
            </w:r>
          </w:p>
        </w:tc>
        <w:tc>
          <w:tcPr>
            <w:tcW w:w="1205" w:type="dxa"/>
            <w:vAlign w:val="center"/>
          </w:tcPr>
          <w:p w14:paraId="543E6B93" w14:textId="6DEB9E2F" w:rsidR="00D70FB4" w:rsidRPr="00B60ED2" w:rsidRDefault="00D70FB4" w:rsidP="00547B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27</w:t>
            </w:r>
            <w:r w:rsidR="004A1D89">
              <w:rPr>
                <w:rFonts w:ascii="Times New Roman" w:hAnsi="Times New Roman" w:cs="Times New Roman"/>
                <w:iCs/>
                <w:sz w:val="24"/>
                <w:szCs w:val="24"/>
                <w:lang w:eastAsia="lv-LV"/>
              </w:rPr>
              <w:t>/28</w:t>
            </w:r>
          </w:p>
        </w:tc>
        <w:tc>
          <w:tcPr>
            <w:tcW w:w="1205" w:type="dxa"/>
            <w:vAlign w:val="center"/>
          </w:tcPr>
          <w:p w14:paraId="79B1DAD6" w14:textId="2B418DCC"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25</w:t>
            </w:r>
          </w:p>
        </w:tc>
        <w:tc>
          <w:tcPr>
            <w:tcW w:w="1205" w:type="dxa"/>
            <w:vAlign w:val="center"/>
          </w:tcPr>
          <w:p w14:paraId="37254E49" w14:textId="602AD78B"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23</w:t>
            </w:r>
          </w:p>
        </w:tc>
        <w:tc>
          <w:tcPr>
            <w:tcW w:w="1205" w:type="dxa"/>
            <w:vAlign w:val="center"/>
          </w:tcPr>
          <w:p w14:paraId="2D391AD1" w14:textId="3537FE8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21</w:t>
            </w:r>
          </w:p>
        </w:tc>
        <w:tc>
          <w:tcPr>
            <w:tcW w:w="1205" w:type="dxa"/>
            <w:vAlign w:val="center"/>
          </w:tcPr>
          <w:p w14:paraId="02C684AB" w14:textId="5A09779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19,7</w:t>
            </w:r>
          </w:p>
        </w:tc>
      </w:tr>
      <w:tr w:rsidR="00D70FB4" w:rsidRPr="00B60ED2" w14:paraId="76FE9380" w14:textId="77777777" w:rsidTr="006B7A99">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B6FD5FF" w14:textId="04C7C8D0" w:rsidR="00D70FB4" w:rsidRPr="00B60ED2" w:rsidRDefault="00D70FB4" w:rsidP="00F25486">
            <w:pPr>
              <w:rPr>
                <w:rFonts w:ascii="Times New Roman" w:hAnsi="Times New Roman" w:cs="Times New Roman"/>
                <w:b w:val="0"/>
                <w:bCs w:val="0"/>
                <w:iCs/>
                <w:sz w:val="24"/>
                <w:szCs w:val="24"/>
                <w:lang w:eastAsia="lv-LV"/>
              </w:rPr>
            </w:pPr>
            <w:r w:rsidRPr="00B60ED2">
              <w:rPr>
                <w:rFonts w:ascii="Times New Roman" w:hAnsi="Times New Roman" w:cs="Times New Roman"/>
                <w:b w:val="0"/>
                <w:iCs/>
                <w:sz w:val="24"/>
                <w:szCs w:val="24"/>
                <w:lang w:eastAsia="lv-LV"/>
              </w:rPr>
              <w:t>Iesaistītās iestādes</w:t>
            </w:r>
          </w:p>
        </w:tc>
        <w:tc>
          <w:tcPr>
            <w:tcW w:w="12191" w:type="dxa"/>
            <w:gridSpan w:val="7"/>
            <w:vAlign w:val="center"/>
          </w:tcPr>
          <w:p w14:paraId="61578E65" w14:textId="40314DD2" w:rsidR="00D70FB4" w:rsidRPr="00B60ED2" w:rsidRDefault="00D70FB4" w:rsidP="00D70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Valsts policija</w:t>
            </w:r>
          </w:p>
        </w:tc>
      </w:tr>
      <w:tr w:rsidR="007320A3" w:rsidRPr="00B60ED2" w14:paraId="30DC177C" w14:textId="77777777" w:rsidTr="000B5870">
        <w:trPr>
          <w:trHeight w:val="373"/>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1F6D9B66" w14:textId="77777777" w:rsidR="00D70FB4" w:rsidRPr="00B60ED2" w:rsidRDefault="00D70FB4" w:rsidP="00F25486">
            <w:pPr>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Samazināt vardarbību</w:t>
            </w:r>
          </w:p>
        </w:tc>
        <w:tc>
          <w:tcPr>
            <w:tcW w:w="4961" w:type="dxa"/>
          </w:tcPr>
          <w:p w14:paraId="4AEF624F" w14:textId="77777777" w:rsidR="00D70FB4" w:rsidRPr="00B60ED2" w:rsidRDefault="00D70FB4"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Ģimenes konfliktos cietušo skaits uz 100 000 iedzīvotāju</w:t>
            </w:r>
          </w:p>
        </w:tc>
        <w:tc>
          <w:tcPr>
            <w:tcW w:w="1205" w:type="dxa"/>
            <w:vAlign w:val="center"/>
          </w:tcPr>
          <w:p w14:paraId="0814018E" w14:textId="66A6E189" w:rsidR="00D70FB4" w:rsidRPr="00B60ED2" w:rsidRDefault="00D70FB4" w:rsidP="00D70F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46,85</w:t>
            </w:r>
          </w:p>
        </w:tc>
        <w:tc>
          <w:tcPr>
            <w:tcW w:w="1205" w:type="dxa"/>
            <w:vAlign w:val="center"/>
          </w:tcPr>
          <w:p w14:paraId="5C9B4AC3" w14:textId="6E8EF0D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46</w:t>
            </w:r>
            <w:r w:rsidR="004A1D89">
              <w:rPr>
                <w:rFonts w:ascii="Times New Roman" w:hAnsi="Times New Roman" w:cs="Times New Roman"/>
                <w:iCs/>
                <w:sz w:val="24"/>
                <w:szCs w:val="24"/>
                <w:lang w:eastAsia="lv-LV"/>
              </w:rPr>
              <w:t>/47</w:t>
            </w:r>
          </w:p>
        </w:tc>
        <w:tc>
          <w:tcPr>
            <w:tcW w:w="1205" w:type="dxa"/>
            <w:vAlign w:val="center"/>
          </w:tcPr>
          <w:p w14:paraId="4C90016B" w14:textId="2EAC342B"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42</w:t>
            </w:r>
          </w:p>
        </w:tc>
        <w:tc>
          <w:tcPr>
            <w:tcW w:w="1205" w:type="dxa"/>
            <w:vAlign w:val="center"/>
          </w:tcPr>
          <w:p w14:paraId="4B9332E6" w14:textId="00BF4E04"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40</w:t>
            </w:r>
          </w:p>
        </w:tc>
        <w:tc>
          <w:tcPr>
            <w:tcW w:w="1205" w:type="dxa"/>
            <w:vAlign w:val="center"/>
          </w:tcPr>
          <w:p w14:paraId="691470E7" w14:textId="6A41891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38</w:t>
            </w:r>
          </w:p>
        </w:tc>
        <w:tc>
          <w:tcPr>
            <w:tcW w:w="1205" w:type="dxa"/>
            <w:vAlign w:val="center"/>
          </w:tcPr>
          <w:p w14:paraId="503C3578" w14:textId="736FB93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36</w:t>
            </w:r>
          </w:p>
        </w:tc>
      </w:tr>
      <w:tr w:rsidR="007320A3" w:rsidRPr="00B60ED2" w14:paraId="6E0E1966" w14:textId="77777777" w:rsidTr="000B5870">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985" w:type="dxa"/>
            <w:vMerge/>
          </w:tcPr>
          <w:p w14:paraId="067DB030" w14:textId="77777777" w:rsidR="00D70FB4" w:rsidRPr="00B60ED2" w:rsidRDefault="00D70FB4" w:rsidP="00165ADA">
            <w:pPr>
              <w:jc w:val="both"/>
              <w:rPr>
                <w:rFonts w:ascii="Times New Roman" w:hAnsi="Times New Roman" w:cs="Times New Roman"/>
                <w:iCs/>
                <w:sz w:val="24"/>
                <w:szCs w:val="24"/>
                <w:lang w:eastAsia="lv-LV"/>
              </w:rPr>
            </w:pPr>
          </w:p>
        </w:tc>
        <w:tc>
          <w:tcPr>
            <w:tcW w:w="4961" w:type="dxa"/>
          </w:tcPr>
          <w:p w14:paraId="1EDCE77F" w14:textId="333D6E39" w:rsidR="00D70FB4" w:rsidRPr="00B60ED2" w:rsidRDefault="00D70FB4"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bookmarkStart w:id="3" w:name="_Hlk168057296"/>
            <w:bookmarkStart w:id="4" w:name="_Hlk160432997"/>
            <w:r w:rsidRPr="00B60ED2">
              <w:rPr>
                <w:rFonts w:ascii="Times New Roman" w:hAnsi="Times New Roman" w:cs="Times New Roman"/>
                <w:iCs/>
                <w:sz w:val="24"/>
                <w:szCs w:val="24"/>
                <w:lang w:eastAsia="lv-LV"/>
              </w:rPr>
              <w:t>Nepilngadīgo, kuri cietuši no vardarbības, skaits uz 100 000 iedzīvotāju</w:t>
            </w:r>
            <w:bookmarkEnd w:id="3"/>
            <w:r w:rsidRPr="00B60ED2">
              <w:rPr>
                <w:rStyle w:val="FootnoteReference"/>
                <w:rFonts w:ascii="Times New Roman" w:hAnsi="Times New Roman" w:cs="Times New Roman"/>
                <w:iCs/>
                <w:sz w:val="24"/>
                <w:szCs w:val="24"/>
                <w:lang w:eastAsia="lv-LV"/>
              </w:rPr>
              <w:footnoteReference w:id="7"/>
            </w:r>
            <w:bookmarkEnd w:id="4"/>
          </w:p>
        </w:tc>
        <w:tc>
          <w:tcPr>
            <w:tcW w:w="1205" w:type="dxa"/>
            <w:vAlign w:val="center"/>
          </w:tcPr>
          <w:p w14:paraId="5AF9080E" w14:textId="35977BE4" w:rsidR="00D70FB4" w:rsidRPr="00B60ED2" w:rsidRDefault="00D70FB4" w:rsidP="00D70F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506,5</w:t>
            </w:r>
          </w:p>
        </w:tc>
        <w:tc>
          <w:tcPr>
            <w:tcW w:w="1205" w:type="dxa"/>
            <w:vAlign w:val="center"/>
          </w:tcPr>
          <w:p w14:paraId="1BA9C69C" w14:textId="06F09AD3"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490</w:t>
            </w:r>
            <w:r w:rsidR="004A1D89">
              <w:rPr>
                <w:rFonts w:ascii="Times New Roman" w:hAnsi="Times New Roman" w:cs="Times New Roman"/>
                <w:iCs/>
                <w:sz w:val="24"/>
                <w:szCs w:val="24"/>
                <w:lang w:eastAsia="lv-LV"/>
              </w:rPr>
              <w:t>/</w:t>
            </w:r>
            <w:r w:rsidR="00D348D5">
              <w:rPr>
                <w:rFonts w:ascii="Times New Roman" w:hAnsi="Times New Roman" w:cs="Times New Roman"/>
                <w:iCs/>
                <w:sz w:val="24"/>
                <w:szCs w:val="24"/>
                <w:lang w:eastAsia="lv-LV"/>
              </w:rPr>
              <w:t>543</w:t>
            </w:r>
          </w:p>
        </w:tc>
        <w:tc>
          <w:tcPr>
            <w:tcW w:w="1205" w:type="dxa"/>
            <w:vAlign w:val="center"/>
          </w:tcPr>
          <w:p w14:paraId="5B350F7C" w14:textId="42105601"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480</w:t>
            </w:r>
          </w:p>
        </w:tc>
        <w:tc>
          <w:tcPr>
            <w:tcW w:w="1205" w:type="dxa"/>
            <w:vAlign w:val="center"/>
          </w:tcPr>
          <w:p w14:paraId="1D9FE675" w14:textId="5727DBFE"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470</w:t>
            </w:r>
          </w:p>
        </w:tc>
        <w:tc>
          <w:tcPr>
            <w:tcW w:w="1205" w:type="dxa"/>
            <w:vAlign w:val="center"/>
          </w:tcPr>
          <w:p w14:paraId="1A58EB40" w14:textId="4B6ACDB0"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460</w:t>
            </w:r>
          </w:p>
        </w:tc>
        <w:tc>
          <w:tcPr>
            <w:tcW w:w="1205" w:type="dxa"/>
            <w:vAlign w:val="center"/>
          </w:tcPr>
          <w:p w14:paraId="6045BA6F" w14:textId="563FB2D6"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450</w:t>
            </w:r>
          </w:p>
        </w:tc>
      </w:tr>
      <w:tr w:rsidR="007320A3" w:rsidRPr="00B60ED2" w14:paraId="49DDC283" w14:textId="77777777" w:rsidTr="000B5870">
        <w:trPr>
          <w:trHeight w:val="373"/>
        </w:trPr>
        <w:tc>
          <w:tcPr>
            <w:cnfStyle w:val="001000000000" w:firstRow="0" w:lastRow="0" w:firstColumn="1" w:lastColumn="0" w:oddVBand="0" w:evenVBand="0" w:oddHBand="0" w:evenHBand="0" w:firstRowFirstColumn="0" w:firstRowLastColumn="0" w:lastRowFirstColumn="0" w:lastRowLastColumn="0"/>
            <w:tcW w:w="1985" w:type="dxa"/>
            <w:vMerge/>
          </w:tcPr>
          <w:p w14:paraId="2DF15F88" w14:textId="77777777" w:rsidR="00D70FB4" w:rsidRPr="00B60ED2" w:rsidRDefault="00D70FB4" w:rsidP="00165ADA">
            <w:pPr>
              <w:jc w:val="both"/>
              <w:rPr>
                <w:rFonts w:ascii="Times New Roman" w:hAnsi="Times New Roman" w:cs="Times New Roman"/>
                <w:iCs/>
                <w:sz w:val="24"/>
                <w:szCs w:val="24"/>
                <w:lang w:eastAsia="lv-LV"/>
              </w:rPr>
            </w:pPr>
          </w:p>
        </w:tc>
        <w:tc>
          <w:tcPr>
            <w:tcW w:w="4961" w:type="dxa"/>
          </w:tcPr>
          <w:p w14:paraId="1FEAB974" w14:textId="20329E76" w:rsidR="00D70FB4" w:rsidRPr="00B60ED2" w:rsidRDefault="00D70FB4" w:rsidP="000656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bookmarkStart w:id="5" w:name="_Hlk168057331"/>
            <w:r w:rsidRPr="00B60ED2">
              <w:rPr>
                <w:rFonts w:ascii="Times New Roman" w:hAnsi="Times New Roman" w:cs="Times New Roman"/>
                <w:iCs/>
                <w:sz w:val="24"/>
                <w:szCs w:val="24"/>
                <w:lang w:eastAsia="lv-LV"/>
              </w:rPr>
              <w:t>Vardarbīgos noziedzīgos nodarījumos cietušo skaits uz 100 000 iedzīvotāju</w:t>
            </w:r>
            <w:bookmarkEnd w:id="5"/>
          </w:p>
        </w:tc>
        <w:tc>
          <w:tcPr>
            <w:tcW w:w="1205" w:type="dxa"/>
            <w:vAlign w:val="center"/>
          </w:tcPr>
          <w:p w14:paraId="6A440463" w14:textId="72E05ACD" w:rsidR="00D70FB4" w:rsidRPr="00B60ED2" w:rsidRDefault="00D70FB4" w:rsidP="00D70F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71,1</w:t>
            </w:r>
          </w:p>
        </w:tc>
        <w:tc>
          <w:tcPr>
            <w:tcW w:w="1205" w:type="dxa"/>
            <w:vAlign w:val="center"/>
          </w:tcPr>
          <w:p w14:paraId="0AD950D7" w14:textId="21FC46BD"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70</w:t>
            </w:r>
            <w:r w:rsidR="00411CBC">
              <w:rPr>
                <w:rFonts w:ascii="Times New Roman" w:hAnsi="Times New Roman" w:cs="Times New Roman"/>
                <w:iCs/>
                <w:sz w:val="24"/>
                <w:szCs w:val="24"/>
                <w:lang w:eastAsia="lv-LV"/>
              </w:rPr>
              <w:t>/78</w:t>
            </w:r>
          </w:p>
        </w:tc>
        <w:tc>
          <w:tcPr>
            <w:tcW w:w="1205" w:type="dxa"/>
            <w:vAlign w:val="center"/>
          </w:tcPr>
          <w:p w14:paraId="4DFEF656" w14:textId="27C38C16"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67</w:t>
            </w:r>
          </w:p>
        </w:tc>
        <w:tc>
          <w:tcPr>
            <w:tcW w:w="1205" w:type="dxa"/>
            <w:vAlign w:val="center"/>
          </w:tcPr>
          <w:p w14:paraId="493D1DDA" w14:textId="4160568B"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64</w:t>
            </w:r>
          </w:p>
        </w:tc>
        <w:tc>
          <w:tcPr>
            <w:tcW w:w="1205" w:type="dxa"/>
            <w:vAlign w:val="center"/>
          </w:tcPr>
          <w:p w14:paraId="48AF2184" w14:textId="785807C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61</w:t>
            </w:r>
          </w:p>
        </w:tc>
        <w:tc>
          <w:tcPr>
            <w:tcW w:w="1205" w:type="dxa"/>
            <w:vAlign w:val="center"/>
          </w:tcPr>
          <w:p w14:paraId="01A59F52" w14:textId="37A0FC17"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58</w:t>
            </w:r>
          </w:p>
        </w:tc>
      </w:tr>
      <w:tr w:rsidR="00850AEB" w:rsidRPr="00B60ED2" w14:paraId="3EDF2A73" w14:textId="77777777" w:rsidTr="006B7A99">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7EC3BF1D" w14:textId="146C18CE" w:rsidR="00850AEB" w:rsidRPr="00B60ED2" w:rsidRDefault="00850AEB" w:rsidP="00F25486">
            <w:pPr>
              <w:rPr>
                <w:rFonts w:ascii="Times New Roman" w:hAnsi="Times New Roman" w:cs="Times New Roman"/>
                <w:b w:val="0"/>
                <w:bCs w:val="0"/>
                <w:iCs/>
                <w:sz w:val="24"/>
                <w:szCs w:val="24"/>
                <w:lang w:eastAsia="lv-LV"/>
              </w:rPr>
            </w:pPr>
            <w:r w:rsidRPr="00B60ED2">
              <w:rPr>
                <w:rFonts w:ascii="Times New Roman" w:hAnsi="Times New Roman" w:cs="Times New Roman"/>
                <w:b w:val="0"/>
                <w:iCs/>
                <w:sz w:val="24"/>
                <w:szCs w:val="24"/>
                <w:lang w:eastAsia="lv-LV"/>
              </w:rPr>
              <w:t>Iesaistītās iestādes</w:t>
            </w:r>
            <w:r w:rsidRPr="00B60ED2">
              <w:rPr>
                <w:rFonts w:ascii="Times New Roman" w:hAnsi="Times New Roman" w:cs="Times New Roman"/>
                <w:iCs/>
                <w:sz w:val="24"/>
                <w:szCs w:val="24"/>
                <w:lang w:eastAsia="lv-LV"/>
              </w:rPr>
              <w:t xml:space="preserve"> </w:t>
            </w:r>
          </w:p>
        </w:tc>
        <w:tc>
          <w:tcPr>
            <w:tcW w:w="12191" w:type="dxa"/>
            <w:gridSpan w:val="7"/>
            <w:vAlign w:val="center"/>
          </w:tcPr>
          <w:p w14:paraId="5B7BFE7F" w14:textId="281CD931" w:rsidR="00850AEB" w:rsidRPr="00B60ED2" w:rsidRDefault="00850AEB" w:rsidP="0023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Valsts policija</w:t>
            </w:r>
          </w:p>
        </w:tc>
      </w:tr>
    </w:tbl>
    <w:p w14:paraId="57D14243" w14:textId="791D02B3" w:rsidR="006B7A99" w:rsidRPr="00B60ED2" w:rsidRDefault="006B7A99" w:rsidP="00AA18B5">
      <w:pPr>
        <w:tabs>
          <w:tab w:val="left" w:pos="2712"/>
        </w:tabs>
        <w:rPr>
          <w:rFonts w:ascii="Times New Roman" w:eastAsia="+mn-ea" w:hAnsi="Times New Roman" w:cs="Times New Roman"/>
          <w:sz w:val="32"/>
          <w:szCs w:val="32"/>
          <w:lang w:eastAsia="lv-LV"/>
        </w:rPr>
        <w:sectPr w:rsidR="006B7A99" w:rsidRPr="00B60ED2" w:rsidSect="004A49EE">
          <w:pgSz w:w="16838" w:h="11906" w:orient="landscape"/>
          <w:pgMar w:top="1418" w:right="1418" w:bottom="1559" w:left="1418" w:header="709" w:footer="709" w:gutter="0"/>
          <w:cols w:space="708"/>
          <w:titlePg/>
          <w:docGrid w:linePitch="360"/>
        </w:sectPr>
      </w:pPr>
    </w:p>
    <w:p w14:paraId="6028288E" w14:textId="33E999D8"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lastRenderedPageBreak/>
        <w:t xml:space="preserve">Rīcības virziens: Publisko vietu un ceļu </w:t>
      </w:r>
      <w:r w:rsidR="001D3201" w:rsidRPr="00B60ED2">
        <w:rPr>
          <w:rFonts w:ascii="Times New Roman" w:eastAsia="+mn-ea" w:hAnsi="Times New Roman" w:cs="Times New Roman"/>
          <w:b/>
          <w:bCs/>
          <w:color w:val="767171" w:themeColor="background2" w:themeShade="80"/>
          <w:kern w:val="24"/>
          <w:sz w:val="28"/>
          <w:szCs w:val="28"/>
          <w:lang w:eastAsia="lv-LV"/>
        </w:rPr>
        <w:t xml:space="preserve">satiksmes </w:t>
      </w:r>
      <w:r w:rsidRPr="00B60ED2">
        <w:rPr>
          <w:rFonts w:ascii="Times New Roman" w:eastAsia="+mn-ea" w:hAnsi="Times New Roman" w:cs="Times New Roman"/>
          <w:b/>
          <w:bCs/>
          <w:color w:val="767171" w:themeColor="background2" w:themeShade="80"/>
          <w:kern w:val="24"/>
          <w:sz w:val="28"/>
          <w:szCs w:val="28"/>
          <w:lang w:eastAsia="lv-LV"/>
        </w:rPr>
        <w:t>uzraudzības paplašināšana, tai skaitā ar tehniskiem līdzekļiem.</w:t>
      </w:r>
    </w:p>
    <w:p w14:paraId="7FA8AA2C" w14:textId="350951BA"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G</w:t>
      </w:r>
      <w:r w:rsidR="0031440A" w:rsidRPr="00B60ED2">
        <w:rPr>
          <w:rFonts w:ascii="Times New Roman" w:eastAsia="+mn-ea" w:hAnsi="Times New Roman" w:cs="Times New Roman"/>
          <w:b/>
          <w:bCs/>
          <w:kern w:val="24"/>
          <w:sz w:val="24"/>
          <w:szCs w:val="32"/>
          <w:lang w:eastAsia="lv-LV"/>
        </w:rPr>
        <w:t>alvenie uzdevumi</w:t>
      </w:r>
      <w:r w:rsidRPr="00B60ED2">
        <w:rPr>
          <w:rFonts w:ascii="Times New Roman" w:eastAsia="+mn-ea" w:hAnsi="Times New Roman" w:cs="Times New Roman"/>
          <w:b/>
          <w:bCs/>
          <w:kern w:val="24"/>
          <w:sz w:val="24"/>
          <w:szCs w:val="32"/>
          <w:lang w:eastAsia="lv-LV"/>
        </w:rPr>
        <w:t>:</w:t>
      </w:r>
    </w:p>
    <w:p w14:paraId="04954AFB" w14:textId="2D7495EA" w:rsidR="00165ADA" w:rsidRPr="00B60ED2" w:rsidRDefault="00165ADA" w:rsidP="007312FB">
      <w:pPr>
        <w:pStyle w:val="ListParagraph"/>
        <w:numPr>
          <w:ilvl w:val="0"/>
          <w:numId w:val="1"/>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Uzlabot ceļu satiksmes uzraudzību, paplašinot tehnisko līdzekļu pārkāpumu fiksēšanai</w:t>
      </w:r>
      <w:r w:rsidR="0007518A" w:rsidRPr="00B60ED2">
        <w:rPr>
          <w:rFonts w:ascii="Times New Roman" w:eastAsia="+mn-ea" w:hAnsi="Times New Roman" w:cs="Times New Roman"/>
          <w:bCs/>
          <w:kern w:val="24"/>
          <w:sz w:val="24"/>
          <w:szCs w:val="32"/>
          <w:lang w:eastAsia="lv-LV"/>
        </w:rPr>
        <w:t>,</w:t>
      </w:r>
      <w:r w:rsidRPr="00B60ED2">
        <w:rPr>
          <w:rFonts w:ascii="Times New Roman" w:eastAsia="+mn-ea" w:hAnsi="Times New Roman" w:cs="Times New Roman"/>
          <w:bCs/>
          <w:kern w:val="24"/>
          <w:sz w:val="24"/>
          <w:szCs w:val="32"/>
          <w:lang w:eastAsia="lv-LV"/>
        </w:rPr>
        <w:t xml:space="preserve"> neapturot transportlīdzekli</w:t>
      </w:r>
      <w:r w:rsidR="0007518A" w:rsidRPr="00B60ED2">
        <w:rPr>
          <w:rFonts w:ascii="Times New Roman" w:eastAsia="+mn-ea" w:hAnsi="Times New Roman" w:cs="Times New Roman"/>
          <w:bCs/>
          <w:kern w:val="24"/>
          <w:sz w:val="24"/>
          <w:szCs w:val="32"/>
          <w:lang w:eastAsia="lv-LV"/>
        </w:rPr>
        <w:t>,</w:t>
      </w:r>
      <w:r w:rsidRPr="00B60ED2">
        <w:rPr>
          <w:rFonts w:ascii="Times New Roman" w:eastAsia="+mn-ea" w:hAnsi="Times New Roman" w:cs="Times New Roman"/>
          <w:bCs/>
          <w:kern w:val="24"/>
          <w:sz w:val="24"/>
          <w:szCs w:val="32"/>
          <w:lang w:eastAsia="lv-LV"/>
        </w:rPr>
        <w:t xml:space="preserve"> izmantošanu (fotoradari, transporta līdzekļa vidējā braukšanas ātruma mērīšanas sistēma,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6E6A2F5C" w14:textId="0A6B0D1A" w:rsidR="00165ADA" w:rsidRPr="00B60ED2" w:rsidRDefault="00165ADA" w:rsidP="007312FB">
      <w:pPr>
        <w:pStyle w:val="ListParagraph"/>
        <w:numPr>
          <w:ilvl w:val="0"/>
          <w:numId w:val="1"/>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Policijas redzamības uzlabošana, turpin</w:t>
      </w:r>
      <w:r w:rsidR="00E34F2A">
        <w:rPr>
          <w:rFonts w:ascii="Times New Roman" w:eastAsia="+mn-ea" w:hAnsi="Times New Roman" w:cs="Times New Roman"/>
          <w:bCs/>
          <w:kern w:val="24"/>
          <w:sz w:val="24"/>
          <w:szCs w:val="32"/>
          <w:lang w:eastAsia="lv-LV"/>
        </w:rPr>
        <w:t>āt</w:t>
      </w:r>
      <w:r w:rsidRPr="00B60ED2">
        <w:rPr>
          <w:rFonts w:ascii="Times New Roman" w:eastAsia="+mn-ea" w:hAnsi="Times New Roman" w:cs="Times New Roman"/>
          <w:bCs/>
          <w:kern w:val="24"/>
          <w:sz w:val="24"/>
          <w:szCs w:val="32"/>
          <w:lang w:eastAsia="lv-LV"/>
        </w:rPr>
        <w:t xml:space="preserve"> </w:t>
      </w:r>
      <w:r w:rsidR="00E34F2A">
        <w:rPr>
          <w:rFonts w:ascii="Times New Roman" w:eastAsia="+mn-ea" w:hAnsi="Times New Roman" w:cs="Times New Roman"/>
          <w:bCs/>
          <w:kern w:val="24"/>
          <w:sz w:val="24"/>
          <w:szCs w:val="32"/>
          <w:lang w:eastAsia="lv-LV"/>
        </w:rPr>
        <w:t>attīstīt</w:t>
      </w:r>
      <w:r w:rsidRPr="00B60ED2">
        <w:rPr>
          <w:rFonts w:ascii="Times New Roman" w:eastAsia="+mn-ea" w:hAnsi="Times New Roman" w:cs="Times New Roman"/>
          <w:bCs/>
          <w:kern w:val="24"/>
          <w:sz w:val="24"/>
          <w:szCs w:val="32"/>
          <w:lang w:eastAsia="lv-LV"/>
        </w:rPr>
        <w:t xml:space="preserve"> reaģējošā policista </w:t>
      </w:r>
      <w:r w:rsidR="001D3201" w:rsidRPr="00B60ED2">
        <w:rPr>
          <w:rFonts w:ascii="Times New Roman" w:eastAsia="+mn-ea" w:hAnsi="Times New Roman" w:cs="Times New Roman"/>
          <w:bCs/>
          <w:kern w:val="24"/>
          <w:sz w:val="24"/>
          <w:szCs w:val="32"/>
          <w:lang w:eastAsia="lv-LV"/>
        </w:rPr>
        <w:t>institūtu</w:t>
      </w:r>
      <w:r w:rsidRPr="00B60ED2">
        <w:rPr>
          <w:rFonts w:ascii="Times New Roman" w:eastAsia="+mn-ea" w:hAnsi="Times New Roman" w:cs="Times New Roman"/>
          <w:bCs/>
          <w:kern w:val="24"/>
          <w:sz w:val="24"/>
          <w:szCs w:val="32"/>
          <w:lang w:eastAsia="lv-LV"/>
        </w:rPr>
        <w:t>, kā arī pārskatot darba organizāciju un pieejamo resursu izmantošanu.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7AA7D4C1" w14:textId="77777777" w:rsidR="00165ADA" w:rsidRPr="00B60ED2" w:rsidRDefault="00165ADA" w:rsidP="00165ADA">
      <w:pPr>
        <w:rPr>
          <w:rFonts w:ascii="Times New Roman" w:hAnsi="Times New Roman" w:cs="Times New Roman"/>
        </w:rPr>
      </w:pPr>
    </w:p>
    <w:p w14:paraId="1399E587" w14:textId="7812BE1B"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V</w:t>
      </w:r>
      <w:r w:rsidR="00AC4B30" w:rsidRPr="00B60ED2">
        <w:rPr>
          <w:rFonts w:ascii="Times New Roman" w:eastAsia="+mn-ea" w:hAnsi="Times New Roman" w:cs="Times New Roman"/>
          <w:b/>
          <w:bCs/>
          <w:color w:val="767171" w:themeColor="background2" w:themeShade="80"/>
          <w:kern w:val="24"/>
          <w:sz w:val="28"/>
          <w:szCs w:val="28"/>
          <w:lang w:eastAsia="lv-LV"/>
        </w:rPr>
        <w:t>alsts policijas</w:t>
      </w:r>
      <w:r w:rsidRPr="00B60ED2">
        <w:rPr>
          <w:rFonts w:ascii="Times New Roman" w:eastAsia="+mn-ea" w:hAnsi="Times New Roman" w:cs="Times New Roman"/>
          <w:b/>
          <w:bCs/>
          <w:color w:val="767171" w:themeColor="background2" w:themeShade="80"/>
          <w:kern w:val="24"/>
          <w:sz w:val="28"/>
          <w:szCs w:val="28"/>
          <w:lang w:eastAsia="lv-LV"/>
        </w:rPr>
        <w:t xml:space="preserve"> reaģēšanas spēju uzlabošana.</w:t>
      </w:r>
    </w:p>
    <w:p w14:paraId="120737CC" w14:textId="2E57218C"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2DB55A4D" w14:textId="785151C3" w:rsidR="00DE5390" w:rsidRPr="00B60ED2" w:rsidRDefault="00E34F2A" w:rsidP="00F17022">
      <w:pPr>
        <w:pStyle w:val="ListParagraph"/>
        <w:numPr>
          <w:ilvl w:val="0"/>
          <w:numId w:val="32"/>
        </w:numPr>
        <w:spacing w:line="240" w:lineRule="auto"/>
        <w:jc w:val="both"/>
        <w:rPr>
          <w:rFonts w:ascii="Times New Roman" w:eastAsia="+mn-ea" w:hAnsi="Times New Roman" w:cs="Times New Roman"/>
          <w:bCs/>
          <w:kern w:val="24"/>
          <w:sz w:val="24"/>
          <w:szCs w:val="32"/>
          <w:lang w:eastAsia="lv-LV"/>
        </w:rPr>
      </w:pPr>
      <w:r>
        <w:rPr>
          <w:rFonts w:ascii="Times New Roman" w:eastAsia="+mn-ea" w:hAnsi="Times New Roman" w:cs="Times New Roman"/>
          <w:bCs/>
          <w:kern w:val="24"/>
          <w:sz w:val="24"/>
          <w:szCs w:val="32"/>
          <w:lang w:eastAsia="lv-LV"/>
        </w:rPr>
        <w:t>Attīstīt</w:t>
      </w:r>
      <w:r w:rsidR="00DE5390" w:rsidRPr="00B60ED2">
        <w:rPr>
          <w:rFonts w:ascii="Times New Roman" w:eastAsia="+mn-ea" w:hAnsi="Times New Roman" w:cs="Times New Roman"/>
          <w:bCs/>
          <w:kern w:val="24"/>
          <w:sz w:val="24"/>
          <w:szCs w:val="32"/>
          <w:lang w:eastAsia="lv-LV"/>
        </w:rPr>
        <w:t xml:space="preserve"> jaunu, efektīvu cilvēkresursu pārvaldīšanas procesu </w:t>
      </w:r>
      <w:r w:rsidR="00F640D0" w:rsidRPr="00B60ED2">
        <w:rPr>
          <w:rFonts w:ascii="Times New Roman" w:eastAsia="+mn-ea" w:hAnsi="Times New Roman" w:cs="Times New Roman"/>
          <w:bCs/>
          <w:kern w:val="24"/>
          <w:sz w:val="24"/>
          <w:szCs w:val="32"/>
          <w:lang w:eastAsia="lv-LV"/>
        </w:rPr>
        <w:t>(reaģējošais policists, grupu vad</w:t>
      </w:r>
      <w:r w:rsidR="00411AC7" w:rsidRPr="00B60ED2">
        <w:rPr>
          <w:rFonts w:ascii="Times New Roman" w:eastAsia="+mn-ea" w:hAnsi="Times New Roman" w:cs="Times New Roman"/>
          <w:bCs/>
          <w:kern w:val="24"/>
          <w:sz w:val="24"/>
          <w:szCs w:val="32"/>
          <w:lang w:eastAsia="lv-LV"/>
        </w:rPr>
        <w:t xml:space="preserve">ības princips, atbilstošs </w:t>
      </w:r>
      <w:r w:rsidR="00F640D0" w:rsidRPr="00B60ED2">
        <w:rPr>
          <w:rFonts w:ascii="Times New Roman" w:eastAsia="+mn-ea" w:hAnsi="Times New Roman" w:cs="Times New Roman"/>
          <w:bCs/>
          <w:kern w:val="24"/>
          <w:sz w:val="24"/>
          <w:szCs w:val="32"/>
          <w:lang w:eastAsia="lv-LV"/>
        </w:rPr>
        <w:t>izvietojums</w:t>
      </w:r>
      <w:r w:rsidR="007205C4">
        <w:rPr>
          <w:rFonts w:ascii="Times New Roman" w:eastAsia="+mn-ea" w:hAnsi="Times New Roman" w:cs="Times New Roman"/>
          <w:bCs/>
          <w:kern w:val="24"/>
          <w:sz w:val="24"/>
          <w:szCs w:val="32"/>
          <w:lang w:eastAsia="lv-LV"/>
        </w:rPr>
        <w:t xml:space="preserve">, </w:t>
      </w:r>
      <w:r w:rsidR="00285AEC" w:rsidRPr="00B60ED2">
        <w:rPr>
          <w:rFonts w:ascii="Times New Roman" w:eastAsia="+mn-ea" w:hAnsi="Times New Roman" w:cs="Times New Roman"/>
          <w:bCs/>
          <w:kern w:val="24"/>
          <w:sz w:val="24"/>
          <w:szCs w:val="32"/>
          <w:lang w:eastAsia="lv-LV"/>
        </w:rPr>
        <w:t>tostarp sadarbībā ar pašvaldību policijām</w:t>
      </w:r>
      <w:r w:rsidR="00F640D0" w:rsidRPr="00B60ED2">
        <w:rPr>
          <w:rFonts w:ascii="Times New Roman" w:eastAsia="+mn-ea" w:hAnsi="Times New Roman" w:cs="Times New Roman"/>
          <w:bCs/>
          <w:kern w:val="24"/>
          <w:sz w:val="24"/>
          <w:szCs w:val="32"/>
          <w:lang w:eastAsia="lv-LV"/>
        </w:rPr>
        <w:t xml:space="preserve">). </w:t>
      </w:r>
      <w:r w:rsidR="00DE5390" w:rsidRPr="00B60ED2">
        <w:rPr>
          <w:rFonts w:ascii="Times New Roman" w:eastAsia="+mn-ea" w:hAnsi="Times New Roman" w:cs="Times New Roman"/>
          <w:bCs/>
          <w:kern w:val="24"/>
          <w:sz w:val="24"/>
          <w:szCs w:val="32"/>
          <w:lang w:eastAsia="lv-LV"/>
        </w:rPr>
        <w:t>(</w:t>
      </w:r>
      <w:r w:rsidR="00DE5390" w:rsidRPr="00B60ED2">
        <w:rPr>
          <w:rFonts w:ascii="Times New Roman" w:eastAsia="+mn-ea" w:hAnsi="Times New Roman" w:cs="Times New Roman"/>
          <w:b/>
          <w:bCs/>
          <w:kern w:val="24"/>
          <w:sz w:val="24"/>
          <w:szCs w:val="32"/>
          <w:lang w:eastAsia="lv-LV"/>
        </w:rPr>
        <w:t>VP</w:t>
      </w:r>
      <w:r w:rsidR="00DE5390" w:rsidRPr="00B60ED2">
        <w:rPr>
          <w:rFonts w:ascii="Times New Roman" w:eastAsia="+mn-ea" w:hAnsi="Times New Roman" w:cs="Times New Roman"/>
          <w:bCs/>
          <w:kern w:val="24"/>
          <w:sz w:val="24"/>
          <w:szCs w:val="32"/>
          <w:lang w:eastAsia="lv-LV"/>
        </w:rPr>
        <w:t>)</w:t>
      </w:r>
    </w:p>
    <w:p w14:paraId="0F767B63" w14:textId="538CCF72" w:rsidR="00411AC7" w:rsidRPr="00AA310C" w:rsidRDefault="00E34F2A" w:rsidP="007312FB">
      <w:pPr>
        <w:pStyle w:val="ListParagraph"/>
        <w:numPr>
          <w:ilvl w:val="0"/>
          <w:numId w:val="32"/>
        </w:numPr>
        <w:spacing w:line="240" w:lineRule="auto"/>
        <w:jc w:val="both"/>
        <w:rPr>
          <w:rFonts w:ascii="Times New Roman" w:eastAsia="+mn-ea" w:hAnsi="Times New Roman" w:cs="Times New Roman"/>
          <w:bCs/>
          <w:kern w:val="24"/>
          <w:sz w:val="24"/>
          <w:szCs w:val="32"/>
          <w:lang w:eastAsia="lv-LV"/>
        </w:rPr>
      </w:pPr>
      <w:r w:rsidRPr="00AA310C">
        <w:rPr>
          <w:rFonts w:ascii="Times New Roman" w:eastAsia="+mn-ea" w:hAnsi="Times New Roman" w:cs="Times New Roman"/>
          <w:bCs/>
          <w:kern w:val="24"/>
          <w:sz w:val="24"/>
          <w:szCs w:val="32"/>
          <w:lang w:eastAsia="lv-LV"/>
        </w:rPr>
        <w:t xml:space="preserve">Turpināt attīstīt </w:t>
      </w:r>
      <w:r w:rsidR="00707076" w:rsidRPr="00AA310C">
        <w:rPr>
          <w:rFonts w:ascii="Times New Roman" w:eastAsia="+mn-ea" w:hAnsi="Times New Roman" w:cs="Times New Roman"/>
          <w:bCs/>
          <w:kern w:val="24"/>
          <w:sz w:val="24"/>
          <w:szCs w:val="32"/>
          <w:lang w:eastAsia="lv-LV"/>
        </w:rPr>
        <w:t>Vienot</w:t>
      </w:r>
      <w:r w:rsidR="00232C57" w:rsidRPr="00AA310C">
        <w:rPr>
          <w:rFonts w:ascii="Times New Roman" w:eastAsia="+mn-ea" w:hAnsi="Times New Roman" w:cs="Times New Roman"/>
          <w:bCs/>
          <w:kern w:val="24"/>
          <w:sz w:val="24"/>
          <w:szCs w:val="32"/>
          <w:lang w:eastAsia="lv-LV"/>
        </w:rPr>
        <w:t>o</w:t>
      </w:r>
      <w:r w:rsidR="00707076" w:rsidRPr="00AA310C">
        <w:rPr>
          <w:rFonts w:ascii="Times New Roman" w:eastAsia="+mn-ea" w:hAnsi="Times New Roman" w:cs="Times New Roman"/>
          <w:bCs/>
          <w:kern w:val="24"/>
          <w:sz w:val="24"/>
          <w:szCs w:val="32"/>
          <w:lang w:eastAsia="lv-LV"/>
        </w:rPr>
        <w:t xml:space="preserve"> kontaktu centra </w:t>
      </w:r>
      <w:r w:rsidR="00411AC7" w:rsidRPr="00AA310C">
        <w:rPr>
          <w:rFonts w:ascii="Times New Roman" w:eastAsia="+mn-ea" w:hAnsi="Times New Roman" w:cs="Times New Roman"/>
          <w:bCs/>
          <w:kern w:val="24"/>
          <w:sz w:val="24"/>
          <w:szCs w:val="32"/>
          <w:lang w:eastAsia="lv-LV"/>
        </w:rPr>
        <w:t>platformu</w:t>
      </w:r>
      <w:r w:rsidR="00707076" w:rsidRPr="00AA310C">
        <w:rPr>
          <w:rFonts w:ascii="Times New Roman" w:eastAsia="+mn-ea" w:hAnsi="Times New Roman" w:cs="Times New Roman"/>
          <w:bCs/>
          <w:kern w:val="24"/>
          <w:sz w:val="24"/>
          <w:szCs w:val="32"/>
          <w:lang w:eastAsia="lv-LV"/>
        </w:rPr>
        <w:t xml:space="preserve"> operatīvo dienestu reaģēšanas spēju uzlabošanai</w:t>
      </w:r>
      <w:r w:rsidRPr="00AA310C">
        <w:rPr>
          <w:rFonts w:ascii="Times New Roman" w:eastAsia="+mn-ea" w:hAnsi="Times New Roman" w:cs="Times New Roman"/>
          <w:bCs/>
          <w:kern w:val="24"/>
          <w:sz w:val="24"/>
          <w:szCs w:val="32"/>
          <w:lang w:eastAsia="lv-LV"/>
        </w:rPr>
        <w:t>, ieviešot prioritāros risinājumus</w:t>
      </w:r>
      <w:r w:rsidR="00707076" w:rsidRPr="00AA310C">
        <w:rPr>
          <w:rFonts w:ascii="Times New Roman" w:eastAsia="+mn-ea" w:hAnsi="Times New Roman" w:cs="Times New Roman"/>
          <w:bCs/>
          <w:kern w:val="24"/>
          <w:sz w:val="24"/>
          <w:szCs w:val="32"/>
          <w:lang w:eastAsia="lv-LV"/>
        </w:rPr>
        <w:t>. (</w:t>
      </w:r>
      <w:r w:rsidR="00707076" w:rsidRPr="00AA310C">
        <w:rPr>
          <w:rFonts w:ascii="Times New Roman" w:eastAsia="+mn-ea" w:hAnsi="Times New Roman" w:cs="Times New Roman"/>
          <w:b/>
          <w:bCs/>
          <w:kern w:val="24"/>
          <w:sz w:val="24"/>
          <w:szCs w:val="32"/>
          <w:lang w:eastAsia="lv-LV"/>
        </w:rPr>
        <w:t>IeM IC</w:t>
      </w:r>
      <w:r w:rsidR="00707076" w:rsidRPr="00AA310C">
        <w:rPr>
          <w:rFonts w:ascii="Times New Roman" w:eastAsia="+mn-ea" w:hAnsi="Times New Roman" w:cs="Times New Roman"/>
          <w:bCs/>
          <w:kern w:val="24"/>
          <w:sz w:val="24"/>
          <w:szCs w:val="32"/>
          <w:lang w:eastAsia="lv-LV"/>
        </w:rPr>
        <w:t>, VP, VUGD)</w:t>
      </w:r>
      <w:r w:rsidR="00411AC7" w:rsidRPr="00AA310C">
        <w:rPr>
          <w:rFonts w:ascii="Times New Roman" w:eastAsia="+mn-ea" w:hAnsi="Times New Roman" w:cs="Times New Roman"/>
          <w:bCs/>
          <w:kern w:val="24"/>
          <w:sz w:val="24"/>
          <w:szCs w:val="32"/>
          <w:lang w:eastAsia="lv-LV"/>
        </w:rPr>
        <w:t xml:space="preserve"> </w:t>
      </w:r>
    </w:p>
    <w:p w14:paraId="79F3F936" w14:textId="6C7732C0" w:rsidR="00411AC7" w:rsidRPr="00B60ED2" w:rsidRDefault="00411AC7" w:rsidP="007312FB">
      <w:pPr>
        <w:pStyle w:val="ListParagraph"/>
        <w:numPr>
          <w:ilvl w:val="0"/>
          <w:numId w:val="32"/>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Veikt izvērtējumu par operatīvās v</w:t>
      </w:r>
      <w:r w:rsidR="0007518A" w:rsidRPr="00B60ED2">
        <w:rPr>
          <w:rFonts w:ascii="Times New Roman" w:eastAsia="+mn-ea" w:hAnsi="Times New Roman" w:cs="Times New Roman"/>
          <w:bCs/>
          <w:kern w:val="24"/>
          <w:sz w:val="24"/>
          <w:szCs w:val="32"/>
          <w:lang w:eastAsia="lv-LV"/>
        </w:rPr>
        <w:t xml:space="preserve">adības procesu Valsts policijā, </w:t>
      </w:r>
      <w:r w:rsidRPr="00B60ED2">
        <w:rPr>
          <w:rFonts w:ascii="Times New Roman" w:eastAsia="+mn-ea" w:hAnsi="Times New Roman" w:cs="Times New Roman"/>
          <w:bCs/>
          <w:kern w:val="24"/>
          <w:sz w:val="24"/>
          <w:szCs w:val="32"/>
          <w:lang w:eastAsia="lv-LV"/>
        </w:rPr>
        <w:t>tostarp vērtējot struktūrvienību skaitu</w:t>
      </w:r>
      <w:r w:rsidR="00974AB8" w:rsidRPr="00B60ED2">
        <w:rPr>
          <w:rFonts w:ascii="Times New Roman" w:eastAsia="+mn-ea" w:hAnsi="Times New Roman" w:cs="Times New Roman"/>
          <w:bCs/>
          <w:kern w:val="24"/>
          <w:sz w:val="24"/>
          <w:szCs w:val="32"/>
          <w:lang w:eastAsia="lv-LV"/>
        </w:rPr>
        <w:t xml:space="preserve"> un iekšējo </w:t>
      </w:r>
      <w:r w:rsidRPr="00B60ED2">
        <w:rPr>
          <w:rFonts w:ascii="Times New Roman" w:eastAsia="+mn-ea" w:hAnsi="Times New Roman" w:cs="Times New Roman"/>
          <w:bCs/>
          <w:kern w:val="24"/>
          <w:sz w:val="24"/>
          <w:szCs w:val="32"/>
          <w:lang w:eastAsia="lv-LV"/>
        </w:rPr>
        <w:t>procesu v</w:t>
      </w:r>
      <w:r w:rsidR="0007518A" w:rsidRPr="00B60ED2">
        <w:rPr>
          <w:rFonts w:ascii="Times New Roman" w:eastAsia="+mn-ea" w:hAnsi="Times New Roman" w:cs="Times New Roman"/>
          <w:bCs/>
          <w:kern w:val="24"/>
          <w:sz w:val="24"/>
          <w:szCs w:val="32"/>
          <w:lang w:eastAsia="lv-LV"/>
        </w:rPr>
        <w:t>adību</w:t>
      </w:r>
      <w:r w:rsidRPr="00B60ED2">
        <w:rPr>
          <w:rFonts w:ascii="Times New Roman" w:eastAsia="+mn-ea" w:hAnsi="Times New Roman" w:cs="Times New Roman"/>
          <w:bCs/>
          <w:kern w:val="24"/>
          <w:sz w:val="24"/>
          <w:szCs w:val="32"/>
          <w:lang w:eastAsia="lv-LV"/>
        </w:rPr>
        <w:t>.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0C76B41D" w14:textId="23837ACE" w:rsidR="00213782" w:rsidRPr="00B60ED2" w:rsidRDefault="00213782" w:rsidP="007312FB">
      <w:pPr>
        <w:pStyle w:val="ListParagraph"/>
        <w:numPr>
          <w:ilvl w:val="0"/>
          <w:numId w:val="32"/>
        </w:numPr>
        <w:spacing w:line="240" w:lineRule="auto"/>
        <w:jc w:val="both"/>
        <w:rPr>
          <w:rFonts w:ascii="Times New Roman" w:eastAsia="+mn-ea" w:hAnsi="Times New Roman" w:cs="Times New Roman"/>
          <w:bCs/>
          <w:kern w:val="24"/>
          <w:sz w:val="24"/>
          <w:szCs w:val="32"/>
          <w:lang w:eastAsia="lv-LV"/>
        </w:rPr>
      </w:pPr>
      <w:r w:rsidRPr="00B60ED2">
        <w:rPr>
          <w:rFonts w:ascii="Times New Roman" w:hAnsi="Times New Roman" w:cs="Times New Roman"/>
          <w:sz w:val="24"/>
          <w:szCs w:val="24"/>
          <w:lang w:eastAsia="lv-LV"/>
        </w:rPr>
        <w:t>Nodrošināt reaģējošos spēkus ar nepiec</w:t>
      </w:r>
      <w:r w:rsidR="009B5CB5" w:rsidRPr="00B60ED2">
        <w:rPr>
          <w:rFonts w:ascii="Times New Roman" w:hAnsi="Times New Roman" w:cs="Times New Roman"/>
          <w:sz w:val="24"/>
          <w:szCs w:val="24"/>
          <w:lang w:eastAsia="lv-LV"/>
        </w:rPr>
        <w:t>i</w:t>
      </w:r>
      <w:r w:rsidRPr="00B60ED2">
        <w:rPr>
          <w:rFonts w:ascii="Times New Roman" w:hAnsi="Times New Roman" w:cs="Times New Roman"/>
          <w:sz w:val="24"/>
          <w:szCs w:val="24"/>
          <w:lang w:eastAsia="lv-LV"/>
        </w:rPr>
        <w:t>ešamajiem tehniskajiem līdzekļiem kvalitatīvai funkciju īstenošanai (</w:t>
      </w:r>
      <w:r w:rsidR="00E74F86" w:rsidRPr="00B60ED2">
        <w:rPr>
          <w:rFonts w:ascii="Times New Roman" w:hAnsi="Times New Roman" w:cs="Times New Roman"/>
          <w:sz w:val="24"/>
          <w:szCs w:val="24"/>
          <w:lang w:eastAsia="lv-LV"/>
        </w:rPr>
        <w:t>esošo info</w:t>
      </w:r>
      <w:r w:rsidR="008C3B63" w:rsidRPr="00B60ED2">
        <w:rPr>
          <w:rFonts w:ascii="Times New Roman" w:hAnsi="Times New Roman" w:cs="Times New Roman"/>
          <w:sz w:val="24"/>
          <w:szCs w:val="24"/>
          <w:lang w:eastAsia="lv-LV"/>
        </w:rPr>
        <w:t>rmācijas sistēmu pilnveidošana,</w:t>
      </w:r>
      <w:r w:rsidRPr="00B60ED2">
        <w:rPr>
          <w:rFonts w:ascii="Times New Roman" w:hAnsi="Times New Roman" w:cs="Times New Roman"/>
          <w:sz w:val="24"/>
          <w:szCs w:val="24"/>
          <w:lang w:eastAsia="lv-LV"/>
        </w:rPr>
        <w:t xml:space="preserve"> individuālais aprīkojums, tehniskie līdzekļi transportlīdzekļos). (</w:t>
      </w:r>
      <w:r w:rsidRPr="00B60ED2">
        <w:rPr>
          <w:rFonts w:ascii="Times New Roman" w:hAnsi="Times New Roman" w:cs="Times New Roman"/>
          <w:b/>
          <w:sz w:val="24"/>
          <w:szCs w:val="24"/>
          <w:lang w:eastAsia="lv-LV"/>
        </w:rPr>
        <w:t>VP</w:t>
      </w:r>
      <w:r w:rsidR="00394324" w:rsidRPr="00B60ED2">
        <w:rPr>
          <w:rFonts w:ascii="Times New Roman" w:hAnsi="Times New Roman" w:cs="Times New Roman"/>
          <w:b/>
          <w:sz w:val="24"/>
          <w:szCs w:val="24"/>
          <w:lang w:eastAsia="lv-LV"/>
        </w:rPr>
        <w:t xml:space="preserve">, </w:t>
      </w:r>
      <w:r w:rsidR="00394324" w:rsidRPr="00B60ED2">
        <w:rPr>
          <w:rFonts w:ascii="Times New Roman" w:hAnsi="Times New Roman" w:cs="Times New Roman"/>
          <w:sz w:val="24"/>
          <w:szCs w:val="24"/>
          <w:lang w:eastAsia="lv-LV"/>
        </w:rPr>
        <w:t>IeM IC, NVA</w:t>
      </w:r>
      <w:r w:rsidRPr="00B60ED2">
        <w:rPr>
          <w:rFonts w:ascii="Times New Roman" w:hAnsi="Times New Roman" w:cs="Times New Roman"/>
          <w:sz w:val="24"/>
          <w:szCs w:val="24"/>
          <w:lang w:eastAsia="lv-LV"/>
        </w:rPr>
        <w:t>)</w:t>
      </w:r>
    </w:p>
    <w:p w14:paraId="242542E5" w14:textId="77777777" w:rsidR="00165ADA" w:rsidRPr="00B60ED2" w:rsidRDefault="00165ADA" w:rsidP="00165ADA">
      <w:pPr>
        <w:rPr>
          <w:rFonts w:ascii="Times New Roman" w:hAnsi="Times New Roman" w:cs="Times New Roman"/>
        </w:rPr>
      </w:pPr>
    </w:p>
    <w:p w14:paraId="448420D6" w14:textId="77777777" w:rsidR="00165ADA" w:rsidRPr="00B60ED2" w:rsidRDefault="00165ADA" w:rsidP="00CC5183">
      <w:pPr>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Likumpārkāpumu prevencijas uzlabošana riska teritorijās un vidēs.</w:t>
      </w:r>
    </w:p>
    <w:p w14:paraId="1BEC7CD3" w14:textId="3B7611CE"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5A7D5E47" w14:textId="68C69F00" w:rsidR="00165ADA" w:rsidRPr="00B60ED2" w:rsidRDefault="00165ADA" w:rsidP="007312FB">
      <w:pPr>
        <w:pStyle w:val="ListParagraph"/>
        <w:numPr>
          <w:ilvl w:val="0"/>
          <w:numId w:val="2"/>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Attīstīt intervences metodes efektīvai drošības risku novēršanai.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7615624A" w14:textId="404533C1" w:rsidR="009B3B93" w:rsidRPr="00B60ED2" w:rsidRDefault="00E34F2A" w:rsidP="009B3B93">
      <w:pPr>
        <w:pStyle w:val="ListParagraph"/>
        <w:numPr>
          <w:ilvl w:val="0"/>
          <w:numId w:val="2"/>
        </w:numPr>
        <w:spacing w:line="240" w:lineRule="auto"/>
        <w:jc w:val="both"/>
        <w:rPr>
          <w:rFonts w:ascii="Times New Roman" w:eastAsia="+mn-ea" w:hAnsi="Times New Roman" w:cs="Times New Roman"/>
          <w:bCs/>
          <w:kern w:val="24"/>
          <w:sz w:val="24"/>
          <w:szCs w:val="32"/>
          <w:lang w:eastAsia="lv-LV"/>
        </w:rPr>
      </w:pPr>
      <w:r>
        <w:rPr>
          <w:rFonts w:ascii="Times New Roman" w:eastAsia="+mn-ea" w:hAnsi="Times New Roman" w:cs="Times New Roman"/>
          <w:bCs/>
          <w:kern w:val="24"/>
          <w:sz w:val="24"/>
          <w:szCs w:val="32"/>
          <w:lang w:eastAsia="lv-LV"/>
        </w:rPr>
        <w:t>Turpināt attīstīt</w:t>
      </w:r>
      <w:r w:rsidR="0007518A" w:rsidRPr="00B60ED2">
        <w:rPr>
          <w:rFonts w:ascii="Times New Roman" w:eastAsia="+mn-ea" w:hAnsi="Times New Roman" w:cs="Times New Roman"/>
          <w:bCs/>
          <w:kern w:val="24"/>
          <w:sz w:val="24"/>
          <w:szCs w:val="32"/>
          <w:lang w:eastAsia="lv-LV"/>
        </w:rPr>
        <w:t xml:space="preserve"> i</w:t>
      </w:r>
      <w:r w:rsidR="009B3B93" w:rsidRPr="00B60ED2">
        <w:rPr>
          <w:rFonts w:ascii="Times New Roman" w:eastAsia="+mn-ea" w:hAnsi="Times New Roman" w:cs="Times New Roman"/>
          <w:bCs/>
          <w:kern w:val="24"/>
          <w:sz w:val="24"/>
          <w:szCs w:val="32"/>
          <w:lang w:eastAsia="lv-LV"/>
        </w:rPr>
        <w:t>nterne</w:t>
      </w:r>
      <w:r w:rsidR="00AA3626" w:rsidRPr="00B60ED2">
        <w:rPr>
          <w:rFonts w:ascii="Times New Roman" w:eastAsia="+mn-ea" w:hAnsi="Times New Roman" w:cs="Times New Roman"/>
          <w:bCs/>
          <w:kern w:val="24"/>
          <w:sz w:val="24"/>
          <w:szCs w:val="32"/>
          <w:lang w:eastAsia="lv-LV"/>
        </w:rPr>
        <w:t xml:space="preserve">ta policista </w:t>
      </w:r>
      <w:r w:rsidR="0007518A" w:rsidRPr="00B60ED2">
        <w:rPr>
          <w:rFonts w:ascii="Times New Roman" w:eastAsia="+mn-ea" w:hAnsi="Times New Roman" w:cs="Times New Roman"/>
          <w:bCs/>
          <w:kern w:val="24"/>
          <w:sz w:val="24"/>
          <w:szCs w:val="32"/>
          <w:lang w:eastAsia="lv-LV"/>
        </w:rPr>
        <w:t>konceptu.</w:t>
      </w:r>
      <w:r w:rsidR="009B3B93" w:rsidRPr="00B60ED2">
        <w:rPr>
          <w:rFonts w:ascii="Times New Roman" w:eastAsia="+mn-ea" w:hAnsi="Times New Roman" w:cs="Times New Roman"/>
          <w:bCs/>
          <w:kern w:val="24"/>
          <w:sz w:val="24"/>
          <w:szCs w:val="32"/>
          <w:lang w:eastAsia="lv-LV"/>
        </w:rPr>
        <w:t xml:space="preserve"> (</w:t>
      </w:r>
      <w:r w:rsidR="009B3B93" w:rsidRPr="00B60ED2">
        <w:rPr>
          <w:rFonts w:ascii="Times New Roman" w:eastAsia="+mn-ea" w:hAnsi="Times New Roman" w:cs="Times New Roman"/>
          <w:b/>
          <w:bCs/>
          <w:kern w:val="24"/>
          <w:sz w:val="24"/>
          <w:szCs w:val="32"/>
          <w:lang w:eastAsia="lv-LV"/>
        </w:rPr>
        <w:t>VP</w:t>
      </w:r>
      <w:r w:rsidR="009B3B93" w:rsidRPr="00B60ED2">
        <w:rPr>
          <w:rFonts w:ascii="Times New Roman" w:eastAsia="+mn-ea" w:hAnsi="Times New Roman" w:cs="Times New Roman"/>
          <w:bCs/>
          <w:kern w:val="24"/>
          <w:sz w:val="24"/>
          <w:szCs w:val="32"/>
          <w:lang w:eastAsia="lv-LV"/>
        </w:rPr>
        <w:t>)</w:t>
      </w:r>
    </w:p>
    <w:p w14:paraId="1696A968" w14:textId="77777777" w:rsidR="00165ADA" w:rsidRPr="00B60ED2" w:rsidRDefault="00165ADA" w:rsidP="00165ADA">
      <w:pPr>
        <w:rPr>
          <w:rFonts w:ascii="Times New Roman" w:hAnsi="Times New Roman" w:cs="Times New Roman"/>
        </w:rPr>
      </w:pPr>
    </w:p>
    <w:p w14:paraId="2CEDA591" w14:textId="68B765A4" w:rsidR="00165ADA" w:rsidRPr="00B60ED2" w:rsidRDefault="00AC4B30" w:rsidP="00CC5183">
      <w:pPr>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 xml:space="preserve">Rīcības virziens: </w:t>
      </w:r>
      <w:bookmarkStart w:id="6" w:name="_Hlk169010781"/>
      <w:r w:rsidRPr="00B60ED2">
        <w:rPr>
          <w:rFonts w:ascii="Times New Roman" w:eastAsia="+mn-ea" w:hAnsi="Times New Roman" w:cs="Times New Roman"/>
          <w:b/>
          <w:bCs/>
          <w:color w:val="767171" w:themeColor="background2" w:themeShade="80"/>
          <w:kern w:val="24"/>
          <w:sz w:val="28"/>
          <w:szCs w:val="28"/>
          <w:lang w:eastAsia="lv-LV"/>
        </w:rPr>
        <w:t>Valsts policijas</w:t>
      </w:r>
      <w:r w:rsidR="00165ADA" w:rsidRPr="00B60ED2">
        <w:rPr>
          <w:rFonts w:ascii="Times New Roman" w:eastAsia="+mn-ea" w:hAnsi="Times New Roman" w:cs="Times New Roman"/>
          <w:b/>
          <w:bCs/>
          <w:color w:val="767171" w:themeColor="background2" w:themeShade="80"/>
          <w:kern w:val="24"/>
          <w:sz w:val="28"/>
          <w:szCs w:val="28"/>
          <w:lang w:eastAsia="lv-LV"/>
        </w:rPr>
        <w:t xml:space="preserve"> sadarbības pilnveidošana ar pašvaldībām vardarbības novēršanā</w:t>
      </w:r>
      <w:bookmarkEnd w:id="6"/>
      <w:r w:rsidR="00165ADA" w:rsidRPr="00B60ED2">
        <w:rPr>
          <w:rFonts w:ascii="Times New Roman" w:eastAsia="+mn-ea" w:hAnsi="Times New Roman" w:cs="Times New Roman"/>
          <w:b/>
          <w:bCs/>
          <w:color w:val="767171" w:themeColor="background2" w:themeShade="80"/>
          <w:kern w:val="24"/>
          <w:sz w:val="28"/>
          <w:szCs w:val="28"/>
          <w:lang w:eastAsia="lv-LV"/>
        </w:rPr>
        <w:t>.</w:t>
      </w:r>
    </w:p>
    <w:p w14:paraId="33F57AA7" w14:textId="1E1C5364"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2BE01D86" w14:textId="77777777" w:rsidR="0007518A" w:rsidRPr="00B60ED2" w:rsidRDefault="0007518A" w:rsidP="0007518A">
      <w:pPr>
        <w:pStyle w:val="ListParagraph"/>
        <w:numPr>
          <w:ilvl w:val="0"/>
          <w:numId w:val="3"/>
        </w:numPr>
        <w:spacing w:line="240"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Cs/>
          <w:kern w:val="24"/>
          <w:sz w:val="24"/>
          <w:szCs w:val="32"/>
          <w:lang w:eastAsia="lv-LV"/>
        </w:rPr>
        <w:t>Izstrādāt un ieviest iekšējo kārtību (vadlīnijas, metodika), lai nodrošinātu vienotu praksi Valsts policijā darbam ģimenes vardarbības gadījumos, un veicināt starpinstitūciju sadarbības modeļa izveidi ar mērķi izskatīt individuāli ģimenes konfliktu gadījumus.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144BBD30" w14:textId="0E81F1C2" w:rsidR="00AA3626" w:rsidRPr="00AA310C" w:rsidRDefault="00AA3626" w:rsidP="0007518A">
      <w:pPr>
        <w:pStyle w:val="ListParagraph"/>
        <w:numPr>
          <w:ilvl w:val="0"/>
          <w:numId w:val="3"/>
        </w:numPr>
        <w:spacing w:line="240" w:lineRule="auto"/>
        <w:jc w:val="both"/>
        <w:rPr>
          <w:rFonts w:ascii="Times New Roman" w:eastAsia="+mn-ea" w:hAnsi="Times New Roman" w:cs="Times New Roman"/>
          <w:bCs/>
          <w:kern w:val="24"/>
          <w:sz w:val="24"/>
          <w:szCs w:val="24"/>
          <w:lang w:eastAsia="lv-LV"/>
        </w:rPr>
      </w:pPr>
      <w:bookmarkStart w:id="7" w:name="_Hlk169010815"/>
      <w:r w:rsidRPr="00AA310C">
        <w:rPr>
          <w:rFonts w:ascii="Times New Roman" w:eastAsia="+mn-ea" w:hAnsi="Times New Roman" w:cs="Times New Roman"/>
          <w:bCs/>
          <w:kern w:val="24"/>
          <w:sz w:val="24"/>
          <w:szCs w:val="32"/>
          <w:lang w:eastAsia="lv-LV"/>
        </w:rPr>
        <w:lastRenderedPageBreak/>
        <w:t xml:space="preserve">Pilnveidot izsaukumu uz notikumiem par iespējamu vardarbību ģimenē uzskaiti, </w:t>
      </w:r>
      <w:r w:rsidR="00F17A86" w:rsidRPr="00AA310C">
        <w:rPr>
          <w:rFonts w:ascii="Times New Roman" w:eastAsia="+mn-ea" w:hAnsi="Times New Roman" w:cs="Times New Roman"/>
          <w:bCs/>
          <w:kern w:val="24"/>
          <w:sz w:val="24"/>
          <w:szCs w:val="32"/>
          <w:lang w:eastAsia="lv-LV"/>
        </w:rPr>
        <w:t>izveidojot</w:t>
      </w:r>
      <w:r w:rsidRPr="00AA310C">
        <w:rPr>
          <w:rFonts w:ascii="Times New Roman" w:eastAsia="+mn-ea" w:hAnsi="Times New Roman" w:cs="Times New Roman"/>
          <w:bCs/>
          <w:kern w:val="24"/>
          <w:sz w:val="24"/>
          <w:szCs w:val="32"/>
          <w:lang w:eastAsia="lv-LV"/>
        </w:rPr>
        <w:t xml:space="preserve"> </w:t>
      </w:r>
      <w:r w:rsidR="00F17A86" w:rsidRPr="00AA310C">
        <w:rPr>
          <w:rFonts w:ascii="Times New Roman" w:eastAsia="+mn-ea" w:hAnsi="Times New Roman" w:cs="Times New Roman"/>
          <w:bCs/>
          <w:kern w:val="24"/>
          <w:sz w:val="24"/>
          <w:szCs w:val="32"/>
          <w:lang w:eastAsia="lv-LV"/>
        </w:rPr>
        <w:t>Ziņojumu par notikumu uzskaiti, kā arī izvērtējot iespējas</w:t>
      </w:r>
      <w:r w:rsidRPr="00AA310C">
        <w:rPr>
          <w:rFonts w:ascii="Times New Roman" w:hAnsi="Times New Roman" w:cs="Times New Roman"/>
          <w:sz w:val="24"/>
          <w:szCs w:val="24"/>
        </w:rPr>
        <w:t xml:space="preserve"> veidot atsevišķu datu bāzi ģimenes konfliktu reģistrēšanai (t.sk. </w:t>
      </w:r>
      <w:r w:rsidR="00F17A86" w:rsidRPr="00AA310C">
        <w:rPr>
          <w:rFonts w:ascii="Times New Roman" w:hAnsi="Times New Roman" w:cs="Times New Roman"/>
          <w:sz w:val="24"/>
          <w:szCs w:val="24"/>
        </w:rPr>
        <w:t xml:space="preserve">apsverot </w:t>
      </w:r>
      <w:r w:rsidRPr="00AA310C">
        <w:rPr>
          <w:rFonts w:ascii="Times New Roman" w:hAnsi="Times New Roman" w:cs="Times New Roman"/>
          <w:sz w:val="24"/>
          <w:szCs w:val="24"/>
        </w:rPr>
        <w:t>sociālo dienestu informācijas</w:t>
      </w:r>
      <w:r w:rsidR="00AB5993" w:rsidRPr="00AA310C">
        <w:rPr>
          <w:rFonts w:ascii="Times New Roman" w:hAnsi="Times New Roman" w:cs="Times New Roman"/>
          <w:sz w:val="24"/>
          <w:szCs w:val="24"/>
        </w:rPr>
        <w:t xml:space="preserve"> sistēmas </w:t>
      </w:r>
      <w:r w:rsidR="00AC2C29" w:rsidRPr="00AA310C">
        <w:rPr>
          <w:rFonts w:ascii="Times New Roman" w:hAnsi="Times New Roman" w:cs="Times New Roman"/>
          <w:sz w:val="24"/>
          <w:szCs w:val="24"/>
        </w:rPr>
        <w:t>SOPA sasaisti ar Iekšlietu ministrijas Informācijas centra datu bāzēm).</w:t>
      </w:r>
      <w:r w:rsidR="00F17A86" w:rsidRPr="00AA310C">
        <w:rPr>
          <w:rFonts w:ascii="Times New Roman" w:hAnsi="Times New Roman" w:cs="Times New Roman"/>
          <w:sz w:val="24"/>
          <w:szCs w:val="24"/>
        </w:rPr>
        <w:t xml:space="preserve"> (</w:t>
      </w:r>
      <w:r w:rsidR="00F17A86" w:rsidRPr="00AA310C">
        <w:rPr>
          <w:rFonts w:ascii="Times New Roman" w:hAnsi="Times New Roman" w:cs="Times New Roman"/>
          <w:b/>
          <w:sz w:val="24"/>
          <w:szCs w:val="24"/>
        </w:rPr>
        <w:t>VP</w:t>
      </w:r>
      <w:r w:rsidR="00F17A86" w:rsidRPr="00AA310C">
        <w:rPr>
          <w:rFonts w:ascii="Times New Roman" w:hAnsi="Times New Roman" w:cs="Times New Roman"/>
          <w:sz w:val="24"/>
          <w:szCs w:val="24"/>
        </w:rPr>
        <w:t>, IeM IC)</w:t>
      </w:r>
    </w:p>
    <w:bookmarkEnd w:id="7"/>
    <w:p w14:paraId="65E46EF5" w14:textId="58ABA029" w:rsidR="00165ADA" w:rsidRPr="00B60ED2" w:rsidRDefault="00165ADA" w:rsidP="00F17A86">
      <w:pPr>
        <w:spacing w:line="240" w:lineRule="auto"/>
        <w:jc w:val="both"/>
        <w:rPr>
          <w:rFonts w:ascii="Times New Roman" w:hAnsi="Times New Roman" w:cs="Times New Roman"/>
          <w:lang w:eastAsia="lv-LV"/>
        </w:rPr>
      </w:pPr>
    </w:p>
    <w:p w14:paraId="07819AC7" w14:textId="77777777" w:rsidR="00165ADA" w:rsidRPr="00B60ED2" w:rsidRDefault="00165ADA" w:rsidP="009259F2">
      <w:pPr>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Sociālā naida un nesaticības novēršanas un apkarošanas spēju uzlabošana.</w:t>
      </w:r>
    </w:p>
    <w:p w14:paraId="121B7BBE" w14:textId="50B709C8"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4366EB62" w14:textId="55C55E15" w:rsidR="00165ADA" w:rsidRPr="00B60ED2" w:rsidRDefault="00D062CF" w:rsidP="007312FB">
      <w:pPr>
        <w:pStyle w:val="ListParagraph"/>
        <w:numPr>
          <w:ilvl w:val="0"/>
          <w:numId w:val="4"/>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 xml:space="preserve">Izstrādāt un ieviest problēmrisināšanas metodiku </w:t>
      </w:r>
      <w:r w:rsidR="00165ADA" w:rsidRPr="00B60ED2">
        <w:rPr>
          <w:rFonts w:ascii="Times New Roman" w:eastAsia="+mn-ea" w:hAnsi="Times New Roman" w:cs="Times New Roman"/>
          <w:bCs/>
          <w:kern w:val="24"/>
          <w:sz w:val="24"/>
          <w:szCs w:val="32"/>
          <w:lang w:eastAsia="lv-LV"/>
        </w:rPr>
        <w:t>preventīvajā darbā. (</w:t>
      </w:r>
      <w:r w:rsidR="00165ADA" w:rsidRPr="00B60ED2">
        <w:rPr>
          <w:rFonts w:ascii="Times New Roman" w:eastAsia="+mn-ea" w:hAnsi="Times New Roman" w:cs="Times New Roman"/>
          <w:b/>
          <w:bCs/>
          <w:kern w:val="24"/>
          <w:sz w:val="24"/>
          <w:szCs w:val="32"/>
          <w:lang w:eastAsia="lv-LV"/>
        </w:rPr>
        <w:t>VP</w:t>
      </w:r>
      <w:r w:rsidR="00165ADA" w:rsidRPr="00B60ED2">
        <w:rPr>
          <w:rFonts w:ascii="Times New Roman" w:eastAsia="+mn-ea" w:hAnsi="Times New Roman" w:cs="Times New Roman"/>
          <w:bCs/>
          <w:kern w:val="24"/>
          <w:sz w:val="24"/>
          <w:szCs w:val="32"/>
          <w:lang w:eastAsia="lv-LV"/>
        </w:rPr>
        <w:t>)</w:t>
      </w:r>
    </w:p>
    <w:p w14:paraId="48741532" w14:textId="448CD5DA" w:rsidR="00165ADA" w:rsidRPr="00B60ED2" w:rsidRDefault="00D55135" w:rsidP="00D55135">
      <w:pPr>
        <w:pStyle w:val="ListParagraph"/>
        <w:numPr>
          <w:ilvl w:val="0"/>
          <w:numId w:val="4"/>
        </w:numPr>
        <w:spacing w:line="240" w:lineRule="auto"/>
        <w:jc w:val="both"/>
        <w:rPr>
          <w:rFonts w:ascii="Times New Roman" w:hAnsi="Times New Roman" w:cs="Times New Roman"/>
          <w:szCs w:val="24"/>
          <w:u w:val="single"/>
          <w:lang w:eastAsia="lv-LV"/>
        </w:rPr>
      </w:pPr>
      <w:r w:rsidRPr="00B60ED2">
        <w:rPr>
          <w:rFonts w:ascii="Times New Roman" w:eastAsia="+mn-ea" w:hAnsi="Times New Roman" w:cs="Times New Roman"/>
          <w:bCs/>
          <w:kern w:val="24"/>
          <w:sz w:val="24"/>
          <w:szCs w:val="32"/>
          <w:lang w:eastAsia="lv-LV"/>
        </w:rPr>
        <w:t>Nodrošināt policistu specializēšanu, veidojot vienotu izpratni naida noziegumu identificēšanā un izmeklēšanā (izstrādātas</w:t>
      </w:r>
      <w:r w:rsidR="007205C4">
        <w:rPr>
          <w:rFonts w:ascii="Times New Roman" w:eastAsia="+mn-ea" w:hAnsi="Times New Roman" w:cs="Times New Roman"/>
          <w:bCs/>
          <w:kern w:val="24"/>
          <w:sz w:val="24"/>
          <w:szCs w:val="32"/>
          <w:lang w:eastAsia="lv-LV"/>
        </w:rPr>
        <w:t xml:space="preserve"> </w:t>
      </w:r>
      <w:r w:rsidRPr="00B60ED2">
        <w:rPr>
          <w:rFonts w:ascii="Times New Roman" w:eastAsia="+mn-ea" w:hAnsi="Times New Roman" w:cs="Times New Roman"/>
          <w:bCs/>
          <w:kern w:val="24"/>
          <w:sz w:val="24"/>
          <w:szCs w:val="32"/>
          <w:lang w:eastAsia="lv-LV"/>
        </w:rPr>
        <w:t>vadlīnijas, īstenota</w:t>
      </w:r>
      <w:r w:rsidR="00C80911" w:rsidRPr="00B60ED2">
        <w:rPr>
          <w:rFonts w:ascii="Times New Roman" w:eastAsia="+mn-ea" w:hAnsi="Times New Roman" w:cs="Times New Roman"/>
          <w:bCs/>
          <w:kern w:val="24"/>
          <w:sz w:val="24"/>
          <w:szCs w:val="32"/>
          <w:lang w:eastAsia="lv-LV"/>
        </w:rPr>
        <w:t>s</w:t>
      </w:r>
      <w:r w:rsidRPr="00B60ED2">
        <w:rPr>
          <w:rFonts w:ascii="Times New Roman" w:eastAsia="+mn-ea" w:hAnsi="Times New Roman" w:cs="Times New Roman"/>
          <w:bCs/>
          <w:kern w:val="24"/>
          <w:sz w:val="24"/>
          <w:szCs w:val="32"/>
          <w:lang w:eastAsia="lv-LV"/>
        </w:rPr>
        <w:t xml:space="preserve"> apmācīb</w:t>
      </w:r>
      <w:r w:rsidR="00C80911" w:rsidRPr="00B60ED2">
        <w:rPr>
          <w:rFonts w:ascii="Times New Roman" w:eastAsia="+mn-ea" w:hAnsi="Times New Roman" w:cs="Times New Roman"/>
          <w:bCs/>
          <w:kern w:val="24"/>
          <w:sz w:val="24"/>
          <w:szCs w:val="32"/>
          <w:lang w:eastAsia="lv-LV"/>
        </w:rPr>
        <w:t>as</w:t>
      </w:r>
      <w:r w:rsidRPr="00B60ED2">
        <w:rPr>
          <w:rFonts w:ascii="Times New Roman" w:eastAsia="+mn-ea" w:hAnsi="Times New Roman" w:cs="Times New Roman"/>
          <w:bCs/>
          <w:kern w:val="24"/>
          <w:sz w:val="24"/>
          <w:szCs w:val="32"/>
          <w:lang w:eastAsia="lv-LV"/>
        </w:rPr>
        <w:t>).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r w:rsidR="00165ADA" w:rsidRPr="00B60ED2">
        <w:rPr>
          <w:rFonts w:ascii="Times New Roman" w:hAnsi="Times New Roman" w:cs="Times New Roman"/>
          <w:szCs w:val="24"/>
          <w:u w:val="single"/>
          <w:lang w:eastAsia="lv-LV"/>
        </w:rPr>
        <w:br w:type="page"/>
      </w:r>
    </w:p>
    <w:p w14:paraId="727692AB" w14:textId="5A82E40A" w:rsidR="00165ADA" w:rsidRPr="00B60ED2" w:rsidRDefault="00454492" w:rsidP="004A49EE">
      <w:pPr>
        <w:pStyle w:val="NormalWeb"/>
        <w:spacing w:before="0" w:beforeAutospacing="0" w:after="120" w:afterAutospacing="0"/>
        <w:jc w:val="center"/>
        <w:rPr>
          <w:rFonts w:eastAsia="+mn-ea"/>
          <w:b/>
          <w:bCs/>
          <w:color w:val="767171" w:themeColor="background2" w:themeShade="80"/>
          <w:kern w:val="24"/>
          <w:sz w:val="32"/>
          <w:szCs w:val="32"/>
        </w:rPr>
      </w:pPr>
      <w:r w:rsidRPr="00B60ED2">
        <w:rPr>
          <w:rFonts w:eastAsia="+mn-ea"/>
          <w:b/>
          <w:bCs/>
          <w:color w:val="767171" w:themeColor="background2" w:themeShade="80"/>
          <w:kern w:val="24"/>
          <w:sz w:val="32"/>
          <w:szCs w:val="32"/>
        </w:rPr>
        <w:lastRenderedPageBreak/>
        <w:t xml:space="preserve">2. </w:t>
      </w:r>
      <w:r w:rsidR="00F25486" w:rsidRPr="00B60ED2">
        <w:rPr>
          <w:rFonts w:eastAsia="+mn-ea"/>
          <w:b/>
          <w:bCs/>
          <w:color w:val="767171" w:themeColor="background2" w:themeShade="80"/>
          <w:kern w:val="24"/>
          <w:sz w:val="32"/>
          <w:szCs w:val="32"/>
        </w:rPr>
        <w:t>Valsts robežas drošība</w:t>
      </w:r>
    </w:p>
    <w:tbl>
      <w:tblPr>
        <w:tblStyle w:val="GridTable4-Accent5"/>
        <w:tblW w:w="14029" w:type="dxa"/>
        <w:tblLook w:val="04A0" w:firstRow="1" w:lastRow="0" w:firstColumn="1" w:lastColumn="0" w:noHBand="0" w:noVBand="1"/>
      </w:tblPr>
      <w:tblGrid>
        <w:gridCol w:w="1723"/>
        <w:gridCol w:w="5560"/>
        <w:gridCol w:w="1080"/>
        <w:gridCol w:w="1378"/>
        <w:gridCol w:w="1072"/>
        <w:gridCol w:w="1072"/>
        <w:gridCol w:w="1072"/>
        <w:gridCol w:w="1072"/>
      </w:tblGrid>
      <w:tr w:rsidR="00007B7F" w:rsidRPr="00007B7F" w14:paraId="2A948A2F" w14:textId="77777777" w:rsidTr="00720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vMerge w:val="restart"/>
          </w:tcPr>
          <w:p w14:paraId="7AAC0E49" w14:textId="77777777" w:rsidR="00007B7F" w:rsidRPr="00007B7F" w:rsidRDefault="00007B7F" w:rsidP="00007B7F">
            <w:pPr>
              <w:jc w:val="center"/>
              <w:rPr>
                <w:rFonts w:ascii="Times New Roman" w:eastAsia="Times New Roman" w:hAnsi="Times New Roman" w:cs="Times New Roman"/>
                <w:iCs/>
                <w:sz w:val="24"/>
                <w:szCs w:val="26"/>
                <w:lang w:eastAsia="lv-LV"/>
              </w:rPr>
            </w:pPr>
            <w:r w:rsidRPr="00007B7F">
              <w:rPr>
                <w:rFonts w:ascii="Times New Roman" w:eastAsia="Times New Roman" w:hAnsi="Times New Roman" w:cs="Times New Roman"/>
                <w:iCs/>
                <w:sz w:val="24"/>
                <w:szCs w:val="26"/>
                <w:lang w:eastAsia="lv-LV"/>
              </w:rPr>
              <w:t>Prioritārais politikas mērķis</w:t>
            </w:r>
          </w:p>
        </w:tc>
        <w:tc>
          <w:tcPr>
            <w:tcW w:w="5560" w:type="dxa"/>
            <w:vMerge w:val="restart"/>
          </w:tcPr>
          <w:p w14:paraId="35AD006E" w14:textId="77777777" w:rsidR="00007B7F" w:rsidRPr="00007B7F" w:rsidRDefault="00007B7F" w:rsidP="00007B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6"/>
                <w:lang w:eastAsia="lv-LV"/>
              </w:rPr>
            </w:pPr>
            <w:r w:rsidRPr="00007B7F">
              <w:rPr>
                <w:rFonts w:ascii="Times New Roman" w:eastAsia="Times New Roman" w:hAnsi="Times New Roman" w:cs="Times New Roman"/>
                <w:iCs/>
                <w:sz w:val="24"/>
                <w:szCs w:val="26"/>
                <w:lang w:eastAsia="lv-LV"/>
              </w:rPr>
              <w:t>Galvenais rezultatīvais rādītājs</w:t>
            </w:r>
          </w:p>
        </w:tc>
        <w:tc>
          <w:tcPr>
            <w:tcW w:w="6746" w:type="dxa"/>
            <w:gridSpan w:val="6"/>
          </w:tcPr>
          <w:p w14:paraId="48F643D1" w14:textId="77777777" w:rsidR="00007B7F" w:rsidRPr="00007B7F" w:rsidRDefault="00007B7F" w:rsidP="00007B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6"/>
                <w:lang w:eastAsia="lv-LV"/>
              </w:rPr>
            </w:pPr>
            <w:r w:rsidRPr="00007B7F">
              <w:rPr>
                <w:rFonts w:ascii="Times New Roman" w:eastAsia="Times New Roman" w:hAnsi="Times New Roman" w:cs="Times New Roman"/>
                <w:iCs/>
                <w:sz w:val="24"/>
                <w:szCs w:val="26"/>
                <w:lang w:eastAsia="lv-LV"/>
              </w:rPr>
              <w:t>Rādītāju vērtības (prognoze)</w:t>
            </w:r>
          </w:p>
        </w:tc>
      </w:tr>
      <w:tr w:rsidR="00007B7F" w:rsidRPr="00007B7F" w14:paraId="05468FA8" w14:textId="77777777" w:rsidTr="00720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vMerge/>
          </w:tcPr>
          <w:p w14:paraId="1F85FE13" w14:textId="77777777" w:rsidR="00007B7F" w:rsidRPr="00007B7F" w:rsidRDefault="00007B7F" w:rsidP="00007B7F">
            <w:pPr>
              <w:jc w:val="center"/>
              <w:rPr>
                <w:rFonts w:ascii="Times New Roman" w:eastAsia="Times New Roman" w:hAnsi="Times New Roman" w:cs="Times New Roman"/>
                <w:iCs/>
                <w:sz w:val="24"/>
                <w:szCs w:val="26"/>
                <w:lang w:eastAsia="lv-LV"/>
              </w:rPr>
            </w:pPr>
          </w:p>
        </w:tc>
        <w:tc>
          <w:tcPr>
            <w:tcW w:w="5560" w:type="dxa"/>
            <w:vMerge/>
          </w:tcPr>
          <w:p w14:paraId="7270DFF0"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4"/>
                <w:szCs w:val="26"/>
                <w:lang w:eastAsia="lv-LV"/>
              </w:rPr>
            </w:pPr>
          </w:p>
        </w:tc>
        <w:tc>
          <w:tcPr>
            <w:tcW w:w="1080" w:type="dxa"/>
          </w:tcPr>
          <w:p w14:paraId="6F4BED80"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2021 (izpilde)</w:t>
            </w:r>
          </w:p>
        </w:tc>
        <w:tc>
          <w:tcPr>
            <w:tcW w:w="1378" w:type="dxa"/>
          </w:tcPr>
          <w:p w14:paraId="4EE33652"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2023</w:t>
            </w:r>
          </w:p>
        </w:tc>
        <w:tc>
          <w:tcPr>
            <w:tcW w:w="1072" w:type="dxa"/>
          </w:tcPr>
          <w:p w14:paraId="7DA7B423"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2024</w:t>
            </w:r>
          </w:p>
        </w:tc>
        <w:tc>
          <w:tcPr>
            <w:tcW w:w="1072" w:type="dxa"/>
          </w:tcPr>
          <w:p w14:paraId="25B6A671"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2025</w:t>
            </w:r>
          </w:p>
        </w:tc>
        <w:tc>
          <w:tcPr>
            <w:tcW w:w="1072" w:type="dxa"/>
          </w:tcPr>
          <w:p w14:paraId="6B1BFD1D"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2026</w:t>
            </w:r>
          </w:p>
        </w:tc>
        <w:tc>
          <w:tcPr>
            <w:tcW w:w="1072" w:type="dxa"/>
          </w:tcPr>
          <w:p w14:paraId="2BCA26FD"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2027</w:t>
            </w:r>
          </w:p>
        </w:tc>
      </w:tr>
      <w:tr w:rsidR="007205C4" w:rsidRPr="00007B7F" w14:paraId="7D4A288C" w14:textId="77777777" w:rsidTr="007205C4">
        <w:trPr>
          <w:trHeight w:val="516"/>
        </w:trPr>
        <w:tc>
          <w:tcPr>
            <w:cnfStyle w:val="001000000000" w:firstRow="0" w:lastRow="0" w:firstColumn="1" w:lastColumn="0" w:oddVBand="0" w:evenVBand="0" w:oddHBand="0" w:evenHBand="0" w:firstRowFirstColumn="0" w:firstRowLastColumn="0" w:lastRowFirstColumn="0" w:lastRowLastColumn="0"/>
            <w:tcW w:w="1723" w:type="dxa"/>
            <w:vMerge w:val="restart"/>
          </w:tcPr>
          <w:p w14:paraId="7F01C80A" w14:textId="77777777" w:rsidR="007205C4" w:rsidRPr="00007B7F" w:rsidRDefault="007205C4" w:rsidP="00007B7F">
            <w:pPr>
              <w:rPr>
                <w:rFonts w:ascii="Times New Roman" w:eastAsia="Times New Roman" w:hAnsi="Times New Roman" w:cs="Times New Roman"/>
                <w:iCs/>
                <w:sz w:val="22"/>
                <w:lang w:eastAsia="lv-LV"/>
              </w:rPr>
            </w:pPr>
            <w:bookmarkStart w:id="8" w:name="_Hlk173143552"/>
            <w:r w:rsidRPr="00007B7F">
              <w:rPr>
                <w:rFonts w:ascii="Times New Roman" w:eastAsia="Times New Roman" w:hAnsi="Times New Roman" w:cs="Times New Roman"/>
                <w:iCs/>
                <w:sz w:val="22"/>
                <w:lang w:eastAsia="lv-LV"/>
              </w:rPr>
              <w:t>Nodrošināt Latvijas ārējās robežas neaizskaramību</w:t>
            </w:r>
            <w:bookmarkEnd w:id="8"/>
          </w:p>
        </w:tc>
        <w:tc>
          <w:tcPr>
            <w:tcW w:w="5560" w:type="dxa"/>
          </w:tcPr>
          <w:p w14:paraId="026427B0" w14:textId="0F824392" w:rsidR="007205C4" w:rsidRPr="00007B7F" w:rsidRDefault="007205C4" w:rsidP="0022495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bookmarkStart w:id="9" w:name="_Hlk173144019"/>
            <w:r w:rsidRPr="0022495A">
              <w:rPr>
                <w:rFonts w:ascii="Times New Roman" w:eastAsia="Times New Roman" w:hAnsi="Times New Roman" w:cs="Times New Roman"/>
                <w:bCs/>
                <w:iCs/>
                <w:sz w:val="22"/>
                <w:szCs w:val="22"/>
                <w:lang w:eastAsia="lv-LV"/>
              </w:rPr>
              <w:t>Izbūvēts valsts robežas apsardzības infrastruktūras žogs gar Latvijas ārējo sauszemes robežu (%)</w:t>
            </w:r>
            <w:bookmarkEnd w:id="9"/>
          </w:p>
        </w:tc>
        <w:tc>
          <w:tcPr>
            <w:tcW w:w="1080" w:type="dxa"/>
          </w:tcPr>
          <w:p w14:paraId="57534EBF" w14:textId="0FD10857"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378" w:type="dxa"/>
          </w:tcPr>
          <w:p w14:paraId="3200DDFD" w14:textId="178E5ABF"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76%</w:t>
            </w:r>
          </w:p>
        </w:tc>
        <w:tc>
          <w:tcPr>
            <w:tcW w:w="1072" w:type="dxa"/>
          </w:tcPr>
          <w:p w14:paraId="66511344" w14:textId="3CCB2D2E"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94%</w:t>
            </w:r>
          </w:p>
        </w:tc>
        <w:tc>
          <w:tcPr>
            <w:tcW w:w="1072" w:type="dxa"/>
          </w:tcPr>
          <w:p w14:paraId="4F5D082B" w14:textId="44C58DBE"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100%</w:t>
            </w:r>
          </w:p>
        </w:tc>
        <w:tc>
          <w:tcPr>
            <w:tcW w:w="1072" w:type="dxa"/>
          </w:tcPr>
          <w:p w14:paraId="3F0F4C1D" w14:textId="679F6733"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w:t>
            </w:r>
          </w:p>
        </w:tc>
        <w:tc>
          <w:tcPr>
            <w:tcW w:w="1072" w:type="dxa"/>
          </w:tcPr>
          <w:p w14:paraId="48E7BCFE" w14:textId="546D7421"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w:t>
            </w:r>
          </w:p>
        </w:tc>
      </w:tr>
      <w:tr w:rsidR="007205C4" w:rsidRPr="00007B7F" w14:paraId="7652D238" w14:textId="77777777" w:rsidTr="00720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vMerge/>
          </w:tcPr>
          <w:p w14:paraId="6EBADB5C" w14:textId="77777777" w:rsidR="0022495A" w:rsidRPr="00007B7F" w:rsidRDefault="0022495A" w:rsidP="0022495A">
            <w:pPr>
              <w:rPr>
                <w:rFonts w:ascii="Times New Roman" w:eastAsia="Times New Roman" w:hAnsi="Times New Roman" w:cs="Times New Roman"/>
                <w:iCs/>
                <w:sz w:val="22"/>
                <w:lang w:eastAsia="lv-LV"/>
              </w:rPr>
            </w:pPr>
          </w:p>
        </w:tc>
        <w:tc>
          <w:tcPr>
            <w:tcW w:w="5560" w:type="dxa"/>
          </w:tcPr>
          <w:p w14:paraId="117E545B" w14:textId="3BFA717F" w:rsidR="0022495A" w:rsidRPr="0022495A" w:rsidRDefault="0022495A" w:rsidP="0022495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bookmarkStart w:id="10" w:name="_Hlk172795764"/>
            <w:r w:rsidRPr="0022495A">
              <w:rPr>
                <w:rFonts w:ascii="Times New Roman" w:eastAsia="Times New Roman" w:hAnsi="Times New Roman" w:cs="Times New Roman"/>
                <w:bCs/>
                <w:iCs/>
                <w:sz w:val="22"/>
                <w:szCs w:val="22"/>
                <w:lang w:eastAsia="lv-LV"/>
              </w:rPr>
              <w:t xml:space="preserve">Izbūvēta valsts robežas apsardzības tehnoloģiskā infrastruktūra gar Latvijas ārējo sauszemes robežu (%) </w:t>
            </w:r>
            <w:bookmarkEnd w:id="10"/>
          </w:p>
        </w:tc>
        <w:tc>
          <w:tcPr>
            <w:tcW w:w="1080" w:type="dxa"/>
          </w:tcPr>
          <w:p w14:paraId="3676EB52" w14:textId="39A9E611" w:rsidR="0022495A" w:rsidRPr="0022495A" w:rsidRDefault="007205C4"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378" w:type="dxa"/>
          </w:tcPr>
          <w:p w14:paraId="0B2E6E7A" w14:textId="45EBF344" w:rsidR="0022495A" w:rsidRPr="0022495A" w:rsidRDefault="007205C4"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072" w:type="dxa"/>
          </w:tcPr>
          <w:p w14:paraId="0F50EEF4" w14:textId="07E0506C" w:rsidR="0022495A" w:rsidRPr="0022495A" w:rsidRDefault="007205C4"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072" w:type="dxa"/>
          </w:tcPr>
          <w:p w14:paraId="2EEBB5B2" w14:textId="4379F51C" w:rsidR="0022495A" w:rsidRPr="0022495A" w:rsidRDefault="007205C4"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072" w:type="dxa"/>
          </w:tcPr>
          <w:p w14:paraId="23A64A34" w14:textId="11E0E77C" w:rsidR="0022495A" w:rsidRPr="0022495A" w:rsidRDefault="0022495A"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100%</w:t>
            </w:r>
          </w:p>
        </w:tc>
        <w:tc>
          <w:tcPr>
            <w:tcW w:w="1072" w:type="dxa"/>
          </w:tcPr>
          <w:p w14:paraId="3D796CE1" w14:textId="7C1D4B6C" w:rsidR="0022495A" w:rsidRPr="0022495A" w:rsidRDefault="0022495A"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w:t>
            </w:r>
          </w:p>
        </w:tc>
      </w:tr>
      <w:tr w:rsidR="007205C4" w:rsidRPr="00007B7F" w14:paraId="04A517DB" w14:textId="77777777" w:rsidTr="007205C4">
        <w:trPr>
          <w:trHeight w:val="663"/>
        </w:trPr>
        <w:tc>
          <w:tcPr>
            <w:cnfStyle w:val="001000000000" w:firstRow="0" w:lastRow="0" w:firstColumn="1" w:lastColumn="0" w:oddVBand="0" w:evenVBand="0" w:oddHBand="0" w:evenHBand="0" w:firstRowFirstColumn="0" w:firstRowLastColumn="0" w:lastRowFirstColumn="0" w:lastRowLastColumn="0"/>
            <w:tcW w:w="1723" w:type="dxa"/>
            <w:vMerge/>
          </w:tcPr>
          <w:p w14:paraId="6257B06B" w14:textId="77777777" w:rsidR="00007B7F" w:rsidRPr="00007B7F" w:rsidRDefault="00007B7F" w:rsidP="00007B7F">
            <w:pPr>
              <w:rPr>
                <w:rFonts w:ascii="Times New Roman" w:eastAsia="Times New Roman" w:hAnsi="Times New Roman" w:cs="Times New Roman"/>
                <w:iCs/>
                <w:sz w:val="22"/>
                <w:lang w:eastAsia="lv-LV"/>
              </w:rPr>
            </w:pPr>
          </w:p>
        </w:tc>
        <w:tc>
          <w:tcPr>
            <w:tcW w:w="5560" w:type="dxa"/>
          </w:tcPr>
          <w:p w14:paraId="5917DF4C" w14:textId="1426B662" w:rsidR="00007B7F" w:rsidRPr="00007B7F" w:rsidRDefault="00007B7F" w:rsidP="00007B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Ārējās sauszemes robežas, kas ir aprīkota ar savstarpēji integrētiem robežuzraudzības tehniskajiem līdzekļiem, īpatsvars no kopējā ārējās sauszemes robežas garuma (%)</w:t>
            </w:r>
            <w:r w:rsidRPr="00007B7F">
              <w:rPr>
                <w:rFonts w:ascii="Times New Roman" w:eastAsia="Times New Roman" w:hAnsi="Times New Roman" w:cs="Times New Roman"/>
                <w:iCs/>
                <w:sz w:val="22"/>
                <w:vertAlign w:val="superscript"/>
                <w:lang w:eastAsia="lv-LV"/>
              </w:rPr>
              <w:footnoteReference w:id="8"/>
            </w:r>
          </w:p>
        </w:tc>
        <w:tc>
          <w:tcPr>
            <w:tcW w:w="1080" w:type="dxa"/>
          </w:tcPr>
          <w:p w14:paraId="03DE4C11"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43%</w:t>
            </w:r>
          </w:p>
        </w:tc>
        <w:tc>
          <w:tcPr>
            <w:tcW w:w="1378" w:type="dxa"/>
          </w:tcPr>
          <w:p w14:paraId="0218D968"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44%/45%</w:t>
            </w:r>
          </w:p>
        </w:tc>
        <w:tc>
          <w:tcPr>
            <w:tcW w:w="1072" w:type="dxa"/>
          </w:tcPr>
          <w:p w14:paraId="0E592B39"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45%</w:t>
            </w:r>
          </w:p>
        </w:tc>
        <w:tc>
          <w:tcPr>
            <w:tcW w:w="1072" w:type="dxa"/>
          </w:tcPr>
          <w:p w14:paraId="0DDBE548"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46%</w:t>
            </w:r>
          </w:p>
        </w:tc>
        <w:tc>
          <w:tcPr>
            <w:tcW w:w="1072" w:type="dxa"/>
          </w:tcPr>
          <w:p w14:paraId="47F7AEC8"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47%</w:t>
            </w:r>
          </w:p>
        </w:tc>
        <w:tc>
          <w:tcPr>
            <w:tcW w:w="1072" w:type="dxa"/>
          </w:tcPr>
          <w:p w14:paraId="03F90E45"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48%</w:t>
            </w:r>
          </w:p>
        </w:tc>
      </w:tr>
      <w:tr w:rsidR="00007B7F" w:rsidRPr="00007B7F" w14:paraId="46D01ECB" w14:textId="77777777" w:rsidTr="007205C4">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723" w:type="dxa"/>
          </w:tcPr>
          <w:p w14:paraId="4C90D52B" w14:textId="77777777" w:rsidR="00007B7F" w:rsidRPr="00007B7F" w:rsidRDefault="00007B7F" w:rsidP="00007B7F">
            <w:pPr>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Iesaistītās iestādes</w:t>
            </w:r>
          </w:p>
        </w:tc>
        <w:tc>
          <w:tcPr>
            <w:tcW w:w="12306" w:type="dxa"/>
            <w:gridSpan w:val="7"/>
          </w:tcPr>
          <w:p w14:paraId="6B4EBDB1" w14:textId="77777777" w:rsidR="00007B7F" w:rsidRPr="00007B7F" w:rsidRDefault="00007B7F" w:rsidP="00007B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b/>
                <w:iCs/>
                <w:sz w:val="22"/>
                <w:lang w:eastAsia="lv-LV"/>
              </w:rPr>
              <w:t>Valsts robežsardze, Nodrošinājuma valsts aģentūra</w:t>
            </w:r>
          </w:p>
        </w:tc>
      </w:tr>
      <w:tr w:rsidR="007205C4" w:rsidRPr="00007B7F" w14:paraId="05D0E099" w14:textId="77777777" w:rsidTr="007205C4">
        <w:trPr>
          <w:trHeight w:val="373"/>
        </w:trPr>
        <w:tc>
          <w:tcPr>
            <w:cnfStyle w:val="001000000000" w:firstRow="0" w:lastRow="0" w:firstColumn="1" w:lastColumn="0" w:oddVBand="0" w:evenVBand="0" w:oddHBand="0" w:evenHBand="0" w:firstRowFirstColumn="0" w:firstRowLastColumn="0" w:lastRowFirstColumn="0" w:lastRowLastColumn="0"/>
            <w:tcW w:w="1723" w:type="dxa"/>
            <w:vMerge w:val="restart"/>
          </w:tcPr>
          <w:p w14:paraId="393A3660" w14:textId="77777777" w:rsidR="00007B7F" w:rsidRPr="00007B7F" w:rsidRDefault="00007B7F" w:rsidP="00007B7F">
            <w:pPr>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Nodrošināt Latvijas saistību izpildi Eiropas Savienības robežu drošības jomā</w:t>
            </w:r>
          </w:p>
        </w:tc>
        <w:tc>
          <w:tcPr>
            <w:tcW w:w="5560" w:type="dxa"/>
          </w:tcPr>
          <w:p w14:paraId="0944D88B" w14:textId="77777777" w:rsidR="00007B7F" w:rsidRPr="00007B7F" w:rsidRDefault="00007B7F" w:rsidP="00007B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bookmarkStart w:id="11" w:name="_Hlk160435233"/>
            <w:r w:rsidRPr="00007B7F">
              <w:rPr>
                <w:rFonts w:ascii="Times New Roman" w:eastAsia="Times New Roman" w:hAnsi="Times New Roman" w:cs="Times New Roman"/>
                <w:iCs/>
                <w:sz w:val="22"/>
                <w:lang w:eastAsia="lv-LV"/>
              </w:rPr>
              <w:t>Personāla dalības intensitāte Eiropas robežu un krasta apsardzes aģentūras koordinētajās Pastāvīgā korpusa operacionālajās aktivitātēs ar 3. un 4. kategorijas personālu (cilvēkdienas)</w:t>
            </w:r>
            <w:bookmarkEnd w:id="11"/>
          </w:p>
        </w:tc>
        <w:tc>
          <w:tcPr>
            <w:tcW w:w="1080" w:type="dxa"/>
          </w:tcPr>
          <w:p w14:paraId="313413E7"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07B7F">
              <w:rPr>
                <w:rFonts w:ascii="Times New Roman" w:eastAsia="Times New Roman" w:hAnsi="Times New Roman" w:cs="Times New Roman"/>
                <w:sz w:val="22"/>
                <w:szCs w:val="22"/>
              </w:rPr>
              <w:t>13404</w:t>
            </w:r>
          </w:p>
        </w:tc>
        <w:tc>
          <w:tcPr>
            <w:tcW w:w="1378" w:type="dxa"/>
          </w:tcPr>
          <w:p w14:paraId="35EC62BB"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bookmarkStart w:id="12" w:name="_Hlk160435274"/>
            <w:r w:rsidRPr="00007B7F">
              <w:rPr>
                <w:rFonts w:ascii="Times New Roman" w:eastAsia="Times New Roman" w:hAnsi="Times New Roman" w:cs="Times New Roman"/>
                <w:sz w:val="22"/>
                <w:szCs w:val="22"/>
              </w:rPr>
              <w:t>10560</w:t>
            </w:r>
            <w:bookmarkEnd w:id="12"/>
            <w:r w:rsidRPr="00007B7F">
              <w:rPr>
                <w:rFonts w:ascii="Times New Roman" w:eastAsia="Times New Roman" w:hAnsi="Times New Roman" w:cs="Times New Roman"/>
                <w:sz w:val="22"/>
                <w:szCs w:val="22"/>
              </w:rPr>
              <w:t>/</w:t>
            </w:r>
            <w:bookmarkStart w:id="13" w:name="_Hlk160435287"/>
            <w:r w:rsidRPr="00007B7F">
              <w:rPr>
                <w:rFonts w:ascii="Times New Roman" w:eastAsia="Times New Roman" w:hAnsi="Times New Roman" w:cs="Times New Roman"/>
                <w:sz w:val="22"/>
                <w:szCs w:val="22"/>
              </w:rPr>
              <w:t>11282</w:t>
            </w:r>
            <w:bookmarkEnd w:id="13"/>
          </w:p>
        </w:tc>
        <w:tc>
          <w:tcPr>
            <w:tcW w:w="1072" w:type="dxa"/>
          </w:tcPr>
          <w:p w14:paraId="4894634B"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11220</w:t>
            </w:r>
          </w:p>
        </w:tc>
        <w:tc>
          <w:tcPr>
            <w:tcW w:w="1072" w:type="dxa"/>
          </w:tcPr>
          <w:p w14:paraId="7FB21965"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13200</w:t>
            </w:r>
          </w:p>
        </w:tc>
        <w:tc>
          <w:tcPr>
            <w:tcW w:w="1072" w:type="dxa"/>
          </w:tcPr>
          <w:p w14:paraId="6E854022"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13860</w:t>
            </w:r>
          </w:p>
        </w:tc>
        <w:tc>
          <w:tcPr>
            <w:tcW w:w="1072" w:type="dxa"/>
          </w:tcPr>
          <w:p w14:paraId="08FA4FB7"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14520</w:t>
            </w:r>
          </w:p>
        </w:tc>
      </w:tr>
      <w:tr w:rsidR="007205C4" w:rsidRPr="00007B7F" w14:paraId="55E12CD4" w14:textId="77777777" w:rsidTr="007205C4">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23" w:type="dxa"/>
            <w:vMerge/>
          </w:tcPr>
          <w:p w14:paraId="3944FB24" w14:textId="77777777" w:rsidR="00007B7F" w:rsidRPr="00007B7F" w:rsidRDefault="00007B7F" w:rsidP="00007B7F">
            <w:pPr>
              <w:jc w:val="both"/>
              <w:rPr>
                <w:rFonts w:ascii="Times New Roman" w:eastAsia="Times New Roman" w:hAnsi="Times New Roman" w:cs="Times New Roman"/>
                <w:iCs/>
                <w:sz w:val="22"/>
                <w:lang w:eastAsia="lv-LV"/>
              </w:rPr>
            </w:pPr>
          </w:p>
        </w:tc>
        <w:tc>
          <w:tcPr>
            <w:tcW w:w="5560" w:type="dxa"/>
          </w:tcPr>
          <w:p w14:paraId="26635857" w14:textId="77777777" w:rsidR="00007B7F" w:rsidRPr="00007B7F" w:rsidRDefault="00007B7F" w:rsidP="00007B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Tehnisko līdzekļu iesaistes intensitāte Eiropas robežu un krasta apsardzes aģentūras koordinētajās operacionālajās aktivitātēs (tehnikas vienību skaits/dalības dienu skaits)</w:t>
            </w:r>
          </w:p>
        </w:tc>
        <w:tc>
          <w:tcPr>
            <w:tcW w:w="1080" w:type="dxa"/>
          </w:tcPr>
          <w:p w14:paraId="4C40C74A"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07B7F">
              <w:rPr>
                <w:rFonts w:ascii="Times New Roman" w:eastAsia="Times New Roman" w:hAnsi="Times New Roman" w:cs="Times New Roman"/>
                <w:sz w:val="22"/>
                <w:szCs w:val="22"/>
              </w:rPr>
              <w:t>29/2195</w:t>
            </w:r>
          </w:p>
        </w:tc>
        <w:tc>
          <w:tcPr>
            <w:tcW w:w="1378" w:type="dxa"/>
          </w:tcPr>
          <w:p w14:paraId="6C2A38DF"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11/935 / 12/1015</w:t>
            </w:r>
          </w:p>
        </w:tc>
        <w:tc>
          <w:tcPr>
            <w:tcW w:w="1072" w:type="dxa"/>
          </w:tcPr>
          <w:p w14:paraId="2AD4BECB"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11/936</w:t>
            </w:r>
          </w:p>
        </w:tc>
        <w:tc>
          <w:tcPr>
            <w:tcW w:w="1072" w:type="dxa"/>
          </w:tcPr>
          <w:p w14:paraId="3EA84E48"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11/935</w:t>
            </w:r>
          </w:p>
        </w:tc>
        <w:tc>
          <w:tcPr>
            <w:tcW w:w="1072" w:type="dxa"/>
          </w:tcPr>
          <w:p w14:paraId="59D00682"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11/935</w:t>
            </w:r>
          </w:p>
        </w:tc>
        <w:tc>
          <w:tcPr>
            <w:tcW w:w="1072" w:type="dxa"/>
          </w:tcPr>
          <w:p w14:paraId="1C9687B7"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11/935</w:t>
            </w:r>
          </w:p>
        </w:tc>
      </w:tr>
      <w:tr w:rsidR="007205C4" w:rsidRPr="00007B7F" w14:paraId="6C4FBE30" w14:textId="77777777" w:rsidTr="007205C4">
        <w:trPr>
          <w:trHeight w:val="373"/>
        </w:trPr>
        <w:tc>
          <w:tcPr>
            <w:cnfStyle w:val="001000000000" w:firstRow="0" w:lastRow="0" w:firstColumn="1" w:lastColumn="0" w:oddVBand="0" w:evenVBand="0" w:oddHBand="0" w:evenHBand="0" w:firstRowFirstColumn="0" w:firstRowLastColumn="0" w:lastRowFirstColumn="0" w:lastRowLastColumn="0"/>
            <w:tcW w:w="1723" w:type="dxa"/>
            <w:vMerge/>
          </w:tcPr>
          <w:p w14:paraId="3A81A771" w14:textId="77777777" w:rsidR="00007B7F" w:rsidRPr="00007B7F" w:rsidRDefault="00007B7F" w:rsidP="00007B7F">
            <w:pPr>
              <w:jc w:val="both"/>
              <w:rPr>
                <w:rFonts w:ascii="Times New Roman" w:eastAsia="Times New Roman" w:hAnsi="Times New Roman" w:cs="Times New Roman"/>
                <w:iCs/>
                <w:sz w:val="22"/>
                <w:lang w:eastAsia="lv-LV"/>
              </w:rPr>
            </w:pPr>
          </w:p>
        </w:tc>
        <w:tc>
          <w:tcPr>
            <w:tcW w:w="5560" w:type="dxa"/>
          </w:tcPr>
          <w:p w14:paraId="1B017F82" w14:textId="77777777" w:rsidR="00007B7F" w:rsidRPr="00007B7F" w:rsidRDefault="00007B7F" w:rsidP="00007B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bookmarkStart w:id="14" w:name="_Hlk160435538"/>
            <w:r w:rsidRPr="00007B7F">
              <w:rPr>
                <w:rFonts w:ascii="Times New Roman" w:eastAsia="Times New Roman" w:hAnsi="Times New Roman" w:cs="Times New Roman"/>
                <w:iCs/>
                <w:sz w:val="22"/>
                <w:lang w:eastAsia="lv-LV"/>
              </w:rPr>
              <w:t>Personāla dalības intensitāte Eiropas robežu un krasta apsardzes aģentūras koordinētajās Pastāvīgā korpusa operacionālajās aktivitātēs ar 2. kategorijas personālu (cilvēkdienas)</w:t>
            </w:r>
            <w:bookmarkEnd w:id="14"/>
          </w:p>
        </w:tc>
        <w:tc>
          <w:tcPr>
            <w:tcW w:w="1080" w:type="dxa"/>
          </w:tcPr>
          <w:p w14:paraId="23854F75"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07B7F">
              <w:rPr>
                <w:rFonts w:ascii="Times New Roman" w:eastAsia="Times New Roman" w:hAnsi="Times New Roman" w:cs="Times New Roman"/>
                <w:sz w:val="22"/>
                <w:szCs w:val="22"/>
              </w:rPr>
              <w:t>2902</w:t>
            </w:r>
          </w:p>
        </w:tc>
        <w:tc>
          <w:tcPr>
            <w:tcW w:w="1378" w:type="dxa"/>
          </w:tcPr>
          <w:p w14:paraId="4C45FBF1"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bookmarkStart w:id="15" w:name="_Hlk160435572"/>
            <w:r w:rsidRPr="00007B7F">
              <w:rPr>
                <w:rFonts w:ascii="Times New Roman" w:eastAsia="Times New Roman" w:hAnsi="Times New Roman" w:cs="Times New Roman"/>
                <w:sz w:val="22"/>
                <w:szCs w:val="22"/>
              </w:rPr>
              <w:t>3650</w:t>
            </w:r>
            <w:bookmarkEnd w:id="15"/>
            <w:r w:rsidRPr="00007B7F">
              <w:rPr>
                <w:rFonts w:ascii="Times New Roman" w:eastAsia="Times New Roman" w:hAnsi="Times New Roman" w:cs="Times New Roman"/>
                <w:sz w:val="22"/>
                <w:szCs w:val="22"/>
              </w:rPr>
              <w:t>/</w:t>
            </w:r>
            <w:bookmarkStart w:id="16" w:name="_Hlk160435588"/>
            <w:r w:rsidRPr="00007B7F">
              <w:rPr>
                <w:rFonts w:ascii="Times New Roman" w:eastAsia="Times New Roman" w:hAnsi="Times New Roman" w:cs="Times New Roman"/>
                <w:sz w:val="22"/>
                <w:szCs w:val="22"/>
              </w:rPr>
              <w:t>3595</w:t>
            </w:r>
            <w:bookmarkEnd w:id="16"/>
          </w:p>
        </w:tc>
        <w:tc>
          <w:tcPr>
            <w:tcW w:w="1072" w:type="dxa"/>
          </w:tcPr>
          <w:p w14:paraId="33DF2E7C"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5490</w:t>
            </w:r>
          </w:p>
        </w:tc>
        <w:tc>
          <w:tcPr>
            <w:tcW w:w="1072" w:type="dxa"/>
          </w:tcPr>
          <w:p w14:paraId="14070E09"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7300</w:t>
            </w:r>
          </w:p>
        </w:tc>
        <w:tc>
          <w:tcPr>
            <w:tcW w:w="1072" w:type="dxa"/>
          </w:tcPr>
          <w:p w14:paraId="6DB23194"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9125</w:t>
            </w:r>
          </w:p>
        </w:tc>
        <w:tc>
          <w:tcPr>
            <w:tcW w:w="1072" w:type="dxa"/>
          </w:tcPr>
          <w:p w14:paraId="6824F173"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10950</w:t>
            </w:r>
          </w:p>
        </w:tc>
      </w:tr>
      <w:tr w:rsidR="00007B7F" w:rsidRPr="00007B7F" w14:paraId="58B9E30B" w14:textId="77777777" w:rsidTr="007205C4">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23" w:type="dxa"/>
          </w:tcPr>
          <w:p w14:paraId="4A40297A" w14:textId="77777777" w:rsidR="00007B7F" w:rsidRPr="00007B7F" w:rsidRDefault="00007B7F" w:rsidP="00007B7F">
            <w:pPr>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Iesaistītās iestādes</w:t>
            </w:r>
          </w:p>
        </w:tc>
        <w:tc>
          <w:tcPr>
            <w:tcW w:w="12306" w:type="dxa"/>
            <w:gridSpan w:val="7"/>
          </w:tcPr>
          <w:p w14:paraId="1A8418D8" w14:textId="77777777" w:rsidR="00007B7F" w:rsidRPr="00007B7F" w:rsidRDefault="00007B7F" w:rsidP="00007B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b/>
                <w:iCs/>
                <w:sz w:val="22"/>
                <w:lang w:eastAsia="lv-LV"/>
              </w:rPr>
              <w:t>Valsts robežsardze, Valsts policija</w:t>
            </w:r>
          </w:p>
        </w:tc>
      </w:tr>
    </w:tbl>
    <w:p w14:paraId="212182DC" w14:textId="77777777" w:rsidR="006B5A28" w:rsidRPr="00B60ED2" w:rsidRDefault="006B5A28"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p>
    <w:p w14:paraId="564BD961" w14:textId="084B02CC"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Valsts robežas infrastruktūras stiprināšana</w:t>
      </w:r>
      <w:r w:rsidR="008F63F1">
        <w:rPr>
          <w:rFonts w:ascii="Times New Roman" w:eastAsia="+mn-ea" w:hAnsi="Times New Roman" w:cs="Times New Roman"/>
          <w:b/>
          <w:bCs/>
          <w:color w:val="767171" w:themeColor="background2" w:themeShade="80"/>
          <w:kern w:val="24"/>
          <w:sz w:val="28"/>
          <w:szCs w:val="28"/>
          <w:lang w:eastAsia="lv-LV"/>
        </w:rPr>
        <w:t xml:space="preserve"> </w:t>
      </w:r>
      <w:r w:rsidRPr="00B60ED2">
        <w:rPr>
          <w:rFonts w:ascii="Times New Roman" w:eastAsia="+mn-ea" w:hAnsi="Times New Roman" w:cs="Times New Roman"/>
          <w:b/>
          <w:bCs/>
          <w:color w:val="767171" w:themeColor="background2" w:themeShade="80"/>
          <w:kern w:val="24"/>
          <w:sz w:val="28"/>
          <w:szCs w:val="28"/>
          <w:lang w:eastAsia="lv-LV"/>
        </w:rPr>
        <w:t>.</w:t>
      </w:r>
    </w:p>
    <w:p w14:paraId="36DF3561" w14:textId="5175246A"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w:t>
      </w:r>
      <w:r w:rsidRPr="00B60ED2">
        <w:rPr>
          <w:rFonts w:ascii="Times New Roman" w:eastAsia="+mn-ea" w:hAnsi="Times New Roman" w:cs="Times New Roman"/>
          <w:b/>
          <w:bCs/>
          <w:kern w:val="24"/>
          <w:sz w:val="24"/>
          <w:szCs w:val="32"/>
          <w:lang w:eastAsia="lv-LV"/>
        </w:rPr>
        <w:t>i:</w:t>
      </w:r>
    </w:p>
    <w:p w14:paraId="2C0FAD98" w14:textId="2C2F972F" w:rsidR="00165ADA" w:rsidRPr="00B60ED2" w:rsidRDefault="00956BB5" w:rsidP="007312FB">
      <w:pPr>
        <w:pStyle w:val="ListParagraph"/>
        <w:numPr>
          <w:ilvl w:val="0"/>
          <w:numId w:val="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 </w:t>
      </w:r>
      <w:r w:rsidR="008F63F1">
        <w:rPr>
          <w:rFonts w:ascii="Times New Roman" w:hAnsi="Times New Roman" w:cs="Times New Roman"/>
          <w:sz w:val="24"/>
          <w:szCs w:val="24"/>
          <w:lang w:eastAsia="lv-LV"/>
        </w:rPr>
        <w:t xml:space="preserve">Nodrošināt </w:t>
      </w:r>
      <w:r w:rsidR="00165ADA" w:rsidRPr="00B60ED2">
        <w:rPr>
          <w:rFonts w:ascii="Times New Roman" w:hAnsi="Times New Roman" w:cs="Times New Roman"/>
          <w:sz w:val="24"/>
          <w:szCs w:val="24"/>
          <w:lang w:eastAsia="lv-LV"/>
        </w:rPr>
        <w:t>nekustamo īpašumu tiesību sakārtošanu valsts ārējās sauszemes robežas infrastruktūras izbūves nodrošināšanai. (</w:t>
      </w:r>
      <w:r w:rsidR="00165ADA" w:rsidRPr="00B60ED2">
        <w:rPr>
          <w:rFonts w:ascii="Times New Roman" w:hAnsi="Times New Roman" w:cs="Times New Roman"/>
          <w:b/>
          <w:sz w:val="24"/>
          <w:szCs w:val="24"/>
          <w:lang w:eastAsia="lv-LV"/>
        </w:rPr>
        <w:t>NVA</w:t>
      </w:r>
      <w:r w:rsidR="00165ADA" w:rsidRPr="00B60ED2">
        <w:rPr>
          <w:rFonts w:ascii="Times New Roman" w:hAnsi="Times New Roman" w:cs="Times New Roman"/>
          <w:sz w:val="24"/>
          <w:szCs w:val="24"/>
          <w:lang w:eastAsia="lv-LV"/>
        </w:rPr>
        <w:t>, IeM)</w:t>
      </w:r>
    </w:p>
    <w:p w14:paraId="70837483" w14:textId="55E972CA" w:rsidR="00165ADA" w:rsidRDefault="003A7E55" w:rsidP="007312FB">
      <w:pPr>
        <w:pStyle w:val="ListParagraph"/>
        <w:numPr>
          <w:ilvl w:val="0"/>
          <w:numId w:val="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lastRenderedPageBreak/>
        <w:t>Nodrošināt</w:t>
      </w:r>
      <w:r w:rsidR="00165ADA" w:rsidRPr="00B60ED2">
        <w:rPr>
          <w:rFonts w:ascii="Times New Roman" w:hAnsi="Times New Roman" w:cs="Times New Roman"/>
          <w:sz w:val="24"/>
          <w:szCs w:val="24"/>
          <w:lang w:eastAsia="lv-LV"/>
        </w:rPr>
        <w:t xml:space="preserve"> valsts ārējās </w:t>
      </w:r>
      <w:r w:rsidRPr="00B60ED2">
        <w:rPr>
          <w:rFonts w:ascii="Times New Roman" w:hAnsi="Times New Roman" w:cs="Times New Roman"/>
          <w:sz w:val="24"/>
          <w:szCs w:val="24"/>
          <w:lang w:eastAsia="lv-LV"/>
        </w:rPr>
        <w:t>sauszemes robežas infrastruktūras</w:t>
      </w:r>
      <w:r w:rsidR="008F63F1">
        <w:rPr>
          <w:rFonts w:ascii="Times New Roman" w:hAnsi="Times New Roman" w:cs="Times New Roman"/>
          <w:sz w:val="24"/>
          <w:szCs w:val="24"/>
          <w:lang w:eastAsia="lv-LV"/>
        </w:rPr>
        <w:t xml:space="preserve"> (tajā skaitā tehnoloģiskās infras</w:t>
      </w:r>
      <w:r w:rsidR="00C5045C">
        <w:rPr>
          <w:rFonts w:ascii="Times New Roman" w:hAnsi="Times New Roman" w:cs="Times New Roman"/>
          <w:sz w:val="24"/>
          <w:szCs w:val="24"/>
          <w:lang w:eastAsia="lv-LV"/>
        </w:rPr>
        <w:t>truktūras</w:t>
      </w:r>
      <w:r w:rsidR="008F63F1">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izbūvi</w:t>
      </w:r>
      <w:r w:rsidR="00165ADA" w:rsidRPr="00B60ED2">
        <w:rPr>
          <w:rFonts w:ascii="Times New Roman" w:hAnsi="Times New Roman" w:cs="Times New Roman"/>
          <w:sz w:val="24"/>
          <w:szCs w:val="24"/>
          <w:lang w:eastAsia="lv-LV"/>
        </w:rPr>
        <w:t xml:space="preserve"> (valsts robežas joslas, patrulēšanas joslas un robežzīmju uzraudzības joslas ierīkošana). (</w:t>
      </w:r>
      <w:r w:rsidR="00165ADA" w:rsidRPr="00B60ED2">
        <w:rPr>
          <w:rFonts w:ascii="Times New Roman" w:hAnsi="Times New Roman" w:cs="Times New Roman"/>
          <w:b/>
          <w:sz w:val="24"/>
          <w:szCs w:val="24"/>
          <w:lang w:eastAsia="lv-LV"/>
        </w:rPr>
        <w:t>IeM</w:t>
      </w:r>
      <w:r w:rsidR="00165ADA" w:rsidRPr="00B60ED2">
        <w:rPr>
          <w:rFonts w:ascii="Times New Roman" w:hAnsi="Times New Roman" w:cs="Times New Roman"/>
          <w:sz w:val="24"/>
          <w:szCs w:val="24"/>
          <w:lang w:eastAsia="lv-LV"/>
        </w:rPr>
        <w:t>, NVA, VRS)</w:t>
      </w:r>
      <w:r w:rsidR="0039561B" w:rsidRPr="00B60ED2">
        <w:rPr>
          <w:rStyle w:val="FootnoteReference"/>
          <w:rFonts w:ascii="Times New Roman" w:hAnsi="Times New Roman" w:cs="Times New Roman"/>
          <w:sz w:val="24"/>
          <w:szCs w:val="24"/>
          <w:lang w:eastAsia="lv-LV"/>
        </w:rPr>
        <w:footnoteReference w:id="9"/>
      </w:r>
    </w:p>
    <w:p w14:paraId="3275BB3F" w14:textId="705ECCCE" w:rsidR="00BF4E93" w:rsidRPr="00B60ED2" w:rsidRDefault="00BF4E93" w:rsidP="007312FB">
      <w:pPr>
        <w:pStyle w:val="ListParagraph"/>
        <w:numPr>
          <w:ilvl w:val="0"/>
          <w:numId w:val="5"/>
        </w:numPr>
        <w:spacing w:line="240" w:lineRule="auto"/>
        <w:jc w:val="both"/>
        <w:rPr>
          <w:rFonts w:ascii="Times New Roman" w:hAnsi="Times New Roman" w:cs="Times New Roman"/>
          <w:sz w:val="24"/>
          <w:szCs w:val="24"/>
          <w:lang w:eastAsia="lv-LV"/>
        </w:rPr>
      </w:pPr>
      <w:r w:rsidRPr="00BF4E93">
        <w:rPr>
          <w:rFonts w:ascii="Times New Roman" w:hAnsi="Times New Roman" w:cs="Times New Roman"/>
          <w:sz w:val="24"/>
          <w:szCs w:val="24"/>
          <w:lang w:eastAsia="lv-LV"/>
        </w:rPr>
        <w:t>Nodrošināt viedā risinājuma (tehnoloģiskās infrastruktūras) izbūvi uz valsts ārējās sauszemes robežas atbilstoši Ministru kabineta pieņemtajiem lēmumiem (VRS, IeM)</w:t>
      </w:r>
    </w:p>
    <w:p w14:paraId="7E19ACB0" w14:textId="77777777" w:rsidR="00165ADA" w:rsidRPr="00B60ED2" w:rsidRDefault="00165ADA" w:rsidP="00165ADA">
      <w:pPr>
        <w:rPr>
          <w:rFonts w:ascii="Times New Roman" w:hAnsi="Times New Roman" w:cs="Times New Roman"/>
        </w:rPr>
      </w:pPr>
    </w:p>
    <w:p w14:paraId="3A02D9BE"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Tehnisko līdzekļu nodrošināšana efektīvai robežas uzraudzībai.</w:t>
      </w:r>
    </w:p>
    <w:p w14:paraId="1A6826F7" w14:textId="76EB4286"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w:t>
      </w:r>
      <w:r w:rsidRPr="00B60ED2">
        <w:rPr>
          <w:rFonts w:ascii="Times New Roman" w:eastAsia="+mn-ea" w:hAnsi="Times New Roman" w:cs="Times New Roman"/>
          <w:b/>
          <w:bCs/>
          <w:kern w:val="24"/>
          <w:sz w:val="24"/>
          <w:szCs w:val="32"/>
          <w:lang w:eastAsia="lv-LV"/>
        </w:rPr>
        <w:t>i:</w:t>
      </w:r>
    </w:p>
    <w:p w14:paraId="28AB9C83" w14:textId="710A06D8" w:rsidR="00165ADA" w:rsidRPr="0022495A" w:rsidRDefault="00165ADA" w:rsidP="007312FB">
      <w:pPr>
        <w:pStyle w:val="ListParagraph"/>
        <w:numPr>
          <w:ilvl w:val="0"/>
          <w:numId w:val="6"/>
        </w:numPr>
        <w:spacing w:after="160" w:line="259" w:lineRule="auto"/>
        <w:jc w:val="both"/>
        <w:rPr>
          <w:rFonts w:ascii="Times New Roman" w:hAnsi="Times New Roman" w:cs="Times New Roman"/>
          <w:sz w:val="24"/>
          <w:szCs w:val="24"/>
        </w:rPr>
      </w:pPr>
      <w:r w:rsidRPr="0022495A">
        <w:rPr>
          <w:rFonts w:ascii="Times New Roman" w:hAnsi="Times New Roman" w:cs="Times New Roman"/>
          <w:sz w:val="24"/>
          <w:szCs w:val="24"/>
        </w:rPr>
        <w:t xml:space="preserve">Sadarbībā ar Nacionālajiem bruņotajiem spēkiem </w:t>
      </w:r>
      <w:r w:rsidR="00971EC5" w:rsidRPr="0022495A">
        <w:rPr>
          <w:rFonts w:ascii="Times New Roman" w:hAnsi="Times New Roman" w:cs="Times New Roman"/>
          <w:sz w:val="24"/>
          <w:szCs w:val="24"/>
        </w:rPr>
        <w:t>palielināt</w:t>
      </w:r>
      <w:r w:rsidRPr="0022495A">
        <w:rPr>
          <w:rFonts w:ascii="Times New Roman" w:hAnsi="Times New Roman" w:cs="Times New Roman"/>
          <w:sz w:val="24"/>
          <w:szCs w:val="24"/>
        </w:rPr>
        <w:t xml:space="preserve"> Valsts robežsardzes spējas </w:t>
      </w:r>
      <w:r w:rsidR="00971EC5" w:rsidRPr="0022495A">
        <w:rPr>
          <w:rFonts w:ascii="Times New Roman" w:hAnsi="Times New Roman" w:cs="Times New Roman"/>
          <w:sz w:val="24"/>
          <w:szCs w:val="24"/>
        </w:rPr>
        <w:t xml:space="preserve">(tehniskie līdzekļi, savietojamība, personāla prasmes) </w:t>
      </w:r>
      <w:r w:rsidRPr="0022495A">
        <w:rPr>
          <w:rFonts w:ascii="Times New Roman" w:hAnsi="Times New Roman" w:cs="Times New Roman"/>
          <w:sz w:val="24"/>
          <w:szCs w:val="24"/>
        </w:rPr>
        <w:t>Valsts aizsardzības koncepcijā un Nacionālajā drošības koncepcijā noteikto uzdevumu veikšanā. (</w:t>
      </w:r>
      <w:r w:rsidRPr="0022495A">
        <w:rPr>
          <w:rFonts w:ascii="Times New Roman" w:hAnsi="Times New Roman" w:cs="Times New Roman"/>
          <w:b/>
          <w:sz w:val="24"/>
          <w:szCs w:val="24"/>
        </w:rPr>
        <w:t>IeM</w:t>
      </w:r>
      <w:r w:rsidRPr="0022495A">
        <w:rPr>
          <w:rFonts w:ascii="Times New Roman" w:hAnsi="Times New Roman" w:cs="Times New Roman"/>
          <w:sz w:val="24"/>
          <w:szCs w:val="24"/>
        </w:rPr>
        <w:t>, VRS</w:t>
      </w:r>
      <w:r w:rsidRPr="0022495A">
        <w:rPr>
          <w:rStyle w:val="FootnoteReference"/>
          <w:rFonts w:ascii="Times New Roman" w:hAnsi="Times New Roman" w:cs="Times New Roman"/>
          <w:sz w:val="24"/>
          <w:szCs w:val="24"/>
        </w:rPr>
        <w:footnoteReference w:id="10"/>
      </w:r>
      <w:r w:rsidRPr="0022495A">
        <w:rPr>
          <w:rFonts w:ascii="Times New Roman" w:hAnsi="Times New Roman" w:cs="Times New Roman"/>
          <w:sz w:val="24"/>
          <w:szCs w:val="24"/>
        </w:rPr>
        <w:t>)</w:t>
      </w:r>
    </w:p>
    <w:p w14:paraId="5AA00BB4" w14:textId="77777777" w:rsidR="00165ADA" w:rsidRPr="00B60ED2" w:rsidRDefault="00165ADA" w:rsidP="007312FB">
      <w:pPr>
        <w:pStyle w:val="ListParagraph"/>
        <w:numPr>
          <w:ilvl w:val="0"/>
          <w:numId w:val="6"/>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t>Nodrošināt sadarbību ar Amerikas Savienotajām Valstīm jautājumā par tehniskajiem līdzekļiem Valsts robežsardzes funkciju nodrošināšanai Amerikas Savienoto Valstu valdības finansēto programmu un fondu ietvaros. (</w:t>
      </w:r>
      <w:r w:rsidRPr="00B60ED2">
        <w:rPr>
          <w:rFonts w:ascii="Times New Roman" w:hAnsi="Times New Roman" w:cs="Times New Roman"/>
          <w:b/>
          <w:sz w:val="24"/>
          <w:szCs w:val="24"/>
        </w:rPr>
        <w:t>VRS</w:t>
      </w:r>
      <w:r w:rsidRPr="00B60ED2">
        <w:rPr>
          <w:rFonts w:ascii="Times New Roman" w:hAnsi="Times New Roman" w:cs="Times New Roman"/>
          <w:sz w:val="24"/>
          <w:szCs w:val="24"/>
        </w:rPr>
        <w:t>, IeM)</w:t>
      </w:r>
    </w:p>
    <w:p w14:paraId="69FCACB2" w14:textId="1D04A36F" w:rsidR="00165ADA" w:rsidRPr="00B60ED2" w:rsidRDefault="00165ADA" w:rsidP="007312FB">
      <w:pPr>
        <w:pStyle w:val="ListParagraph"/>
        <w:numPr>
          <w:ilvl w:val="0"/>
          <w:numId w:val="6"/>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t>Pilnveidot robežuzraudzības sistēmu, aprīkojot valsts robežu ar tehniskiem līdzekļiem</w:t>
      </w:r>
      <w:r w:rsidR="00593FD9" w:rsidRPr="00B60ED2">
        <w:rPr>
          <w:rFonts w:ascii="Times New Roman" w:hAnsi="Times New Roman" w:cs="Times New Roman"/>
          <w:sz w:val="24"/>
          <w:szCs w:val="24"/>
        </w:rPr>
        <w:t xml:space="preserve"> (kamerām, sensoriem)</w:t>
      </w:r>
      <w:r w:rsidR="00971EC5" w:rsidRPr="00B60ED2">
        <w:rPr>
          <w:rFonts w:ascii="Times New Roman" w:hAnsi="Times New Roman" w:cs="Times New Roman"/>
          <w:sz w:val="24"/>
          <w:szCs w:val="24"/>
        </w:rPr>
        <w:t xml:space="preserve"> un efektivizējot cilvēkresursu pārvaldību</w:t>
      </w:r>
      <w:r w:rsidRPr="00B60ED2">
        <w:rPr>
          <w:rFonts w:ascii="Times New Roman" w:hAnsi="Times New Roman" w:cs="Times New Roman"/>
          <w:sz w:val="24"/>
          <w:szCs w:val="24"/>
        </w:rPr>
        <w:t>. (</w:t>
      </w:r>
      <w:r w:rsidRPr="00B60ED2">
        <w:rPr>
          <w:rFonts w:ascii="Times New Roman" w:hAnsi="Times New Roman" w:cs="Times New Roman"/>
          <w:b/>
          <w:sz w:val="24"/>
          <w:szCs w:val="24"/>
        </w:rPr>
        <w:t>VRS</w:t>
      </w:r>
      <w:r w:rsidRPr="00B60ED2">
        <w:rPr>
          <w:rFonts w:ascii="Times New Roman" w:hAnsi="Times New Roman" w:cs="Times New Roman"/>
          <w:sz w:val="24"/>
          <w:szCs w:val="24"/>
        </w:rPr>
        <w:t>, IeM)</w:t>
      </w:r>
    </w:p>
    <w:p w14:paraId="1D7A05BA" w14:textId="77777777" w:rsidR="00165ADA" w:rsidRPr="00B60ED2" w:rsidRDefault="00165ADA" w:rsidP="00165ADA">
      <w:pPr>
        <w:rPr>
          <w:rFonts w:ascii="Times New Roman" w:hAnsi="Times New Roman" w:cs="Times New Roman"/>
        </w:rPr>
      </w:pPr>
    </w:p>
    <w:p w14:paraId="6D3A7AF9"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22495A">
        <w:rPr>
          <w:rFonts w:ascii="Times New Roman" w:eastAsia="+mn-ea" w:hAnsi="Times New Roman" w:cs="Times New Roman"/>
          <w:b/>
          <w:bCs/>
          <w:color w:val="767171" w:themeColor="background2" w:themeShade="80"/>
          <w:kern w:val="24"/>
          <w:sz w:val="28"/>
          <w:szCs w:val="28"/>
          <w:lang w:eastAsia="lv-LV"/>
        </w:rPr>
        <w:t xml:space="preserve">Rīcības virziens: </w:t>
      </w:r>
      <w:bookmarkStart w:id="17" w:name="_Hlk169011318"/>
      <w:r w:rsidRPr="0022495A">
        <w:rPr>
          <w:rFonts w:ascii="Times New Roman" w:eastAsia="+mn-ea" w:hAnsi="Times New Roman" w:cs="Times New Roman"/>
          <w:b/>
          <w:bCs/>
          <w:color w:val="767171" w:themeColor="background2" w:themeShade="80"/>
          <w:kern w:val="24"/>
          <w:sz w:val="28"/>
          <w:szCs w:val="28"/>
          <w:lang w:eastAsia="lv-LV"/>
        </w:rPr>
        <w:t>Nelegālās migrācijas un preču nelikumīgas pārvietošanas pāri valsts robežai risku mazināšana</w:t>
      </w:r>
      <w:bookmarkEnd w:id="17"/>
      <w:r w:rsidRPr="0022495A">
        <w:rPr>
          <w:rFonts w:ascii="Times New Roman" w:eastAsia="+mn-ea" w:hAnsi="Times New Roman" w:cs="Times New Roman"/>
          <w:b/>
          <w:bCs/>
          <w:color w:val="767171" w:themeColor="background2" w:themeShade="80"/>
          <w:kern w:val="24"/>
          <w:sz w:val="28"/>
          <w:szCs w:val="28"/>
          <w:lang w:eastAsia="lv-LV"/>
        </w:rPr>
        <w:t>.</w:t>
      </w:r>
    </w:p>
    <w:p w14:paraId="778C8A74" w14:textId="32848CE1"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w:t>
      </w:r>
      <w:r w:rsidRPr="00B60ED2">
        <w:rPr>
          <w:rFonts w:ascii="Times New Roman" w:eastAsia="+mn-ea" w:hAnsi="Times New Roman" w:cs="Times New Roman"/>
          <w:b/>
          <w:bCs/>
          <w:kern w:val="24"/>
          <w:sz w:val="24"/>
          <w:szCs w:val="32"/>
          <w:lang w:eastAsia="lv-LV"/>
        </w:rPr>
        <w:t>i:</w:t>
      </w:r>
    </w:p>
    <w:p w14:paraId="3567C6BC" w14:textId="5935DB41" w:rsidR="00F84CCD" w:rsidRPr="00B60ED2" w:rsidRDefault="00F84CCD" w:rsidP="003E06E5">
      <w:pPr>
        <w:pStyle w:val="ListParagraph"/>
        <w:numPr>
          <w:ilvl w:val="0"/>
          <w:numId w:val="7"/>
        </w:numPr>
        <w:spacing w:after="160" w:line="259" w:lineRule="auto"/>
        <w:jc w:val="both"/>
        <w:rPr>
          <w:rFonts w:ascii="Times New Roman" w:hAnsi="Times New Roman" w:cs="Times New Roman"/>
          <w:sz w:val="24"/>
          <w:szCs w:val="24"/>
        </w:rPr>
      </w:pPr>
      <w:bookmarkStart w:id="18" w:name="_Hlk169011428"/>
      <w:r w:rsidRPr="00B60ED2">
        <w:rPr>
          <w:rFonts w:ascii="Times New Roman" w:hAnsi="Times New Roman" w:cs="Times New Roman"/>
          <w:sz w:val="24"/>
          <w:szCs w:val="24"/>
        </w:rPr>
        <w:t>Nacionālā (kopējā) situācijas attēla izveidošana:</w:t>
      </w:r>
    </w:p>
    <w:p w14:paraId="46F121C5" w14:textId="60E1CE11" w:rsidR="00F84CCD" w:rsidRPr="00B60ED2" w:rsidRDefault="00F84CCD" w:rsidP="00F84CCD">
      <w:pPr>
        <w:pStyle w:val="ListParagraph"/>
        <w:numPr>
          <w:ilvl w:val="1"/>
          <w:numId w:val="7"/>
        </w:numPr>
        <w:spacing w:after="160" w:line="259" w:lineRule="auto"/>
        <w:jc w:val="both"/>
        <w:rPr>
          <w:rFonts w:ascii="Times New Roman" w:hAnsi="Times New Roman" w:cs="Times New Roman"/>
          <w:sz w:val="24"/>
          <w:szCs w:val="24"/>
        </w:rPr>
      </w:pPr>
      <w:bookmarkStart w:id="19" w:name="_Hlk169011438"/>
      <w:r w:rsidRPr="00B60ED2">
        <w:rPr>
          <w:rFonts w:ascii="Times New Roman" w:hAnsi="Times New Roman" w:cs="Times New Roman"/>
          <w:sz w:val="24"/>
          <w:szCs w:val="24"/>
        </w:rPr>
        <w:t>veikt Valsts robežsardzes Robežuzraudzības un kontroles sistēmas darbības nodrošināšanu un Nacionālā (kopējā) situācijas attēla attīstību EUROSUR ietvaros. (</w:t>
      </w:r>
      <w:r w:rsidRPr="00B60ED2">
        <w:rPr>
          <w:rFonts w:ascii="Times New Roman" w:hAnsi="Times New Roman" w:cs="Times New Roman"/>
          <w:b/>
          <w:sz w:val="24"/>
          <w:szCs w:val="24"/>
        </w:rPr>
        <w:t>VRS</w:t>
      </w:r>
      <w:r w:rsidRPr="00B60ED2">
        <w:rPr>
          <w:rFonts w:ascii="Times New Roman" w:hAnsi="Times New Roman" w:cs="Times New Roman"/>
          <w:sz w:val="24"/>
          <w:szCs w:val="24"/>
        </w:rPr>
        <w:t>)</w:t>
      </w:r>
    </w:p>
    <w:bookmarkEnd w:id="18"/>
    <w:bookmarkEnd w:id="19"/>
    <w:p w14:paraId="2736E72A" w14:textId="341C3602" w:rsidR="003E06E5" w:rsidRPr="00AA310C" w:rsidRDefault="000C0678" w:rsidP="00F84CCD">
      <w:pPr>
        <w:pStyle w:val="ListParagraph"/>
        <w:numPr>
          <w:ilvl w:val="1"/>
          <w:numId w:val="7"/>
        </w:numPr>
        <w:spacing w:after="160" w:line="259" w:lineRule="auto"/>
        <w:jc w:val="both"/>
        <w:rPr>
          <w:rFonts w:ascii="Times New Roman" w:hAnsi="Times New Roman" w:cs="Times New Roman"/>
          <w:sz w:val="24"/>
          <w:szCs w:val="24"/>
        </w:rPr>
      </w:pPr>
      <w:r w:rsidRPr="00AA310C">
        <w:rPr>
          <w:rFonts w:ascii="Times New Roman" w:hAnsi="Times New Roman" w:cs="Times New Roman"/>
          <w:sz w:val="24"/>
          <w:szCs w:val="24"/>
        </w:rPr>
        <w:t>v</w:t>
      </w:r>
      <w:r w:rsidR="003E06E5" w:rsidRPr="00AA310C">
        <w:rPr>
          <w:rFonts w:ascii="Times New Roman" w:hAnsi="Times New Roman" w:cs="Times New Roman"/>
          <w:sz w:val="24"/>
          <w:szCs w:val="24"/>
        </w:rPr>
        <w:t>eikt Iekšlietu ministrijas austrumu robežas telekomunikāciju tīkla infrastruktūras modernizāciju, nodrošinot atbilstību EUROSUR tīkla prasībām. (</w:t>
      </w:r>
      <w:r w:rsidR="003E06E5" w:rsidRPr="00AA310C">
        <w:rPr>
          <w:rFonts w:ascii="Times New Roman" w:hAnsi="Times New Roman" w:cs="Times New Roman"/>
          <w:b/>
          <w:sz w:val="24"/>
          <w:szCs w:val="24"/>
        </w:rPr>
        <w:t>IeM IC</w:t>
      </w:r>
      <w:r w:rsidR="003E06E5" w:rsidRPr="00AA310C">
        <w:rPr>
          <w:rFonts w:ascii="Times New Roman" w:hAnsi="Times New Roman" w:cs="Times New Roman"/>
          <w:sz w:val="24"/>
          <w:szCs w:val="24"/>
        </w:rPr>
        <w:t>, VRS)</w:t>
      </w:r>
    </w:p>
    <w:p w14:paraId="7608AB4A" w14:textId="77777777" w:rsidR="00101532" w:rsidRPr="00AA310C" w:rsidRDefault="00165ADA" w:rsidP="00165ADA">
      <w:pPr>
        <w:pStyle w:val="ListParagraph"/>
        <w:numPr>
          <w:ilvl w:val="0"/>
          <w:numId w:val="7"/>
        </w:numPr>
        <w:spacing w:line="240" w:lineRule="auto"/>
        <w:jc w:val="both"/>
        <w:rPr>
          <w:rFonts w:ascii="Times New Roman" w:hAnsi="Times New Roman" w:cs="Times New Roman"/>
          <w:sz w:val="24"/>
          <w:szCs w:val="24"/>
          <w:lang w:eastAsia="lv-LV"/>
        </w:rPr>
      </w:pPr>
      <w:bookmarkStart w:id="20" w:name="_Hlk169011474"/>
      <w:r w:rsidRPr="00AA310C">
        <w:rPr>
          <w:rFonts w:ascii="Times New Roman" w:hAnsi="Times New Roman" w:cs="Times New Roman"/>
          <w:sz w:val="24"/>
          <w:szCs w:val="24"/>
          <w:lang w:eastAsia="lv-LV"/>
        </w:rPr>
        <w:t>Nodrošināt Eiropas ceļošanas informācijas un atļauju sistēmas (ETIAS) ieviešanu</w:t>
      </w:r>
      <w:r w:rsidR="00F84CCD" w:rsidRPr="00AA310C">
        <w:rPr>
          <w:rFonts w:ascii="Times New Roman" w:hAnsi="Times New Roman" w:cs="Times New Roman"/>
          <w:sz w:val="24"/>
          <w:szCs w:val="24"/>
          <w:lang w:eastAsia="lv-LV"/>
        </w:rPr>
        <w:t xml:space="preserve"> un darbību</w:t>
      </w:r>
      <w:r w:rsidRPr="00AA310C">
        <w:rPr>
          <w:rFonts w:ascii="Times New Roman" w:hAnsi="Times New Roman" w:cs="Times New Roman"/>
          <w:sz w:val="24"/>
          <w:szCs w:val="24"/>
          <w:lang w:eastAsia="lv-LV"/>
        </w:rPr>
        <w:t xml:space="preserve"> Latvijas Republikā. (</w:t>
      </w:r>
      <w:r w:rsidRPr="00AA310C">
        <w:rPr>
          <w:rFonts w:ascii="Times New Roman" w:hAnsi="Times New Roman" w:cs="Times New Roman"/>
          <w:b/>
          <w:sz w:val="24"/>
          <w:szCs w:val="24"/>
          <w:lang w:eastAsia="lv-LV"/>
        </w:rPr>
        <w:t>IeM IC</w:t>
      </w:r>
      <w:r w:rsidRPr="00AA310C">
        <w:rPr>
          <w:rFonts w:ascii="Times New Roman" w:hAnsi="Times New Roman" w:cs="Times New Roman"/>
          <w:sz w:val="24"/>
          <w:szCs w:val="24"/>
          <w:lang w:eastAsia="lv-LV"/>
        </w:rPr>
        <w:t>, VRS, VDD, VP)</w:t>
      </w:r>
    </w:p>
    <w:bookmarkEnd w:id="20"/>
    <w:p w14:paraId="0D966DF6" w14:textId="1FA3158A" w:rsidR="00165ADA" w:rsidRPr="00B60ED2" w:rsidRDefault="00F24EC6" w:rsidP="00165ADA">
      <w:pPr>
        <w:pStyle w:val="ListParagraph"/>
        <w:numPr>
          <w:ilvl w:val="0"/>
          <w:numId w:val="7"/>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Uzstādīt </w:t>
      </w:r>
      <w:r w:rsidR="00101532" w:rsidRPr="00B60ED2">
        <w:rPr>
          <w:rFonts w:ascii="Times New Roman" w:hAnsi="Times New Roman" w:cs="Times New Roman"/>
          <w:sz w:val="24"/>
          <w:szCs w:val="24"/>
          <w:lang w:eastAsia="lv-LV"/>
        </w:rPr>
        <w:t>ABC vārtu</w:t>
      </w:r>
      <w:r w:rsidRPr="00B60ED2">
        <w:rPr>
          <w:rFonts w:ascii="Times New Roman" w:hAnsi="Times New Roman" w:cs="Times New Roman"/>
          <w:sz w:val="24"/>
          <w:szCs w:val="24"/>
          <w:lang w:eastAsia="lv-LV"/>
        </w:rPr>
        <w:t>s</w:t>
      </w:r>
      <w:r w:rsidR="00101532" w:rsidRPr="00B60ED2">
        <w:rPr>
          <w:rFonts w:ascii="Times New Roman" w:hAnsi="Times New Roman" w:cs="Times New Roman"/>
          <w:sz w:val="24"/>
          <w:szCs w:val="24"/>
          <w:lang w:eastAsia="lv-LV"/>
        </w:rPr>
        <w:t xml:space="preserve"> starptautiskās lidostas “Rīga” attīstības 6.</w:t>
      </w:r>
      <w:r w:rsidRPr="00B60ED2">
        <w:rPr>
          <w:rFonts w:ascii="Times New Roman" w:hAnsi="Times New Roman" w:cs="Times New Roman"/>
          <w:sz w:val="24"/>
          <w:szCs w:val="24"/>
          <w:lang w:eastAsia="lv-LV"/>
        </w:rPr>
        <w:t xml:space="preserve"> </w:t>
      </w:r>
      <w:r w:rsidR="00101532" w:rsidRPr="00B60ED2">
        <w:rPr>
          <w:rFonts w:ascii="Times New Roman" w:hAnsi="Times New Roman" w:cs="Times New Roman"/>
          <w:sz w:val="24"/>
          <w:szCs w:val="24"/>
          <w:lang w:eastAsia="lv-LV"/>
        </w:rPr>
        <w:t>kārtas ietvaros. (</w:t>
      </w:r>
      <w:r w:rsidR="00101532" w:rsidRPr="00B60ED2">
        <w:rPr>
          <w:rFonts w:ascii="Times New Roman" w:hAnsi="Times New Roman" w:cs="Times New Roman"/>
          <w:b/>
          <w:sz w:val="24"/>
          <w:szCs w:val="24"/>
          <w:lang w:eastAsia="lv-LV"/>
        </w:rPr>
        <w:t>VRS</w:t>
      </w:r>
      <w:r w:rsidR="00101532" w:rsidRPr="00B60ED2">
        <w:rPr>
          <w:rFonts w:ascii="Times New Roman" w:hAnsi="Times New Roman" w:cs="Times New Roman"/>
          <w:sz w:val="24"/>
          <w:szCs w:val="24"/>
          <w:lang w:eastAsia="lv-LV"/>
        </w:rPr>
        <w:t>)</w:t>
      </w:r>
    </w:p>
    <w:p w14:paraId="56F4EB03" w14:textId="77777777" w:rsidR="00101532" w:rsidRPr="00B60ED2" w:rsidRDefault="00101532" w:rsidP="00101532">
      <w:pPr>
        <w:spacing w:line="240" w:lineRule="auto"/>
        <w:jc w:val="both"/>
        <w:rPr>
          <w:rFonts w:ascii="Times New Roman" w:hAnsi="Times New Roman" w:cs="Times New Roman"/>
          <w:sz w:val="24"/>
          <w:szCs w:val="24"/>
          <w:lang w:eastAsia="lv-LV"/>
        </w:rPr>
      </w:pPr>
    </w:p>
    <w:p w14:paraId="5F051F47" w14:textId="77777777" w:rsidR="00165ADA" w:rsidRPr="00B60ED2" w:rsidRDefault="00165ADA" w:rsidP="00093D85">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lastRenderedPageBreak/>
        <w:t>Rīcības virziens: Solidāra ieguldījuma sniegšana nelegālās migrācijas pārvaldībā un novēršanā.</w:t>
      </w:r>
    </w:p>
    <w:p w14:paraId="628DC760" w14:textId="15818AD5" w:rsidR="00165ADA" w:rsidRPr="00B60ED2" w:rsidRDefault="0031440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Galvenie uzdevumi</w:t>
      </w:r>
      <w:r w:rsidR="00165ADA" w:rsidRPr="00B60ED2">
        <w:rPr>
          <w:rFonts w:ascii="Times New Roman" w:eastAsia="+mn-ea" w:hAnsi="Times New Roman" w:cs="Times New Roman"/>
          <w:b/>
          <w:bCs/>
          <w:kern w:val="24"/>
          <w:sz w:val="24"/>
          <w:szCs w:val="32"/>
          <w:lang w:eastAsia="lv-LV"/>
        </w:rPr>
        <w:t>:</w:t>
      </w:r>
    </w:p>
    <w:p w14:paraId="74268CE2" w14:textId="77777777" w:rsidR="00165ADA" w:rsidRPr="00B60ED2" w:rsidRDefault="00165ADA" w:rsidP="007312FB">
      <w:pPr>
        <w:pStyle w:val="ListParagraph"/>
        <w:numPr>
          <w:ilvl w:val="0"/>
          <w:numId w:val="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personāla dalību Eiropas Robežu un krasta apsardzes aģentūras koordinētājos operacionālajos pasākumos. (</w:t>
      </w:r>
      <w:r w:rsidRPr="00B60ED2">
        <w:rPr>
          <w:rFonts w:ascii="Times New Roman" w:hAnsi="Times New Roman" w:cs="Times New Roman"/>
          <w:b/>
          <w:sz w:val="24"/>
          <w:szCs w:val="24"/>
          <w:lang w:eastAsia="lv-LV"/>
        </w:rPr>
        <w:t>VRS</w:t>
      </w:r>
      <w:r w:rsidRPr="00B60ED2">
        <w:rPr>
          <w:rFonts w:ascii="Times New Roman" w:hAnsi="Times New Roman" w:cs="Times New Roman"/>
          <w:sz w:val="24"/>
          <w:szCs w:val="24"/>
          <w:lang w:eastAsia="lv-LV"/>
        </w:rPr>
        <w:t>, VP)</w:t>
      </w:r>
    </w:p>
    <w:p w14:paraId="05F7A03C" w14:textId="77777777" w:rsidR="00165ADA" w:rsidRPr="00B60ED2" w:rsidRDefault="00165ADA" w:rsidP="007312FB">
      <w:pPr>
        <w:pStyle w:val="ListParagraph"/>
        <w:numPr>
          <w:ilvl w:val="0"/>
          <w:numId w:val="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tehniskā aprīkojuma dalību Eiropas Robežu un krasta apsardzes aģentūras koordinētājos operacionālajos pasākumos. (</w:t>
      </w:r>
      <w:r w:rsidRPr="00B60ED2">
        <w:rPr>
          <w:rFonts w:ascii="Times New Roman" w:hAnsi="Times New Roman" w:cs="Times New Roman"/>
          <w:b/>
          <w:sz w:val="24"/>
          <w:szCs w:val="24"/>
          <w:lang w:eastAsia="lv-LV"/>
        </w:rPr>
        <w:t>VRS)</w:t>
      </w:r>
    </w:p>
    <w:p w14:paraId="07CAC118" w14:textId="77777777" w:rsidR="00165ADA" w:rsidRPr="00B60ED2" w:rsidRDefault="00165ADA" w:rsidP="007312FB">
      <w:pPr>
        <w:pStyle w:val="ListParagraph"/>
        <w:numPr>
          <w:ilvl w:val="0"/>
          <w:numId w:val="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Eiropas Robežu un krasta apsardzes Pastāvīgā korpusa ātrās reaģēšanas rezerves uzturēšanu. (</w:t>
      </w:r>
      <w:r w:rsidRPr="00B60ED2">
        <w:rPr>
          <w:rFonts w:ascii="Times New Roman" w:hAnsi="Times New Roman" w:cs="Times New Roman"/>
          <w:b/>
          <w:sz w:val="24"/>
          <w:szCs w:val="24"/>
          <w:lang w:eastAsia="lv-LV"/>
        </w:rPr>
        <w:t>VRS</w:t>
      </w:r>
      <w:r w:rsidRPr="00B60ED2">
        <w:rPr>
          <w:rFonts w:ascii="Times New Roman" w:hAnsi="Times New Roman" w:cs="Times New Roman"/>
          <w:sz w:val="24"/>
          <w:szCs w:val="24"/>
          <w:lang w:eastAsia="lv-LV"/>
        </w:rPr>
        <w:t>)</w:t>
      </w:r>
    </w:p>
    <w:p w14:paraId="085E580A" w14:textId="77777777" w:rsidR="00165ADA" w:rsidRPr="00B60ED2" w:rsidRDefault="00165ADA" w:rsidP="00165ADA">
      <w:pPr>
        <w:spacing w:line="240" w:lineRule="auto"/>
        <w:jc w:val="both"/>
        <w:rPr>
          <w:rFonts w:ascii="Times New Roman" w:hAnsi="Times New Roman" w:cs="Times New Roman"/>
          <w:lang w:eastAsia="lv-LV"/>
        </w:rPr>
      </w:pPr>
    </w:p>
    <w:p w14:paraId="26643274" w14:textId="2BD8C624"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S</w:t>
      </w:r>
      <w:r w:rsidR="00AC4B30" w:rsidRPr="00B60ED2">
        <w:rPr>
          <w:rFonts w:ascii="Times New Roman" w:eastAsia="+mn-ea" w:hAnsi="Times New Roman" w:cs="Times New Roman"/>
          <w:b/>
          <w:bCs/>
          <w:color w:val="767171" w:themeColor="background2" w:themeShade="80"/>
          <w:kern w:val="24"/>
          <w:sz w:val="28"/>
          <w:szCs w:val="28"/>
          <w:lang w:eastAsia="lv-LV"/>
        </w:rPr>
        <w:t>olidāra ieguldījuma sniegšana Eiropas Savienības</w:t>
      </w:r>
      <w:r w:rsidRPr="00B60ED2">
        <w:rPr>
          <w:rFonts w:ascii="Times New Roman" w:eastAsia="+mn-ea" w:hAnsi="Times New Roman" w:cs="Times New Roman"/>
          <w:b/>
          <w:bCs/>
          <w:color w:val="767171" w:themeColor="background2" w:themeShade="80"/>
          <w:kern w:val="24"/>
          <w:sz w:val="28"/>
          <w:szCs w:val="28"/>
          <w:lang w:eastAsia="lv-LV"/>
        </w:rPr>
        <w:t xml:space="preserve"> ārējo robežu drošības nodrošināšanā.</w:t>
      </w:r>
    </w:p>
    <w:p w14:paraId="6CF0562B" w14:textId="1D507CEF" w:rsidR="00165ADA" w:rsidRPr="00B60ED2" w:rsidRDefault="0031440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Galvenie uzdevumi</w:t>
      </w:r>
      <w:r w:rsidR="00165ADA" w:rsidRPr="00B60ED2">
        <w:rPr>
          <w:rFonts w:ascii="Times New Roman" w:eastAsia="+mn-ea" w:hAnsi="Times New Roman" w:cs="Times New Roman"/>
          <w:b/>
          <w:bCs/>
          <w:kern w:val="24"/>
          <w:sz w:val="24"/>
          <w:szCs w:val="32"/>
          <w:lang w:eastAsia="lv-LV"/>
        </w:rPr>
        <w:t>:</w:t>
      </w:r>
    </w:p>
    <w:p w14:paraId="5B269B24" w14:textId="4C85D79B" w:rsidR="00165ADA" w:rsidRPr="00AA310C" w:rsidRDefault="00165ADA" w:rsidP="007312FB">
      <w:pPr>
        <w:pStyle w:val="ListParagraph"/>
        <w:numPr>
          <w:ilvl w:val="0"/>
          <w:numId w:val="9"/>
        </w:numPr>
        <w:spacing w:line="240" w:lineRule="auto"/>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Nodrošināt Eiropas Savienības ārējās robežas Latvijas posma ikgadējo</w:t>
      </w:r>
      <w:r w:rsidR="00DB07BF" w:rsidRPr="00AA310C">
        <w:rPr>
          <w:rFonts w:ascii="Times New Roman" w:hAnsi="Times New Roman" w:cs="Times New Roman"/>
          <w:sz w:val="24"/>
          <w:szCs w:val="24"/>
          <w:lang w:eastAsia="lv-LV"/>
        </w:rPr>
        <w:t>s</w:t>
      </w:r>
      <w:r w:rsidRPr="00AA310C">
        <w:rPr>
          <w:rFonts w:ascii="Times New Roman" w:hAnsi="Times New Roman" w:cs="Times New Roman"/>
          <w:sz w:val="24"/>
          <w:szCs w:val="24"/>
          <w:lang w:eastAsia="lv-LV"/>
        </w:rPr>
        <w:t xml:space="preserve"> Neaizsargātības novērtējumu</w:t>
      </w:r>
      <w:r w:rsidR="00DB07BF" w:rsidRPr="00AA310C">
        <w:rPr>
          <w:rFonts w:ascii="Times New Roman" w:hAnsi="Times New Roman" w:cs="Times New Roman"/>
          <w:sz w:val="24"/>
          <w:szCs w:val="24"/>
          <w:lang w:eastAsia="lv-LV"/>
        </w:rPr>
        <w:t>s</w:t>
      </w:r>
      <w:r w:rsidRPr="00AA310C">
        <w:rPr>
          <w:rFonts w:ascii="Times New Roman" w:hAnsi="Times New Roman" w:cs="Times New Roman"/>
          <w:sz w:val="24"/>
          <w:szCs w:val="24"/>
          <w:lang w:eastAsia="lv-LV"/>
        </w:rPr>
        <w:t xml:space="preserve"> Eiropas Robežu un krasta apsardzes aģentūras plānošanas cikla ietvaros. (</w:t>
      </w:r>
      <w:r w:rsidRPr="00AA310C">
        <w:rPr>
          <w:rFonts w:ascii="Times New Roman" w:hAnsi="Times New Roman" w:cs="Times New Roman"/>
          <w:b/>
          <w:sz w:val="24"/>
          <w:szCs w:val="24"/>
          <w:lang w:eastAsia="lv-LV"/>
        </w:rPr>
        <w:t>VRS</w:t>
      </w:r>
      <w:r w:rsidRPr="00AA310C">
        <w:rPr>
          <w:rFonts w:ascii="Times New Roman" w:hAnsi="Times New Roman" w:cs="Times New Roman"/>
          <w:sz w:val="24"/>
          <w:szCs w:val="24"/>
          <w:lang w:eastAsia="lv-LV"/>
        </w:rPr>
        <w:t>, IeM IC, PMLP)</w:t>
      </w:r>
    </w:p>
    <w:p w14:paraId="742A1E17" w14:textId="77777777" w:rsidR="00956BB5" w:rsidRPr="00B60ED2" w:rsidRDefault="00956BB5" w:rsidP="00956BB5">
      <w:pPr>
        <w:pStyle w:val="ListParagraph"/>
        <w:numPr>
          <w:ilvl w:val="0"/>
          <w:numId w:val="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sagatavošanās un realizācijas pasākumus 2023. gada Šengenas novērtēšanai Integrētās robežu pārvaldības jomā, Ārējo robežu joma un Atgriešanas jomā. (</w:t>
      </w:r>
      <w:r w:rsidRPr="00B60ED2">
        <w:rPr>
          <w:rFonts w:ascii="Times New Roman" w:hAnsi="Times New Roman" w:cs="Times New Roman"/>
          <w:b/>
          <w:sz w:val="24"/>
          <w:szCs w:val="24"/>
          <w:lang w:eastAsia="lv-LV"/>
        </w:rPr>
        <w:t>VRS</w:t>
      </w:r>
      <w:r w:rsidRPr="00B60ED2">
        <w:rPr>
          <w:rFonts w:ascii="Times New Roman" w:hAnsi="Times New Roman" w:cs="Times New Roman"/>
          <w:sz w:val="24"/>
          <w:szCs w:val="24"/>
          <w:lang w:eastAsia="lv-LV"/>
        </w:rPr>
        <w:t>, IeM, VP, PMLP)</w:t>
      </w:r>
    </w:p>
    <w:p w14:paraId="0ED15BA2" w14:textId="77777777" w:rsidR="00956BB5" w:rsidRPr="00B60ED2" w:rsidRDefault="00956BB5" w:rsidP="00956BB5">
      <w:pPr>
        <w:pStyle w:val="ListParagraph"/>
        <w:numPr>
          <w:ilvl w:val="0"/>
          <w:numId w:val="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2023. gada Šengenas novērtēšanas laikā Integrētās robežu pārvaldības jomā, Ārējo robežu joma un Atgriešanas jomā izteikto rekomendāciju un trūkumu ieviešanu. (</w:t>
      </w:r>
      <w:r w:rsidRPr="00B60ED2">
        <w:rPr>
          <w:rFonts w:ascii="Times New Roman" w:hAnsi="Times New Roman" w:cs="Times New Roman"/>
          <w:b/>
          <w:sz w:val="24"/>
          <w:szCs w:val="24"/>
          <w:lang w:eastAsia="lv-LV"/>
        </w:rPr>
        <w:t>VRS</w:t>
      </w:r>
      <w:r w:rsidRPr="00B60ED2">
        <w:rPr>
          <w:rFonts w:ascii="Times New Roman" w:hAnsi="Times New Roman" w:cs="Times New Roman"/>
          <w:sz w:val="24"/>
          <w:szCs w:val="24"/>
          <w:lang w:eastAsia="lv-LV"/>
        </w:rPr>
        <w:t>, IeM)</w:t>
      </w:r>
    </w:p>
    <w:p w14:paraId="063474CD" w14:textId="77777777" w:rsidR="00165ADA" w:rsidRPr="00B60ED2" w:rsidRDefault="00165ADA" w:rsidP="00165ADA">
      <w:pPr>
        <w:rPr>
          <w:rFonts w:ascii="Times New Roman" w:hAnsi="Times New Roman" w:cs="Times New Roman"/>
          <w:b/>
          <w:sz w:val="28"/>
          <w:lang w:eastAsia="lv-LV"/>
        </w:rPr>
      </w:pPr>
      <w:r w:rsidRPr="00B60ED2">
        <w:rPr>
          <w:rFonts w:ascii="Times New Roman" w:hAnsi="Times New Roman" w:cs="Times New Roman"/>
          <w:b/>
          <w:sz w:val="28"/>
          <w:lang w:eastAsia="lv-LV"/>
        </w:rPr>
        <w:br w:type="page"/>
      </w:r>
    </w:p>
    <w:p w14:paraId="12A33852" w14:textId="471EF0DE" w:rsidR="00165ADA" w:rsidRPr="00B60ED2" w:rsidRDefault="00454492" w:rsidP="004A49EE">
      <w:pPr>
        <w:pStyle w:val="NormalWeb"/>
        <w:spacing w:before="0" w:beforeAutospacing="0" w:after="120" w:afterAutospacing="0"/>
        <w:jc w:val="center"/>
        <w:rPr>
          <w:rFonts w:eastAsia="+mn-ea"/>
          <w:bCs/>
          <w:kern w:val="24"/>
          <w:szCs w:val="32"/>
        </w:rPr>
      </w:pPr>
      <w:r w:rsidRPr="00B60ED2">
        <w:rPr>
          <w:rFonts w:eastAsia="+mn-ea"/>
          <w:b/>
          <w:bCs/>
          <w:color w:val="767171" w:themeColor="background2" w:themeShade="80"/>
          <w:kern w:val="24"/>
          <w:sz w:val="32"/>
          <w:szCs w:val="32"/>
        </w:rPr>
        <w:lastRenderedPageBreak/>
        <w:t xml:space="preserve">3. </w:t>
      </w:r>
      <w:r w:rsidR="00165ADA" w:rsidRPr="00B60ED2">
        <w:rPr>
          <w:rFonts w:eastAsia="+mn-ea"/>
          <w:b/>
          <w:bCs/>
          <w:color w:val="767171" w:themeColor="background2" w:themeShade="80"/>
          <w:kern w:val="24"/>
          <w:sz w:val="32"/>
          <w:szCs w:val="32"/>
        </w:rPr>
        <w:t>Nozi</w:t>
      </w:r>
      <w:r w:rsidR="00F25486" w:rsidRPr="00B60ED2">
        <w:rPr>
          <w:rFonts w:eastAsia="+mn-ea"/>
          <w:b/>
          <w:bCs/>
          <w:color w:val="767171" w:themeColor="background2" w:themeShade="80"/>
          <w:kern w:val="24"/>
          <w:sz w:val="32"/>
          <w:szCs w:val="32"/>
        </w:rPr>
        <w:t>edzības novēršana un apkarošana</w:t>
      </w:r>
    </w:p>
    <w:tbl>
      <w:tblPr>
        <w:tblStyle w:val="GridTable4-Accent5"/>
        <w:tblW w:w="14601" w:type="dxa"/>
        <w:tblInd w:w="-289" w:type="dxa"/>
        <w:tblLayout w:type="fixed"/>
        <w:tblLook w:val="04A0" w:firstRow="1" w:lastRow="0" w:firstColumn="1" w:lastColumn="0" w:noHBand="0" w:noVBand="1"/>
      </w:tblPr>
      <w:tblGrid>
        <w:gridCol w:w="1768"/>
        <w:gridCol w:w="5460"/>
        <w:gridCol w:w="1228"/>
        <w:gridCol w:w="1229"/>
        <w:gridCol w:w="1229"/>
        <w:gridCol w:w="1229"/>
        <w:gridCol w:w="1229"/>
        <w:gridCol w:w="1229"/>
      </w:tblGrid>
      <w:tr w:rsidR="00AC0EC8" w:rsidRPr="00B60ED2" w14:paraId="75466998" w14:textId="77777777" w:rsidTr="00897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vMerge w:val="restart"/>
            <w:vAlign w:val="center"/>
          </w:tcPr>
          <w:p w14:paraId="1AB45C89" w14:textId="77777777" w:rsidR="00AC0EC8" w:rsidRPr="00B60ED2" w:rsidRDefault="00AC0EC8" w:rsidP="00F25486">
            <w:pPr>
              <w:jc w:val="center"/>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Prioritārais politikas mērķis</w:t>
            </w:r>
          </w:p>
        </w:tc>
        <w:tc>
          <w:tcPr>
            <w:tcW w:w="5460" w:type="dxa"/>
            <w:vMerge w:val="restart"/>
            <w:vAlign w:val="center"/>
          </w:tcPr>
          <w:p w14:paraId="144EB6D5" w14:textId="77777777" w:rsidR="00AC0EC8" w:rsidRPr="00B60ED2" w:rsidRDefault="00AC0EC8"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Galvenais rezultatīvais rādītājs</w:t>
            </w:r>
          </w:p>
        </w:tc>
        <w:tc>
          <w:tcPr>
            <w:tcW w:w="7373" w:type="dxa"/>
            <w:gridSpan w:val="6"/>
          </w:tcPr>
          <w:p w14:paraId="2AC8D2A9" w14:textId="7650A11F" w:rsidR="00AC0EC8" w:rsidRPr="00B60ED2" w:rsidRDefault="00AC0EC8"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Rādītāju vērtības (prognoze)</w:t>
            </w:r>
          </w:p>
        </w:tc>
      </w:tr>
      <w:tr w:rsidR="00306419" w:rsidRPr="00B60ED2" w14:paraId="0D135229" w14:textId="77777777" w:rsidTr="00897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vMerge/>
          </w:tcPr>
          <w:p w14:paraId="294DE202" w14:textId="77777777" w:rsidR="00AC0EC8" w:rsidRPr="00B60ED2" w:rsidRDefault="00AC0EC8" w:rsidP="00165ADA">
            <w:pPr>
              <w:jc w:val="center"/>
              <w:rPr>
                <w:rFonts w:ascii="Times New Roman" w:hAnsi="Times New Roman" w:cs="Times New Roman"/>
                <w:b w:val="0"/>
                <w:iCs/>
                <w:szCs w:val="26"/>
                <w:lang w:eastAsia="lv-LV"/>
              </w:rPr>
            </w:pPr>
          </w:p>
        </w:tc>
        <w:tc>
          <w:tcPr>
            <w:tcW w:w="5460" w:type="dxa"/>
            <w:vMerge/>
          </w:tcPr>
          <w:p w14:paraId="2BE42EE2"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Cs w:val="26"/>
                <w:lang w:eastAsia="lv-LV"/>
              </w:rPr>
            </w:pPr>
          </w:p>
        </w:tc>
        <w:tc>
          <w:tcPr>
            <w:tcW w:w="1228" w:type="dxa"/>
          </w:tcPr>
          <w:p w14:paraId="1A4B369E" w14:textId="4B890C32" w:rsidR="00AC0EC8" w:rsidRPr="00B60ED2" w:rsidRDefault="00AC0EC8" w:rsidP="00AC0E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2021</w:t>
            </w:r>
            <w:r w:rsidR="00281630" w:rsidRPr="00B60ED2">
              <w:rPr>
                <w:rFonts w:ascii="Times New Roman" w:hAnsi="Times New Roman" w:cs="Times New Roman"/>
                <w:b/>
                <w:iCs/>
                <w:sz w:val="22"/>
                <w:szCs w:val="26"/>
                <w:lang w:eastAsia="lv-LV"/>
              </w:rPr>
              <w:t xml:space="preserve"> (izpilde)</w:t>
            </w:r>
          </w:p>
        </w:tc>
        <w:tc>
          <w:tcPr>
            <w:tcW w:w="1229" w:type="dxa"/>
          </w:tcPr>
          <w:p w14:paraId="6BE76ADE" w14:textId="196D89C6"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2023</w:t>
            </w:r>
          </w:p>
        </w:tc>
        <w:tc>
          <w:tcPr>
            <w:tcW w:w="1229" w:type="dxa"/>
          </w:tcPr>
          <w:p w14:paraId="27FBAD87"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2024</w:t>
            </w:r>
          </w:p>
        </w:tc>
        <w:tc>
          <w:tcPr>
            <w:tcW w:w="1229" w:type="dxa"/>
          </w:tcPr>
          <w:p w14:paraId="7D3CD6A7"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2025</w:t>
            </w:r>
          </w:p>
        </w:tc>
        <w:tc>
          <w:tcPr>
            <w:tcW w:w="1229" w:type="dxa"/>
          </w:tcPr>
          <w:p w14:paraId="2203B0DE"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2026</w:t>
            </w:r>
          </w:p>
        </w:tc>
        <w:tc>
          <w:tcPr>
            <w:tcW w:w="1229" w:type="dxa"/>
          </w:tcPr>
          <w:p w14:paraId="02A4F338"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2027</w:t>
            </w:r>
          </w:p>
        </w:tc>
      </w:tr>
      <w:tr w:rsidR="004B129E" w:rsidRPr="00B60ED2" w14:paraId="2B840FB6" w14:textId="77777777" w:rsidTr="00897407">
        <w:trPr>
          <w:trHeight w:val="420"/>
        </w:trPr>
        <w:tc>
          <w:tcPr>
            <w:cnfStyle w:val="001000000000" w:firstRow="0" w:lastRow="0" w:firstColumn="1" w:lastColumn="0" w:oddVBand="0" w:evenVBand="0" w:oddHBand="0" w:evenHBand="0" w:firstRowFirstColumn="0" w:firstRowLastColumn="0" w:lastRowFirstColumn="0" w:lastRowLastColumn="0"/>
            <w:tcW w:w="1768" w:type="dxa"/>
            <w:vMerge w:val="restart"/>
            <w:vAlign w:val="center"/>
          </w:tcPr>
          <w:p w14:paraId="3943A5D2" w14:textId="77777777" w:rsidR="004B129E" w:rsidRPr="00B60ED2" w:rsidRDefault="004B129E" w:rsidP="00306419">
            <w:pPr>
              <w:rPr>
                <w:rFonts w:ascii="Times New Roman" w:hAnsi="Times New Roman" w:cs="Times New Roman"/>
                <w:iCs/>
                <w:sz w:val="22"/>
                <w:lang w:eastAsia="lv-LV"/>
              </w:rPr>
            </w:pPr>
            <w:r w:rsidRPr="00B60ED2">
              <w:rPr>
                <w:rFonts w:ascii="Times New Roman" w:hAnsi="Times New Roman" w:cs="Times New Roman"/>
                <w:iCs/>
                <w:sz w:val="22"/>
                <w:lang w:eastAsia="lv-LV"/>
              </w:rPr>
              <w:t>Nodrošināt kvalitatīvu un ātru kriminālprocesu izmeklēšanu</w:t>
            </w:r>
          </w:p>
        </w:tc>
        <w:tc>
          <w:tcPr>
            <w:tcW w:w="5460" w:type="dxa"/>
          </w:tcPr>
          <w:p w14:paraId="733D393A" w14:textId="0D30004F" w:rsidR="004A49EE" w:rsidRPr="00B60ED2" w:rsidRDefault="004B129E" w:rsidP="003064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21" w:name="_Hlk160436703"/>
            <w:r w:rsidRPr="00B60ED2">
              <w:rPr>
                <w:rFonts w:ascii="Times New Roman" w:hAnsi="Times New Roman" w:cs="Times New Roman"/>
                <w:iCs/>
                <w:sz w:val="22"/>
                <w:lang w:eastAsia="lv-LV"/>
              </w:rPr>
              <w:t>Valsts policijas pabeigto kriminālprocesu skaita īpatsvars no lietvedībā esošo kriminālprocesu skaita (%)</w:t>
            </w:r>
            <w:bookmarkEnd w:id="21"/>
          </w:p>
        </w:tc>
        <w:tc>
          <w:tcPr>
            <w:tcW w:w="1228" w:type="dxa"/>
            <w:vAlign w:val="center"/>
          </w:tcPr>
          <w:p w14:paraId="53236DF6" w14:textId="71B5C7E5"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33,4%</w:t>
            </w:r>
          </w:p>
        </w:tc>
        <w:tc>
          <w:tcPr>
            <w:tcW w:w="1229" w:type="dxa"/>
            <w:vAlign w:val="center"/>
          </w:tcPr>
          <w:p w14:paraId="0EC94FB9" w14:textId="3FF80A5A"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37%</w:t>
            </w:r>
            <w:r w:rsidR="006C4F9D">
              <w:rPr>
                <w:rFonts w:ascii="Times New Roman" w:hAnsi="Times New Roman" w:cs="Times New Roman"/>
                <w:iCs/>
                <w:sz w:val="22"/>
                <w:szCs w:val="22"/>
                <w:lang w:eastAsia="lv-LV"/>
              </w:rPr>
              <w:t>/52%</w:t>
            </w:r>
          </w:p>
        </w:tc>
        <w:tc>
          <w:tcPr>
            <w:tcW w:w="1229" w:type="dxa"/>
            <w:vAlign w:val="center"/>
          </w:tcPr>
          <w:p w14:paraId="5C04242D" w14:textId="31CE7358"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40%</w:t>
            </w:r>
          </w:p>
        </w:tc>
        <w:tc>
          <w:tcPr>
            <w:tcW w:w="1229" w:type="dxa"/>
            <w:vAlign w:val="center"/>
          </w:tcPr>
          <w:p w14:paraId="25ECC67D" w14:textId="582BBDDA"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43%</w:t>
            </w:r>
          </w:p>
        </w:tc>
        <w:tc>
          <w:tcPr>
            <w:tcW w:w="1229" w:type="dxa"/>
            <w:vAlign w:val="center"/>
          </w:tcPr>
          <w:p w14:paraId="078771B8" w14:textId="211F2798"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46%</w:t>
            </w:r>
          </w:p>
        </w:tc>
        <w:tc>
          <w:tcPr>
            <w:tcW w:w="1229" w:type="dxa"/>
            <w:vAlign w:val="center"/>
          </w:tcPr>
          <w:p w14:paraId="72225E2E" w14:textId="433EAC10"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49%</w:t>
            </w:r>
          </w:p>
        </w:tc>
      </w:tr>
      <w:tr w:rsidR="004B129E" w:rsidRPr="00B60ED2" w14:paraId="19109FFE" w14:textId="77777777" w:rsidTr="0089740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768" w:type="dxa"/>
            <w:vMerge/>
            <w:vAlign w:val="center"/>
          </w:tcPr>
          <w:p w14:paraId="673638BB" w14:textId="77777777" w:rsidR="004B129E" w:rsidRPr="00B60ED2" w:rsidRDefault="004B129E" w:rsidP="00937D66">
            <w:pPr>
              <w:rPr>
                <w:rFonts w:ascii="Times New Roman" w:hAnsi="Times New Roman" w:cs="Times New Roman"/>
                <w:iCs/>
                <w:sz w:val="22"/>
                <w:lang w:eastAsia="lv-LV"/>
              </w:rPr>
            </w:pPr>
          </w:p>
        </w:tc>
        <w:tc>
          <w:tcPr>
            <w:tcW w:w="5460" w:type="dxa"/>
          </w:tcPr>
          <w:p w14:paraId="262B3A66" w14:textId="48D9198F" w:rsidR="004A49EE" w:rsidRPr="00B60ED2" w:rsidRDefault="004B129E" w:rsidP="00937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Iekšējās drošības biroja pabeigto kriminālprocesu skaita īpatsvars no lietvedībā esošo kriminālprocesu skaita (%)</w:t>
            </w:r>
          </w:p>
        </w:tc>
        <w:tc>
          <w:tcPr>
            <w:tcW w:w="1228" w:type="dxa"/>
            <w:shd w:val="clear" w:color="auto" w:fill="DEEAF6" w:themeFill="accent1" w:themeFillTint="33"/>
            <w:vAlign w:val="center"/>
          </w:tcPr>
          <w:p w14:paraId="1EFF4E46" w14:textId="189E731E"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50,3%</w:t>
            </w:r>
          </w:p>
        </w:tc>
        <w:tc>
          <w:tcPr>
            <w:tcW w:w="1229" w:type="dxa"/>
            <w:shd w:val="clear" w:color="auto" w:fill="DEEAF6" w:themeFill="accent1" w:themeFillTint="33"/>
            <w:vAlign w:val="center"/>
          </w:tcPr>
          <w:p w14:paraId="636C1413" w14:textId="473C7A2D"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50%</w:t>
            </w:r>
            <w:r w:rsidR="002E305F">
              <w:rPr>
                <w:rFonts w:ascii="Times New Roman" w:hAnsi="Times New Roman" w:cs="Times New Roman"/>
                <w:iCs/>
                <w:sz w:val="22"/>
                <w:szCs w:val="22"/>
                <w:lang w:eastAsia="lv-LV"/>
              </w:rPr>
              <w:t>/61%</w:t>
            </w:r>
          </w:p>
        </w:tc>
        <w:tc>
          <w:tcPr>
            <w:tcW w:w="1229" w:type="dxa"/>
            <w:shd w:val="clear" w:color="auto" w:fill="DEEAF6" w:themeFill="accent1" w:themeFillTint="33"/>
            <w:vAlign w:val="center"/>
          </w:tcPr>
          <w:p w14:paraId="444AFF82" w14:textId="7A2AE039"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51%</w:t>
            </w:r>
          </w:p>
        </w:tc>
        <w:tc>
          <w:tcPr>
            <w:tcW w:w="1229" w:type="dxa"/>
            <w:shd w:val="clear" w:color="auto" w:fill="DEEAF6" w:themeFill="accent1" w:themeFillTint="33"/>
            <w:vAlign w:val="center"/>
          </w:tcPr>
          <w:p w14:paraId="0C38F991" w14:textId="57D93AC5"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52%</w:t>
            </w:r>
          </w:p>
        </w:tc>
        <w:tc>
          <w:tcPr>
            <w:tcW w:w="1229" w:type="dxa"/>
            <w:shd w:val="clear" w:color="auto" w:fill="DEEAF6" w:themeFill="accent1" w:themeFillTint="33"/>
            <w:vAlign w:val="center"/>
          </w:tcPr>
          <w:p w14:paraId="00CAF344" w14:textId="63EA09B8"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53%</w:t>
            </w:r>
          </w:p>
        </w:tc>
        <w:tc>
          <w:tcPr>
            <w:tcW w:w="1229" w:type="dxa"/>
            <w:shd w:val="clear" w:color="auto" w:fill="DEEAF6" w:themeFill="accent1" w:themeFillTint="33"/>
            <w:vAlign w:val="center"/>
          </w:tcPr>
          <w:p w14:paraId="04E3250A" w14:textId="6BAEB375"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54%</w:t>
            </w:r>
          </w:p>
        </w:tc>
      </w:tr>
      <w:tr w:rsidR="004B129E" w:rsidRPr="00B60ED2" w14:paraId="70C04CC6" w14:textId="77777777" w:rsidTr="00897407">
        <w:trPr>
          <w:trHeight w:val="420"/>
        </w:trPr>
        <w:tc>
          <w:tcPr>
            <w:cnfStyle w:val="001000000000" w:firstRow="0" w:lastRow="0" w:firstColumn="1" w:lastColumn="0" w:oddVBand="0" w:evenVBand="0" w:oddHBand="0" w:evenHBand="0" w:firstRowFirstColumn="0" w:firstRowLastColumn="0" w:lastRowFirstColumn="0" w:lastRowLastColumn="0"/>
            <w:tcW w:w="1768" w:type="dxa"/>
            <w:vMerge/>
            <w:vAlign w:val="center"/>
          </w:tcPr>
          <w:p w14:paraId="2DD68A74" w14:textId="77777777" w:rsidR="004B129E" w:rsidRPr="00B60ED2" w:rsidRDefault="004B129E" w:rsidP="00306419">
            <w:pPr>
              <w:rPr>
                <w:rFonts w:ascii="Times New Roman" w:hAnsi="Times New Roman" w:cs="Times New Roman"/>
                <w:iCs/>
                <w:sz w:val="22"/>
                <w:lang w:eastAsia="lv-LV"/>
              </w:rPr>
            </w:pPr>
          </w:p>
        </w:tc>
        <w:tc>
          <w:tcPr>
            <w:tcW w:w="5460" w:type="dxa"/>
          </w:tcPr>
          <w:p w14:paraId="1A8A6109" w14:textId="03E3B818" w:rsidR="004A49EE" w:rsidRPr="00B60ED2" w:rsidRDefault="004B129E" w:rsidP="003064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Valsts robežsardzes pabeigto kriminālprocesu skaita īpatsvars no lietvedībā esošo kriminālprocesu skaita (%)</w:t>
            </w:r>
          </w:p>
        </w:tc>
        <w:tc>
          <w:tcPr>
            <w:tcW w:w="1228" w:type="dxa"/>
            <w:vAlign w:val="center"/>
          </w:tcPr>
          <w:p w14:paraId="69787BEF" w14:textId="3F85868D"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45,4%</w:t>
            </w:r>
          </w:p>
        </w:tc>
        <w:tc>
          <w:tcPr>
            <w:tcW w:w="1229" w:type="dxa"/>
            <w:vAlign w:val="center"/>
          </w:tcPr>
          <w:p w14:paraId="49B95A9B" w14:textId="71922DD7"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46%</w:t>
            </w:r>
            <w:r w:rsidR="002E305F">
              <w:rPr>
                <w:rFonts w:ascii="Times New Roman" w:hAnsi="Times New Roman" w:cs="Times New Roman"/>
                <w:iCs/>
                <w:sz w:val="22"/>
                <w:szCs w:val="22"/>
                <w:lang w:eastAsia="lv-LV"/>
              </w:rPr>
              <w:t>/45%</w:t>
            </w:r>
          </w:p>
        </w:tc>
        <w:tc>
          <w:tcPr>
            <w:tcW w:w="1229" w:type="dxa"/>
            <w:vAlign w:val="center"/>
          </w:tcPr>
          <w:p w14:paraId="66D5B8F5" w14:textId="6A8A7738"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48%</w:t>
            </w:r>
          </w:p>
        </w:tc>
        <w:tc>
          <w:tcPr>
            <w:tcW w:w="1229" w:type="dxa"/>
            <w:vAlign w:val="center"/>
          </w:tcPr>
          <w:p w14:paraId="3025883D" w14:textId="0B0C53E7"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50%</w:t>
            </w:r>
          </w:p>
        </w:tc>
        <w:tc>
          <w:tcPr>
            <w:tcW w:w="1229" w:type="dxa"/>
            <w:vAlign w:val="center"/>
          </w:tcPr>
          <w:p w14:paraId="2AE861F4" w14:textId="64D38443"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52%</w:t>
            </w:r>
          </w:p>
        </w:tc>
        <w:tc>
          <w:tcPr>
            <w:tcW w:w="1229" w:type="dxa"/>
            <w:vAlign w:val="center"/>
          </w:tcPr>
          <w:p w14:paraId="3002A6A8" w14:textId="71553672"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54%</w:t>
            </w:r>
          </w:p>
        </w:tc>
      </w:tr>
      <w:tr w:rsidR="004B129E" w:rsidRPr="00B60ED2" w14:paraId="76C6134D" w14:textId="77777777" w:rsidTr="0089740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768" w:type="dxa"/>
            <w:vMerge/>
            <w:vAlign w:val="center"/>
          </w:tcPr>
          <w:p w14:paraId="6B29C0AB" w14:textId="77777777" w:rsidR="004B129E" w:rsidRPr="00B60ED2" w:rsidRDefault="004B129E" w:rsidP="00306419">
            <w:pPr>
              <w:rPr>
                <w:rFonts w:ascii="Times New Roman" w:hAnsi="Times New Roman" w:cs="Times New Roman"/>
                <w:iCs/>
                <w:sz w:val="22"/>
                <w:lang w:eastAsia="lv-LV"/>
              </w:rPr>
            </w:pPr>
          </w:p>
        </w:tc>
        <w:tc>
          <w:tcPr>
            <w:tcW w:w="5460" w:type="dxa"/>
          </w:tcPr>
          <w:p w14:paraId="3BD13E62" w14:textId="3AEF27A4" w:rsidR="004A49EE" w:rsidRPr="00B60ED2" w:rsidRDefault="00897407" w:rsidP="00C21B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bookmarkStart w:id="22" w:name="_Hlk167970655"/>
            <w:r w:rsidRPr="00B60ED2">
              <w:rPr>
                <w:rFonts w:ascii="Times New Roman" w:hAnsi="Times New Roman" w:cs="Times New Roman"/>
                <w:iCs/>
                <w:sz w:val="22"/>
                <w:lang w:eastAsia="lv-LV"/>
              </w:rPr>
              <w:t>Iekšlietu nozares iestāžu a</w:t>
            </w:r>
            <w:r w:rsidR="004B129E" w:rsidRPr="00B60ED2">
              <w:rPr>
                <w:rFonts w:ascii="Times New Roman" w:hAnsi="Times New Roman" w:cs="Times New Roman"/>
                <w:iCs/>
                <w:sz w:val="22"/>
                <w:lang w:eastAsia="lv-LV"/>
              </w:rPr>
              <w:t>tklāto smago un sevišķi smago noziegumu īpatsvars no reģistrēto smago un sevišķi smago noziegumu skaita (%)</w:t>
            </w:r>
            <w:bookmarkEnd w:id="22"/>
          </w:p>
        </w:tc>
        <w:tc>
          <w:tcPr>
            <w:tcW w:w="1228" w:type="dxa"/>
            <w:vAlign w:val="center"/>
          </w:tcPr>
          <w:p w14:paraId="6552FC8F" w14:textId="62A643D4" w:rsidR="004B129E" w:rsidRPr="00B60ED2" w:rsidRDefault="000C0678"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26,</w:t>
            </w:r>
            <w:r w:rsidR="00897407" w:rsidRPr="00B60ED2">
              <w:rPr>
                <w:rFonts w:ascii="Times New Roman" w:hAnsi="Times New Roman" w:cs="Times New Roman"/>
                <w:iCs/>
                <w:sz w:val="22"/>
                <w:szCs w:val="22"/>
                <w:lang w:eastAsia="lv-LV"/>
              </w:rPr>
              <w:t>3</w:t>
            </w:r>
            <w:r w:rsidRPr="00B60ED2">
              <w:rPr>
                <w:rFonts w:ascii="Times New Roman" w:hAnsi="Times New Roman" w:cs="Times New Roman"/>
                <w:iCs/>
                <w:sz w:val="22"/>
                <w:szCs w:val="22"/>
                <w:lang w:eastAsia="lv-LV"/>
              </w:rPr>
              <w:t>%</w:t>
            </w:r>
          </w:p>
        </w:tc>
        <w:tc>
          <w:tcPr>
            <w:tcW w:w="1229" w:type="dxa"/>
            <w:vAlign w:val="center"/>
          </w:tcPr>
          <w:p w14:paraId="3BAFD450" w14:textId="67349C6B" w:rsidR="004B129E" w:rsidRPr="00B60ED2" w:rsidRDefault="00897407"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30</w:t>
            </w:r>
            <w:r w:rsidR="00C35B6F" w:rsidRPr="00B60ED2">
              <w:rPr>
                <w:rFonts w:ascii="Times New Roman" w:hAnsi="Times New Roman" w:cs="Times New Roman"/>
                <w:iCs/>
                <w:sz w:val="22"/>
                <w:szCs w:val="22"/>
                <w:lang w:eastAsia="lv-LV"/>
              </w:rPr>
              <w:t>%</w:t>
            </w:r>
            <w:r w:rsidR="002E305F">
              <w:rPr>
                <w:rFonts w:ascii="Times New Roman" w:hAnsi="Times New Roman" w:cs="Times New Roman"/>
                <w:iCs/>
                <w:sz w:val="22"/>
                <w:szCs w:val="22"/>
                <w:lang w:eastAsia="lv-LV"/>
              </w:rPr>
              <w:t>/22%</w:t>
            </w:r>
          </w:p>
        </w:tc>
        <w:tc>
          <w:tcPr>
            <w:tcW w:w="1229" w:type="dxa"/>
            <w:vAlign w:val="center"/>
          </w:tcPr>
          <w:p w14:paraId="6370DD26" w14:textId="45B9C81C" w:rsidR="004B129E" w:rsidRPr="00B60ED2" w:rsidRDefault="00C35B6F"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w:t>
            </w:r>
            <w:r w:rsidR="00897407" w:rsidRPr="00B60ED2">
              <w:rPr>
                <w:rFonts w:ascii="Times New Roman" w:hAnsi="Times New Roman" w:cs="Times New Roman"/>
                <w:iCs/>
                <w:sz w:val="22"/>
                <w:szCs w:val="22"/>
                <w:lang w:eastAsia="lv-LV"/>
              </w:rPr>
              <w:t>2</w:t>
            </w:r>
            <w:r w:rsidRPr="00B60ED2">
              <w:rPr>
                <w:rFonts w:ascii="Times New Roman" w:hAnsi="Times New Roman" w:cs="Times New Roman"/>
                <w:iCs/>
                <w:sz w:val="22"/>
                <w:szCs w:val="22"/>
                <w:lang w:eastAsia="lv-LV"/>
              </w:rPr>
              <w:t>%</w:t>
            </w:r>
          </w:p>
        </w:tc>
        <w:tc>
          <w:tcPr>
            <w:tcW w:w="1229" w:type="dxa"/>
            <w:vAlign w:val="center"/>
          </w:tcPr>
          <w:p w14:paraId="7BE0DDB5" w14:textId="52134E09" w:rsidR="004B129E" w:rsidRPr="00B60ED2" w:rsidRDefault="00C35B6F"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w:t>
            </w:r>
            <w:r w:rsidR="00897407" w:rsidRPr="00B60ED2">
              <w:rPr>
                <w:rFonts w:ascii="Times New Roman" w:hAnsi="Times New Roman" w:cs="Times New Roman"/>
                <w:iCs/>
                <w:sz w:val="22"/>
                <w:szCs w:val="22"/>
                <w:lang w:eastAsia="lv-LV"/>
              </w:rPr>
              <w:t>4</w:t>
            </w:r>
            <w:r w:rsidRPr="00B60ED2">
              <w:rPr>
                <w:rFonts w:ascii="Times New Roman" w:hAnsi="Times New Roman" w:cs="Times New Roman"/>
                <w:iCs/>
                <w:sz w:val="22"/>
                <w:szCs w:val="22"/>
                <w:lang w:eastAsia="lv-LV"/>
              </w:rPr>
              <w:t>%</w:t>
            </w:r>
          </w:p>
        </w:tc>
        <w:tc>
          <w:tcPr>
            <w:tcW w:w="1229" w:type="dxa"/>
            <w:vAlign w:val="center"/>
          </w:tcPr>
          <w:p w14:paraId="7CA65FF6" w14:textId="17E7D652" w:rsidR="004B129E" w:rsidRPr="00B60ED2" w:rsidRDefault="00C35B6F"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w:t>
            </w:r>
            <w:r w:rsidR="00897407" w:rsidRPr="00B60ED2">
              <w:rPr>
                <w:rFonts w:ascii="Times New Roman" w:hAnsi="Times New Roman" w:cs="Times New Roman"/>
                <w:iCs/>
                <w:sz w:val="22"/>
                <w:szCs w:val="22"/>
                <w:lang w:eastAsia="lv-LV"/>
              </w:rPr>
              <w:t>6</w:t>
            </w:r>
            <w:r w:rsidRPr="00B60ED2">
              <w:rPr>
                <w:rFonts w:ascii="Times New Roman" w:hAnsi="Times New Roman" w:cs="Times New Roman"/>
                <w:iCs/>
                <w:sz w:val="22"/>
                <w:szCs w:val="22"/>
                <w:lang w:eastAsia="lv-LV"/>
              </w:rPr>
              <w:t>%</w:t>
            </w:r>
          </w:p>
        </w:tc>
        <w:tc>
          <w:tcPr>
            <w:tcW w:w="1229" w:type="dxa"/>
            <w:vAlign w:val="center"/>
          </w:tcPr>
          <w:p w14:paraId="15BC6046" w14:textId="1FB89A36" w:rsidR="004B129E" w:rsidRPr="00B60ED2" w:rsidRDefault="00C35B6F"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w:t>
            </w:r>
            <w:r w:rsidR="00897407" w:rsidRPr="00B60ED2">
              <w:rPr>
                <w:rFonts w:ascii="Times New Roman" w:hAnsi="Times New Roman" w:cs="Times New Roman"/>
                <w:iCs/>
                <w:sz w:val="22"/>
                <w:szCs w:val="22"/>
                <w:lang w:eastAsia="lv-LV"/>
              </w:rPr>
              <w:t>8</w:t>
            </w:r>
            <w:r w:rsidRPr="00B60ED2">
              <w:rPr>
                <w:rFonts w:ascii="Times New Roman" w:hAnsi="Times New Roman" w:cs="Times New Roman"/>
                <w:iCs/>
                <w:sz w:val="22"/>
                <w:szCs w:val="22"/>
                <w:lang w:eastAsia="lv-LV"/>
              </w:rPr>
              <w:t>%</w:t>
            </w:r>
          </w:p>
        </w:tc>
      </w:tr>
      <w:tr w:rsidR="004B129E" w:rsidRPr="00B60ED2" w14:paraId="628468CF" w14:textId="77777777" w:rsidTr="00897407">
        <w:trPr>
          <w:trHeight w:val="420"/>
        </w:trPr>
        <w:tc>
          <w:tcPr>
            <w:cnfStyle w:val="001000000000" w:firstRow="0" w:lastRow="0" w:firstColumn="1" w:lastColumn="0" w:oddVBand="0" w:evenVBand="0" w:oddHBand="0" w:evenHBand="0" w:firstRowFirstColumn="0" w:firstRowLastColumn="0" w:lastRowFirstColumn="0" w:lastRowLastColumn="0"/>
            <w:tcW w:w="1768" w:type="dxa"/>
            <w:vMerge/>
            <w:vAlign w:val="center"/>
          </w:tcPr>
          <w:p w14:paraId="5265B63E" w14:textId="77777777" w:rsidR="004B129E" w:rsidRPr="00B60ED2" w:rsidRDefault="004B129E" w:rsidP="004B129E">
            <w:pPr>
              <w:rPr>
                <w:rFonts w:ascii="Times New Roman" w:hAnsi="Times New Roman" w:cs="Times New Roman"/>
                <w:iCs/>
                <w:sz w:val="22"/>
                <w:lang w:eastAsia="lv-LV"/>
              </w:rPr>
            </w:pPr>
          </w:p>
        </w:tc>
        <w:tc>
          <w:tcPr>
            <w:tcW w:w="5460" w:type="dxa"/>
            <w:vAlign w:val="center"/>
          </w:tcPr>
          <w:p w14:paraId="230D541F" w14:textId="580E40BB" w:rsidR="004B129E" w:rsidRPr="00B60ED2" w:rsidRDefault="004B129E" w:rsidP="004B129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23" w:name="_Hlk160437499"/>
            <w:r w:rsidRPr="00B60ED2">
              <w:rPr>
                <w:rFonts w:ascii="Times New Roman" w:hAnsi="Times New Roman" w:cs="Times New Roman"/>
                <w:iCs/>
                <w:sz w:val="22"/>
                <w:lang w:eastAsia="lv-LV"/>
              </w:rPr>
              <w:t>Atklāto kibernoziegumu skaits</w:t>
            </w:r>
            <w:bookmarkEnd w:id="23"/>
          </w:p>
        </w:tc>
        <w:tc>
          <w:tcPr>
            <w:tcW w:w="1228" w:type="dxa"/>
            <w:vAlign w:val="center"/>
          </w:tcPr>
          <w:p w14:paraId="5160FCCE" w14:textId="35D634C1"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339</w:t>
            </w:r>
          </w:p>
        </w:tc>
        <w:tc>
          <w:tcPr>
            <w:tcW w:w="1229" w:type="dxa"/>
            <w:vAlign w:val="center"/>
          </w:tcPr>
          <w:p w14:paraId="10CF58FC" w14:textId="5795FDD9"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374</w:t>
            </w:r>
            <w:r w:rsidR="002E305F">
              <w:rPr>
                <w:rFonts w:ascii="Times New Roman" w:hAnsi="Times New Roman" w:cs="Times New Roman"/>
                <w:iCs/>
                <w:sz w:val="22"/>
                <w:szCs w:val="22"/>
                <w:lang w:eastAsia="lv-LV"/>
              </w:rPr>
              <w:t>/</w:t>
            </w:r>
            <w:r w:rsidR="00CB0C24">
              <w:rPr>
                <w:rFonts w:ascii="Times New Roman" w:hAnsi="Times New Roman" w:cs="Times New Roman"/>
                <w:iCs/>
                <w:sz w:val="22"/>
                <w:szCs w:val="22"/>
                <w:lang w:eastAsia="lv-LV"/>
              </w:rPr>
              <w:t>291</w:t>
            </w:r>
          </w:p>
        </w:tc>
        <w:tc>
          <w:tcPr>
            <w:tcW w:w="1229" w:type="dxa"/>
            <w:vAlign w:val="center"/>
          </w:tcPr>
          <w:p w14:paraId="7D956F78" w14:textId="60267EB8"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392</w:t>
            </w:r>
          </w:p>
        </w:tc>
        <w:tc>
          <w:tcPr>
            <w:tcW w:w="1229" w:type="dxa"/>
            <w:vAlign w:val="center"/>
          </w:tcPr>
          <w:p w14:paraId="68E24A13" w14:textId="3FD84351"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410</w:t>
            </w:r>
          </w:p>
        </w:tc>
        <w:tc>
          <w:tcPr>
            <w:tcW w:w="1229" w:type="dxa"/>
            <w:vAlign w:val="center"/>
          </w:tcPr>
          <w:p w14:paraId="4C40A1EE" w14:textId="669B5889"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430</w:t>
            </w:r>
          </w:p>
        </w:tc>
        <w:tc>
          <w:tcPr>
            <w:tcW w:w="1229" w:type="dxa"/>
            <w:vAlign w:val="center"/>
          </w:tcPr>
          <w:p w14:paraId="6690F7EF" w14:textId="70A05F00"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432</w:t>
            </w:r>
          </w:p>
        </w:tc>
      </w:tr>
      <w:tr w:rsidR="004B129E" w:rsidRPr="00B60ED2" w14:paraId="024FF3C3" w14:textId="77777777" w:rsidTr="0089740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7BCADECB" w14:textId="77777777" w:rsidR="004B129E" w:rsidRPr="00B60ED2" w:rsidRDefault="004B129E" w:rsidP="004B129E">
            <w:pPr>
              <w:rPr>
                <w:rFonts w:ascii="Times New Roman" w:hAnsi="Times New Roman" w:cs="Times New Roman"/>
                <w:iCs/>
                <w:sz w:val="22"/>
                <w:lang w:eastAsia="lv-LV"/>
              </w:rPr>
            </w:pPr>
            <w:r w:rsidRPr="00B60ED2">
              <w:rPr>
                <w:rFonts w:ascii="Times New Roman" w:hAnsi="Times New Roman" w:cs="Times New Roman"/>
                <w:b w:val="0"/>
                <w:iCs/>
                <w:sz w:val="22"/>
                <w:lang w:eastAsia="lv-LV"/>
              </w:rPr>
              <w:t>Iesaistītās iestādes</w:t>
            </w:r>
          </w:p>
        </w:tc>
        <w:tc>
          <w:tcPr>
            <w:tcW w:w="12833" w:type="dxa"/>
            <w:gridSpan w:val="7"/>
            <w:vAlign w:val="center"/>
          </w:tcPr>
          <w:p w14:paraId="30D1F926" w14:textId="11926660" w:rsidR="004B129E" w:rsidRPr="00B60ED2" w:rsidRDefault="004B129E" w:rsidP="004B12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b/>
                <w:iCs/>
                <w:sz w:val="22"/>
                <w:lang w:eastAsia="lv-LV"/>
              </w:rPr>
              <w:t xml:space="preserve">Valsts policija, Iekšējās drošības birojs, Valsts robežsardze </w:t>
            </w:r>
          </w:p>
        </w:tc>
      </w:tr>
      <w:tr w:rsidR="004B129E" w:rsidRPr="00B60ED2" w14:paraId="1213DBBA" w14:textId="77777777" w:rsidTr="00897407">
        <w:trPr>
          <w:trHeight w:val="373"/>
        </w:trPr>
        <w:tc>
          <w:tcPr>
            <w:cnfStyle w:val="001000000000" w:firstRow="0" w:lastRow="0" w:firstColumn="1" w:lastColumn="0" w:oddVBand="0" w:evenVBand="0" w:oddHBand="0" w:evenHBand="0" w:firstRowFirstColumn="0" w:firstRowLastColumn="0" w:lastRowFirstColumn="0" w:lastRowLastColumn="0"/>
            <w:tcW w:w="1768" w:type="dxa"/>
            <w:vMerge w:val="restart"/>
            <w:vAlign w:val="center"/>
          </w:tcPr>
          <w:p w14:paraId="504721DB" w14:textId="4E44BB2C" w:rsidR="004B129E" w:rsidRPr="00B60ED2" w:rsidRDefault="004B129E" w:rsidP="00704033">
            <w:pPr>
              <w:rPr>
                <w:rFonts w:ascii="Times New Roman" w:hAnsi="Times New Roman" w:cs="Times New Roman"/>
                <w:iCs/>
                <w:sz w:val="22"/>
                <w:lang w:eastAsia="lv-LV"/>
              </w:rPr>
            </w:pPr>
            <w:r w:rsidRPr="00B60ED2">
              <w:rPr>
                <w:rFonts w:ascii="Times New Roman" w:hAnsi="Times New Roman" w:cs="Times New Roman"/>
                <w:iCs/>
                <w:sz w:val="22"/>
                <w:lang w:eastAsia="lv-LV"/>
              </w:rPr>
              <w:t>Samazināt noziedzības līmeni</w:t>
            </w:r>
          </w:p>
        </w:tc>
        <w:tc>
          <w:tcPr>
            <w:tcW w:w="5460" w:type="dxa"/>
          </w:tcPr>
          <w:p w14:paraId="53EABA3B" w14:textId="4E433DED" w:rsidR="004B129E" w:rsidRPr="00B60ED2" w:rsidRDefault="004B129E" w:rsidP="004B129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24" w:name="_Hlk160439045"/>
            <w:r w:rsidRPr="00B60ED2">
              <w:rPr>
                <w:rFonts w:ascii="Times New Roman" w:hAnsi="Times New Roman" w:cs="Times New Roman"/>
                <w:sz w:val="22"/>
              </w:rPr>
              <w:t>Reģistrēto noziedzīgo nodarījumu skaits uz 100 000 iedzīvotāju</w:t>
            </w:r>
            <w:bookmarkEnd w:id="24"/>
            <w:r w:rsidR="00704033" w:rsidRPr="00B60ED2">
              <w:rPr>
                <w:rStyle w:val="FootnoteReference"/>
                <w:rFonts w:ascii="Times New Roman" w:hAnsi="Times New Roman" w:cs="Times New Roman"/>
                <w:sz w:val="22"/>
              </w:rPr>
              <w:footnoteReference w:id="11"/>
            </w:r>
          </w:p>
        </w:tc>
        <w:tc>
          <w:tcPr>
            <w:tcW w:w="1228" w:type="dxa"/>
            <w:vAlign w:val="center"/>
          </w:tcPr>
          <w:p w14:paraId="79232438" w14:textId="56BAAF6E"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sz w:val="22"/>
                <w:szCs w:val="22"/>
              </w:rPr>
              <w:t>1658</w:t>
            </w:r>
          </w:p>
        </w:tc>
        <w:tc>
          <w:tcPr>
            <w:tcW w:w="1229" w:type="dxa"/>
            <w:vAlign w:val="center"/>
          </w:tcPr>
          <w:p w14:paraId="6EF75AF3" w14:textId="7FE3E9E0"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1550</w:t>
            </w:r>
            <w:r w:rsidR="00CB0C24">
              <w:rPr>
                <w:rFonts w:ascii="Times New Roman" w:hAnsi="Times New Roman" w:cs="Times New Roman"/>
                <w:sz w:val="22"/>
                <w:szCs w:val="22"/>
              </w:rPr>
              <w:t>/</w:t>
            </w:r>
            <w:r w:rsidR="00EF4220">
              <w:rPr>
                <w:rFonts w:ascii="Times New Roman" w:hAnsi="Times New Roman" w:cs="Times New Roman"/>
                <w:sz w:val="22"/>
                <w:szCs w:val="22"/>
              </w:rPr>
              <w:t>1785</w:t>
            </w:r>
          </w:p>
        </w:tc>
        <w:tc>
          <w:tcPr>
            <w:tcW w:w="1229" w:type="dxa"/>
            <w:vAlign w:val="center"/>
          </w:tcPr>
          <w:p w14:paraId="2268FD3D" w14:textId="7B4963DE"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1530</w:t>
            </w:r>
          </w:p>
        </w:tc>
        <w:tc>
          <w:tcPr>
            <w:tcW w:w="1229" w:type="dxa"/>
            <w:vAlign w:val="center"/>
          </w:tcPr>
          <w:p w14:paraId="30C7C26F" w14:textId="2D9599C2"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1510</w:t>
            </w:r>
          </w:p>
        </w:tc>
        <w:tc>
          <w:tcPr>
            <w:tcW w:w="1229" w:type="dxa"/>
            <w:vAlign w:val="center"/>
          </w:tcPr>
          <w:p w14:paraId="7A7AFBC8" w14:textId="087AEDD1"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1490</w:t>
            </w:r>
          </w:p>
        </w:tc>
        <w:tc>
          <w:tcPr>
            <w:tcW w:w="1229" w:type="dxa"/>
            <w:vAlign w:val="center"/>
          </w:tcPr>
          <w:p w14:paraId="5B1A113B" w14:textId="4D81F59C"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1470</w:t>
            </w:r>
          </w:p>
        </w:tc>
      </w:tr>
      <w:tr w:rsidR="004B129E" w:rsidRPr="00B60ED2" w14:paraId="1416F945" w14:textId="77777777" w:rsidTr="00897407">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68" w:type="dxa"/>
            <w:vMerge/>
            <w:vAlign w:val="center"/>
          </w:tcPr>
          <w:p w14:paraId="1EE13980" w14:textId="77777777" w:rsidR="004B129E" w:rsidRPr="00B60ED2" w:rsidRDefault="004B129E" w:rsidP="004B129E">
            <w:pPr>
              <w:rPr>
                <w:rFonts w:ascii="Times New Roman" w:hAnsi="Times New Roman" w:cs="Times New Roman"/>
                <w:iCs/>
                <w:sz w:val="22"/>
                <w:lang w:eastAsia="lv-LV"/>
              </w:rPr>
            </w:pPr>
          </w:p>
        </w:tc>
        <w:tc>
          <w:tcPr>
            <w:tcW w:w="5460" w:type="dxa"/>
          </w:tcPr>
          <w:p w14:paraId="4167AF8D" w14:textId="239921A4" w:rsidR="004B129E" w:rsidRPr="00B60ED2" w:rsidRDefault="004B129E" w:rsidP="004B12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bookmarkStart w:id="25" w:name="_Hlk160439483"/>
            <w:r w:rsidRPr="00B60ED2">
              <w:rPr>
                <w:rFonts w:ascii="Times New Roman" w:hAnsi="Times New Roman" w:cs="Times New Roman"/>
                <w:sz w:val="22"/>
              </w:rPr>
              <w:t>Smagu un sevišķi smagu noziegumu skaits uz 100 000 iedzīvotāju</w:t>
            </w:r>
            <w:bookmarkEnd w:id="25"/>
            <w:r w:rsidR="00704033" w:rsidRPr="00B60ED2">
              <w:rPr>
                <w:rStyle w:val="FootnoteReference"/>
                <w:rFonts w:ascii="Times New Roman" w:hAnsi="Times New Roman" w:cs="Times New Roman"/>
                <w:sz w:val="22"/>
              </w:rPr>
              <w:footnoteReference w:id="12"/>
            </w:r>
          </w:p>
        </w:tc>
        <w:tc>
          <w:tcPr>
            <w:tcW w:w="1228" w:type="dxa"/>
            <w:vAlign w:val="center"/>
          </w:tcPr>
          <w:p w14:paraId="080FEE70" w14:textId="34DB337E"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sz w:val="22"/>
                <w:szCs w:val="22"/>
              </w:rPr>
              <w:t>479</w:t>
            </w:r>
          </w:p>
        </w:tc>
        <w:tc>
          <w:tcPr>
            <w:tcW w:w="1229" w:type="dxa"/>
            <w:vAlign w:val="center"/>
          </w:tcPr>
          <w:p w14:paraId="41C69C13" w14:textId="65903E11"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460</w:t>
            </w:r>
            <w:r w:rsidR="00CB0C24">
              <w:rPr>
                <w:rFonts w:ascii="Times New Roman" w:hAnsi="Times New Roman" w:cs="Times New Roman"/>
                <w:sz w:val="22"/>
                <w:szCs w:val="22"/>
              </w:rPr>
              <w:t>/</w:t>
            </w:r>
            <w:r w:rsidR="00EF4220">
              <w:rPr>
                <w:rFonts w:ascii="Times New Roman" w:hAnsi="Times New Roman" w:cs="Times New Roman"/>
                <w:sz w:val="22"/>
                <w:szCs w:val="22"/>
              </w:rPr>
              <w:t>453</w:t>
            </w:r>
          </w:p>
        </w:tc>
        <w:tc>
          <w:tcPr>
            <w:tcW w:w="1229" w:type="dxa"/>
            <w:vAlign w:val="center"/>
          </w:tcPr>
          <w:p w14:paraId="7B5E554C" w14:textId="701C3431"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452</w:t>
            </w:r>
          </w:p>
        </w:tc>
        <w:tc>
          <w:tcPr>
            <w:tcW w:w="1229" w:type="dxa"/>
            <w:vAlign w:val="center"/>
          </w:tcPr>
          <w:p w14:paraId="6CFB40FD" w14:textId="7F9AC723"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444</w:t>
            </w:r>
          </w:p>
        </w:tc>
        <w:tc>
          <w:tcPr>
            <w:tcW w:w="1229" w:type="dxa"/>
            <w:vAlign w:val="center"/>
          </w:tcPr>
          <w:p w14:paraId="7DF917D4" w14:textId="18C3DCAB"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436</w:t>
            </w:r>
          </w:p>
        </w:tc>
        <w:tc>
          <w:tcPr>
            <w:tcW w:w="1229" w:type="dxa"/>
            <w:vAlign w:val="center"/>
          </w:tcPr>
          <w:p w14:paraId="58140BD6" w14:textId="0B561CB2"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428</w:t>
            </w:r>
          </w:p>
        </w:tc>
      </w:tr>
      <w:tr w:rsidR="004B129E" w:rsidRPr="00B60ED2" w14:paraId="7D20A040" w14:textId="77777777" w:rsidTr="00897407">
        <w:trPr>
          <w:trHeight w:val="373"/>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50658E74" w14:textId="77777777" w:rsidR="004B129E" w:rsidRPr="00B60ED2" w:rsidRDefault="004B129E" w:rsidP="004B129E">
            <w:pPr>
              <w:rPr>
                <w:rFonts w:ascii="Times New Roman" w:hAnsi="Times New Roman" w:cs="Times New Roman"/>
                <w:iCs/>
                <w:sz w:val="22"/>
                <w:lang w:eastAsia="lv-LV"/>
              </w:rPr>
            </w:pPr>
            <w:r w:rsidRPr="00B60ED2">
              <w:rPr>
                <w:rFonts w:ascii="Times New Roman" w:hAnsi="Times New Roman" w:cs="Times New Roman"/>
                <w:b w:val="0"/>
                <w:iCs/>
                <w:sz w:val="22"/>
                <w:lang w:eastAsia="lv-LV"/>
              </w:rPr>
              <w:t>Iesaistītās iestādes</w:t>
            </w:r>
          </w:p>
        </w:tc>
        <w:tc>
          <w:tcPr>
            <w:tcW w:w="12833" w:type="dxa"/>
            <w:gridSpan w:val="7"/>
            <w:vAlign w:val="center"/>
          </w:tcPr>
          <w:p w14:paraId="6316CF6E" w14:textId="663AFEF9" w:rsidR="004B129E" w:rsidRPr="00B60ED2" w:rsidRDefault="004B129E" w:rsidP="004B12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b/>
                <w:iCs/>
                <w:sz w:val="22"/>
                <w:lang w:eastAsia="lv-LV"/>
              </w:rPr>
              <w:t xml:space="preserve">Valsts policija, Iekšējās drošības birojs, Valsts robežsardze </w:t>
            </w:r>
          </w:p>
        </w:tc>
      </w:tr>
    </w:tbl>
    <w:p w14:paraId="24878680" w14:textId="77777777" w:rsidR="00947AAF" w:rsidRPr="00B60ED2" w:rsidRDefault="00947AAF" w:rsidP="00165ADA">
      <w:pPr>
        <w:rPr>
          <w:rFonts w:ascii="Times New Roman" w:hAnsi="Times New Roman" w:cs="Times New Roman"/>
          <w:iCs/>
          <w:lang w:eastAsia="lv-LV"/>
        </w:rPr>
      </w:pPr>
    </w:p>
    <w:p w14:paraId="7F69C6AE"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Darba kvalitātes uzlabošana notikuma vietā.</w:t>
      </w:r>
    </w:p>
    <w:p w14:paraId="17F7FEF2" w14:textId="22EF24A1"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29A10474" w14:textId="16BE6638" w:rsidR="00165ADA" w:rsidRPr="00B60ED2" w:rsidRDefault="00956BB5" w:rsidP="007312FB">
      <w:pPr>
        <w:pStyle w:val="ListParagraph"/>
        <w:numPr>
          <w:ilvl w:val="0"/>
          <w:numId w:val="1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Izstrādāt vienotu metodoloģiju </w:t>
      </w:r>
      <w:r w:rsidR="00165ADA" w:rsidRPr="00B60ED2">
        <w:rPr>
          <w:rFonts w:ascii="Times New Roman" w:hAnsi="Times New Roman" w:cs="Times New Roman"/>
          <w:sz w:val="24"/>
          <w:szCs w:val="24"/>
          <w:lang w:eastAsia="lv-LV"/>
        </w:rPr>
        <w:t>reaģējošā policista darbam notikuma vietā. (</w:t>
      </w:r>
      <w:r w:rsidR="00165ADA" w:rsidRPr="00B60ED2">
        <w:rPr>
          <w:rFonts w:ascii="Times New Roman" w:hAnsi="Times New Roman" w:cs="Times New Roman"/>
          <w:b/>
          <w:sz w:val="24"/>
          <w:szCs w:val="24"/>
          <w:lang w:eastAsia="lv-LV"/>
        </w:rPr>
        <w:t>VP</w:t>
      </w:r>
      <w:r w:rsidR="00165ADA" w:rsidRPr="00B60ED2">
        <w:rPr>
          <w:rFonts w:ascii="Times New Roman" w:hAnsi="Times New Roman" w:cs="Times New Roman"/>
          <w:sz w:val="24"/>
          <w:szCs w:val="24"/>
          <w:lang w:eastAsia="lv-LV"/>
        </w:rPr>
        <w:t>)</w:t>
      </w:r>
    </w:p>
    <w:p w14:paraId="7F7A3ADA" w14:textId="4D9E0491" w:rsidR="00EA3CED" w:rsidRPr="00B60ED2" w:rsidRDefault="009D4D7C" w:rsidP="007312FB">
      <w:pPr>
        <w:pStyle w:val="ListParagraph"/>
        <w:numPr>
          <w:ilvl w:val="0"/>
          <w:numId w:val="1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Identificēt būtiskākās kļūdas pierādījumu iegūšanā, kas praksē tiek pieļautas</w:t>
      </w:r>
      <w:r w:rsidR="00736CC6"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w:t>
      </w:r>
      <w:r w:rsidR="001670FF">
        <w:rPr>
          <w:rFonts w:ascii="Times New Roman" w:hAnsi="Times New Roman" w:cs="Times New Roman"/>
          <w:sz w:val="24"/>
          <w:szCs w:val="24"/>
          <w:lang w:eastAsia="lv-LV"/>
        </w:rPr>
        <w:t>t.sk. vērtējot noziedzības tendences un tās izmaiņas,</w:t>
      </w:r>
      <w:r w:rsidR="001670FF" w:rsidRPr="009D4D7C">
        <w:rPr>
          <w:rFonts w:ascii="Times New Roman" w:hAnsi="Times New Roman" w:cs="Times New Roman"/>
          <w:sz w:val="24"/>
          <w:szCs w:val="24"/>
          <w:lang w:eastAsia="lv-LV"/>
        </w:rPr>
        <w:t xml:space="preserve"> </w:t>
      </w:r>
      <w:r w:rsidR="001670FF">
        <w:rPr>
          <w:rFonts w:ascii="Times New Roman" w:hAnsi="Times New Roman" w:cs="Times New Roman"/>
          <w:sz w:val="24"/>
          <w:szCs w:val="24"/>
          <w:lang w:eastAsia="lv-LV"/>
        </w:rPr>
        <w:t xml:space="preserve"> </w:t>
      </w:r>
      <w:r w:rsidRPr="00B60ED2">
        <w:rPr>
          <w:rFonts w:ascii="Times New Roman" w:hAnsi="Times New Roman" w:cs="Times New Roman"/>
          <w:sz w:val="24"/>
          <w:szCs w:val="24"/>
          <w:lang w:eastAsia="lv-LV"/>
        </w:rPr>
        <w:t>strādājot nozieguma vietā un veicot sākotnējās un neatliekamās izmeklēšanas darbības. Balstoties uz identificētajām problēmām, veikt procesuāli pilnvaroto amatpersonu profesionālās pilnveides apmācības par sākotnējo un neatliekamo procesuālo darbību veikšanu nozieguma vietā un to nozīmi efektīv</w:t>
      </w:r>
      <w:r w:rsidR="00EA6148" w:rsidRPr="00B60ED2">
        <w:rPr>
          <w:rFonts w:ascii="Times New Roman" w:hAnsi="Times New Roman" w:cs="Times New Roman"/>
          <w:sz w:val="24"/>
          <w:szCs w:val="24"/>
          <w:lang w:eastAsia="lv-LV"/>
        </w:rPr>
        <w:t>as izmeklēšanas nodrošināšanai. (</w:t>
      </w:r>
      <w:r w:rsidR="00EA6148" w:rsidRPr="00B60ED2">
        <w:rPr>
          <w:rFonts w:ascii="Times New Roman" w:hAnsi="Times New Roman" w:cs="Times New Roman"/>
          <w:b/>
          <w:sz w:val="24"/>
          <w:szCs w:val="24"/>
          <w:lang w:eastAsia="lv-LV"/>
        </w:rPr>
        <w:t>VP</w:t>
      </w:r>
      <w:r w:rsidR="007758F5" w:rsidRPr="00B60ED2">
        <w:rPr>
          <w:rFonts w:ascii="Times New Roman" w:hAnsi="Times New Roman" w:cs="Times New Roman"/>
          <w:b/>
          <w:sz w:val="24"/>
          <w:szCs w:val="24"/>
          <w:lang w:eastAsia="lv-LV"/>
        </w:rPr>
        <w:t xml:space="preserve">, </w:t>
      </w:r>
      <w:r w:rsidR="00E9310F" w:rsidRPr="00B60ED2">
        <w:rPr>
          <w:rFonts w:ascii="Times New Roman" w:hAnsi="Times New Roman" w:cs="Times New Roman"/>
          <w:b/>
          <w:sz w:val="24"/>
          <w:szCs w:val="24"/>
          <w:lang w:eastAsia="lv-LV"/>
        </w:rPr>
        <w:t>IDB</w:t>
      </w:r>
      <w:r w:rsidR="008E784E" w:rsidRPr="00B60ED2">
        <w:rPr>
          <w:rFonts w:ascii="Times New Roman" w:hAnsi="Times New Roman" w:cs="Times New Roman"/>
          <w:b/>
          <w:sz w:val="24"/>
          <w:szCs w:val="24"/>
          <w:lang w:eastAsia="lv-LV"/>
        </w:rPr>
        <w:t>,</w:t>
      </w:r>
      <w:r w:rsidR="008E784E" w:rsidRPr="00B60ED2">
        <w:rPr>
          <w:rFonts w:ascii="Times New Roman" w:hAnsi="Times New Roman" w:cs="Times New Roman"/>
          <w:sz w:val="24"/>
          <w:szCs w:val="24"/>
          <w:lang w:eastAsia="lv-LV"/>
        </w:rPr>
        <w:t xml:space="preserve"> NVA</w:t>
      </w:r>
      <w:r w:rsidR="00EA6148" w:rsidRPr="00B60ED2">
        <w:rPr>
          <w:rFonts w:ascii="Times New Roman" w:hAnsi="Times New Roman" w:cs="Times New Roman"/>
          <w:sz w:val="24"/>
          <w:szCs w:val="24"/>
          <w:lang w:eastAsia="lv-LV"/>
        </w:rPr>
        <w:t>)</w:t>
      </w:r>
    </w:p>
    <w:p w14:paraId="51DF16D1" w14:textId="37E4EEC1" w:rsidR="00165ADA" w:rsidRPr="007205C4" w:rsidRDefault="00165ADA" w:rsidP="00165ADA">
      <w:pPr>
        <w:pStyle w:val="ListParagraph"/>
        <w:numPr>
          <w:ilvl w:val="0"/>
          <w:numId w:val="1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lastRenderedPageBreak/>
        <w:t xml:space="preserve">Veikt notikumu vietā pieaicināto ekspertu profesionālās pilnveides apmācības par  lietisko pierādījumu atrašanu, fiksēšanu un izņemšanu atbilstoši metodikai un jaunākajām kriminālistikas </w:t>
      </w:r>
      <w:r w:rsidR="009D4D7C" w:rsidRPr="00B60ED2">
        <w:rPr>
          <w:rFonts w:ascii="Times New Roman" w:hAnsi="Times New Roman" w:cs="Times New Roman"/>
          <w:sz w:val="24"/>
          <w:szCs w:val="24"/>
          <w:lang w:eastAsia="lv-LV"/>
        </w:rPr>
        <w:t xml:space="preserve">attīstības </w:t>
      </w:r>
      <w:r w:rsidRPr="00B60ED2">
        <w:rPr>
          <w:rFonts w:ascii="Times New Roman" w:hAnsi="Times New Roman" w:cs="Times New Roman"/>
          <w:sz w:val="24"/>
          <w:szCs w:val="24"/>
          <w:lang w:eastAsia="lv-LV"/>
        </w:rPr>
        <w:t>tendencēm.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w:t>
      </w:r>
    </w:p>
    <w:p w14:paraId="4612F85A" w14:textId="77777777" w:rsidR="00165ADA" w:rsidRPr="00B60ED2" w:rsidRDefault="00165ADA" w:rsidP="00165ADA">
      <w:pPr>
        <w:rPr>
          <w:rFonts w:ascii="Times New Roman" w:hAnsi="Times New Roman" w:cs="Times New Roman"/>
        </w:rPr>
      </w:pPr>
    </w:p>
    <w:p w14:paraId="60CE762D"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Pirmstiesas izmeklēšanā un analītiskajā darbā iesaistīto amatpersonu zināšanu un prasmju palielināšana.</w:t>
      </w:r>
    </w:p>
    <w:p w14:paraId="6B98823F" w14:textId="3D331572"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09D8F165" w14:textId="2BEB5A91" w:rsidR="009501A1" w:rsidRPr="00B60ED2" w:rsidRDefault="009501A1" w:rsidP="002D51E0">
      <w:pPr>
        <w:pStyle w:val="ListParagraph"/>
        <w:numPr>
          <w:ilvl w:val="0"/>
          <w:numId w:val="12"/>
        </w:numPr>
        <w:spacing w:line="240" w:lineRule="auto"/>
        <w:jc w:val="both"/>
        <w:rPr>
          <w:rFonts w:ascii="Times New Roman" w:hAnsi="Times New Roman" w:cs="Times New Roman"/>
          <w:sz w:val="24"/>
          <w:szCs w:val="24"/>
        </w:rPr>
      </w:pPr>
      <w:r w:rsidRPr="00B60ED2">
        <w:rPr>
          <w:rFonts w:ascii="Times New Roman" w:hAnsi="Times New Roman" w:cs="Times New Roman"/>
          <w:sz w:val="24"/>
          <w:szCs w:val="24"/>
        </w:rPr>
        <w:t>Veikt izvērtējumus par šādām tēmām (</w:t>
      </w:r>
      <w:r w:rsidRPr="00B60ED2">
        <w:rPr>
          <w:rFonts w:ascii="Times New Roman" w:hAnsi="Times New Roman" w:cs="Times New Roman"/>
          <w:b/>
          <w:sz w:val="24"/>
          <w:szCs w:val="24"/>
        </w:rPr>
        <w:t>VP, IDB, VRS</w:t>
      </w:r>
      <w:r w:rsidRPr="00B60ED2">
        <w:rPr>
          <w:rFonts w:ascii="Times New Roman" w:hAnsi="Times New Roman" w:cs="Times New Roman"/>
          <w:sz w:val="24"/>
          <w:szCs w:val="24"/>
        </w:rPr>
        <w:t xml:space="preserve">): </w:t>
      </w:r>
    </w:p>
    <w:p w14:paraId="19EE52E9" w14:textId="3648FB14" w:rsidR="009501A1" w:rsidRPr="00B60ED2" w:rsidRDefault="000F47C1" w:rsidP="009501A1">
      <w:pPr>
        <w:pStyle w:val="ListParagraph"/>
        <w:numPr>
          <w:ilvl w:val="1"/>
          <w:numId w:val="12"/>
        </w:numPr>
        <w:spacing w:line="240" w:lineRule="auto"/>
        <w:jc w:val="both"/>
        <w:rPr>
          <w:rFonts w:ascii="Times New Roman" w:hAnsi="Times New Roman" w:cs="Times New Roman"/>
          <w:sz w:val="24"/>
          <w:szCs w:val="24"/>
        </w:rPr>
      </w:pPr>
      <w:r w:rsidRPr="00B60ED2">
        <w:rPr>
          <w:rFonts w:ascii="Times New Roman" w:hAnsi="Times New Roman" w:cs="Times New Roman"/>
          <w:sz w:val="24"/>
          <w:szCs w:val="24"/>
        </w:rPr>
        <w:t>izmeklēšanas turpināšanai saņemto kriminālprocesu iemesli</w:t>
      </w:r>
      <w:r w:rsidR="009501A1" w:rsidRPr="00B60ED2">
        <w:rPr>
          <w:rFonts w:ascii="Times New Roman" w:hAnsi="Times New Roman" w:cs="Times New Roman"/>
          <w:sz w:val="24"/>
          <w:szCs w:val="24"/>
        </w:rPr>
        <w:t xml:space="preserve">; </w:t>
      </w:r>
    </w:p>
    <w:p w14:paraId="43D2BBBC" w14:textId="77777777" w:rsidR="000B6C55" w:rsidRPr="00B60ED2" w:rsidRDefault="000F47C1" w:rsidP="000B6C55">
      <w:pPr>
        <w:pStyle w:val="ListParagraph"/>
        <w:numPr>
          <w:ilvl w:val="1"/>
          <w:numId w:val="12"/>
        </w:numPr>
        <w:spacing w:line="240" w:lineRule="auto"/>
        <w:jc w:val="both"/>
        <w:rPr>
          <w:rFonts w:ascii="Times New Roman" w:hAnsi="Times New Roman" w:cs="Times New Roman"/>
          <w:sz w:val="24"/>
          <w:szCs w:val="24"/>
        </w:rPr>
      </w:pPr>
      <w:r w:rsidRPr="00B60ED2">
        <w:rPr>
          <w:rFonts w:ascii="Times New Roman" w:hAnsi="Times New Roman" w:cs="Times New Roman"/>
          <w:sz w:val="24"/>
          <w:szCs w:val="24"/>
        </w:rPr>
        <w:t>prokuratūrā izbeigto kriminālprocesu iemesli un pamatojums</w:t>
      </w:r>
      <w:r w:rsidR="009501A1" w:rsidRPr="00B60ED2">
        <w:rPr>
          <w:rFonts w:ascii="Times New Roman" w:hAnsi="Times New Roman" w:cs="Times New Roman"/>
          <w:sz w:val="24"/>
          <w:szCs w:val="24"/>
        </w:rPr>
        <w:t>;</w:t>
      </w:r>
      <w:r w:rsidR="002D51E0" w:rsidRPr="00B60ED2">
        <w:rPr>
          <w:rFonts w:ascii="Times New Roman" w:hAnsi="Times New Roman" w:cs="Times New Roman"/>
          <w:sz w:val="24"/>
          <w:szCs w:val="24"/>
        </w:rPr>
        <w:t xml:space="preserve"> </w:t>
      </w:r>
    </w:p>
    <w:p w14:paraId="47CD97AF" w14:textId="77777777" w:rsidR="00342409" w:rsidRPr="00B60ED2" w:rsidRDefault="000F47C1" w:rsidP="009501A1">
      <w:pPr>
        <w:pStyle w:val="ListParagraph"/>
        <w:numPr>
          <w:ilvl w:val="1"/>
          <w:numId w:val="12"/>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pirmstiesas izmeklēšanai atjaunoto kriminālprocesu iemesli un pamatojums;</w:t>
      </w:r>
    </w:p>
    <w:p w14:paraId="57E36108" w14:textId="65FB5458" w:rsidR="00165ADA" w:rsidRPr="00B60ED2" w:rsidRDefault="00165ADA" w:rsidP="009501A1">
      <w:pPr>
        <w:pStyle w:val="ListParagraph"/>
        <w:numPr>
          <w:ilvl w:val="1"/>
          <w:numId w:val="12"/>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procesa virzītājiem</w:t>
      </w:r>
      <w:r w:rsidR="005C4153" w:rsidRPr="00B60ED2">
        <w:rPr>
          <w:rFonts w:ascii="Times New Roman" w:hAnsi="Times New Roman" w:cs="Times New Roman"/>
          <w:sz w:val="24"/>
          <w:szCs w:val="24"/>
          <w:lang w:eastAsia="lv-LV"/>
        </w:rPr>
        <w:t xml:space="preserve"> un izmeklēšanas funkcijas veicošā personāla</w:t>
      </w:r>
      <w:r w:rsidR="00342409" w:rsidRPr="00B60ED2">
        <w:rPr>
          <w:rFonts w:ascii="Times New Roman" w:hAnsi="Times New Roman" w:cs="Times New Roman"/>
          <w:sz w:val="24"/>
          <w:szCs w:val="24"/>
          <w:lang w:eastAsia="lv-LV"/>
        </w:rPr>
        <w:t xml:space="preserve"> nepieciešamās prasmes un kompetences (tostarp kibernoziegumu atklāšanā, kriptovalūtu izmantošanā)</w:t>
      </w:r>
      <w:r w:rsidR="009501A1" w:rsidRPr="00B60ED2">
        <w:rPr>
          <w:rFonts w:ascii="Times New Roman" w:hAnsi="Times New Roman" w:cs="Times New Roman"/>
          <w:sz w:val="24"/>
          <w:szCs w:val="24"/>
          <w:lang w:eastAsia="lv-LV"/>
        </w:rPr>
        <w:t>;</w:t>
      </w:r>
    </w:p>
    <w:p w14:paraId="07128DED" w14:textId="0008FE3B" w:rsidR="009501A1" w:rsidRPr="00B60ED2" w:rsidRDefault="009501A1" w:rsidP="009501A1">
      <w:pPr>
        <w:pStyle w:val="ListParagraph"/>
        <w:numPr>
          <w:ilvl w:val="1"/>
          <w:numId w:val="12"/>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nepieciešamajām apmācību jomām un formātiem</w:t>
      </w:r>
      <w:r w:rsidR="00165ADA" w:rsidRPr="00B60ED2">
        <w:rPr>
          <w:rFonts w:ascii="Times New Roman" w:hAnsi="Times New Roman" w:cs="Times New Roman"/>
          <w:sz w:val="24"/>
          <w:szCs w:val="24"/>
          <w:lang w:eastAsia="lv-LV"/>
        </w:rPr>
        <w:t xml:space="preserve"> analītiskajā darbā</w:t>
      </w:r>
      <w:r w:rsidRPr="00B60ED2">
        <w:rPr>
          <w:rFonts w:ascii="Times New Roman" w:hAnsi="Times New Roman" w:cs="Times New Roman"/>
          <w:sz w:val="24"/>
          <w:szCs w:val="24"/>
          <w:lang w:eastAsia="lv-LV"/>
        </w:rPr>
        <w:t xml:space="preserve"> nacionālā un starptautiskā līmenī.</w:t>
      </w:r>
    </w:p>
    <w:p w14:paraId="46C7F82F" w14:textId="384390B4" w:rsidR="00165ADA" w:rsidRPr="00B60ED2" w:rsidRDefault="00165ADA" w:rsidP="007312FB">
      <w:pPr>
        <w:pStyle w:val="ListParagraph"/>
        <w:numPr>
          <w:ilvl w:val="0"/>
          <w:numId w:val="12"/>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Atbilstoši izvērtējumiem ieviest mācību un profesionālās pilnveides risinājumus</w:t>
      </w:r>
      <w:r w:rsidR="009501A1" w:rsidRPr="00B60ED2">
        <w:rPr>
          <w:rFonts w:ascii="Times New Roman" w:hAnsi="Times New Roman" w:cs="Times New Roman"/>
          <w:sz w:val="24"/>
          <w:szCs w:val="24"/>
          <w:lang w:eastAsia="lv-LV"/>
        </w:rPr>
        <w:t xml:space="preserve"> un uzsākt to īstenošanu</w:t>
      </w:r>
      <w:r w:rsidRPr="00B60ED2">
        <w:rPr>
          <w:rFonts w:ascii="Times New Roman" w:hAnsi="Times New Roman" w:cs="Times New Roman"/>
          <w:sz w:val="24"/>
          <w:szCs w:val="24"/>
          <w:lang w:eastAsia="lv-LV"/>
        </w:rPr>
        <w:t>. (</w:t>
      </w:r>
      <w:r w:rsidRPr="00B60ED2">
        <w:rPr>
          <w:rFonts w:ascii="Times New Roman" w:hAnsi="Times New Roman" w:cs="Times New Roman"/>
          <w:b/>
          <w:sz w:val="24"/>
          <w:szCs w:val="24"/>
          <w:lang w:eastAsia="lv-LV"/>
        </w:rPr>
        <w:t>VP</w:t>
      </w:r>
      <w:r w:rsidR="000B6C55" w:rsidRPr="00B60ED2">
        <w:rPr>
          <w:rFonts w:ascii="Times New Roman" w:hAnsi="Times New Roman" w:cs="Times New Roman"/>
          <w:b/>
          <w:sz w:val="24"/>
          <w:szCs w:val="24"/>
          <w:lang w:eastAsia="lv-LV"/>
        </w:rPr>
        <w:t>, IDB, VRS</w:t>
      </w:r>
      <w:r w:rsidRPr="00B60ED2">
        <w:rPr>
          <w:rFonts w:ascii="Times New Roman" w:hAnsi="Times New Roman" w:cs="Times New Roman"/>
          <w:sz w:val="24"/>
          <w:szCs w:val="24"/>
          <w:lang w:eastAsia="lv-LV"/>
        </w:rPr>
        <w:t>)</w:t>
      </w:r>
    </w:p>
    <w:p w14:paraId="00890396" w14:textId="77777777" w:rsidR="00165ADA" w:rsidRPr="00B60ED2" w:rsidRDefault="00165ADA" w:rsidP="00165ADA">
      <w:pPr>
        <w:rPr>
          <w:rFonts w:ascii="Times New Roman" w:hAnsi="Times New Roman" w:cs="Times New Roman"/>
          <w:iCs/>
          <w:lang w:eastAsia="lv-LV"/>
        </w:rPr>
      </w:pPr>
    </w:p>
    <w:p w14:paraId="235B432C"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Atkārtoti cietušo personu skaita samazināšana.</w:t>
      </w:r>
    </w:p>
    <w:p w14:paraId="7F2CB2DE" w14:textId="07E73396"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7F217FBA" w14:textId="736F0686" w:rsidR="009771EA" w:rsidRPr="00B60ED2" w:rsidRDefault="009771EA" w:rsidP="009771EA">
      <w:pPr>
        <w:pStyle w:val="ListParagraph"/>
        <w:numPr>
          <w:ilvl w:val="0"/>
          <w:numId w:val="4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Veikt izvērtējumu par atkārtotības fenomenu konkrētos nodarījumu veidos un izstrādāt tālākās preventīvās rīcības priekšlikumus, lai mazinātu šo nodarījumu latentumu.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w:t>
      </w:r>
    </w:p>
    <w:p w14:paraId="4997DEF3" w14:textId="0DE9884B" w:rsidR="006E6614" w:rsidRPr="00B60ED2" w:rsidRDefault="006E6614" w:rsidP="006E6614">
      <w:pPr>
        <w:pStyle w:val="ListParagraph"/>
        <w:numPr>
          <w:ilvl w:val="0"/>
          <w:numId w:val="4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Izstrādāt</w:t>
      </w:r>
      <w:r w:rsidR="009771EA" w:rsidRPr="00B60ED2">
        <w:rPr>
          <w:rFonts w:ascii="Times New Roman" w:hAnsi="Times New Roman" w:cs="Times New Roman"/>
          <w:sz w:val="24"/>
          <w:szCs w:val="24"/>
          <w:lang w:eastAsia="lv-LV"/>
        </w:rPr>
        <w:t xml:space="preserve"> vienotu rīcības metodiku</w:t>
      </w:r>
      <w:r w:rsidRPr="00B60ED2">
        <w:rPr>
          <w:rFonts w:ascii="Times New Roman" w:hAnsi="Times New Roman" w:cs="Times New Roman"/>
          <w:sz w:val="24"/>
          <w:szCs w:val="24"/>
          <w:lang w:eastAsia="lv-LV"/>
        </w:rPr>
        <w:t xml:space="preserve"> preventīvajā darbā atkārtotības risku novēršanai dažādos nodarījumu veidos</w:t>
      </w:r>
      <w:r w:rsidR="009771EA"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w:t>
      </w:r>
      <w:r w:rsidRPr="00B60ED2">
        <w:rPr>
          <w:rFonts w:ascii="Times New Roman" w:hAnsi="Times New Roman" w:cs="Times New Roman"/>
          <w:b/>
          <w:sz w:val="24"/>
          <w:szCs w:val="24"/>
          <w:lang w:eastAsia="lv-LV"/>
        </w:rPr>
        <w:t>(VP)</w:t>
      </w:r>
    </w:p>
    <w:p w14:paraId="531E66A8" w14:textId="6DE0F568" w:rsidR="009771EA" w:rsidRPr="00B60ED2" w:rsidRDefault="009771EA" w:rsidP="009771EA">
      <w:pPr>
        <w:pStyle w:val="ListParagraph"/>
        <w:numPr>
          <w:ilvl w:val="0"/>
          <w:numId w:val="4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Atbilstoši izvērtējumam un izstrādātajai metodikai ieviest mācību un profesionālās pilnveides risinājumus un uzsākt to īstenošanu.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w:t>
      </w:r>
    </w:p>
    <w:p w14:paraId="7FD10BD6" w14:textId="77777777" w:rsidR="00165ADA" w:rsidRPr="00B60ED2" w:rsidRDefault="00165ADA" w:rsidP="00165ADA">
      <w:pPr>
        <w:rPr>
          <w:rFonts w:ascii="Times New Roman" w:hAnsi="Times New Roman" w:cs="Times New Roman"/>
        </w:rPr>
      </w:pPr>
    </w:p>
    <w:p w14:paraId="11C00269"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26" w:name="_Hlk172634339"/>
      <w:bookmarkStart w:id="27" w:name="_Hlk169273393"/>
      <w:r w:rsidRPr="00B60ED2">
        <w:rPr>
          <w:rFonts w:ascii="Times New Roman" w:eastAsia="+mn-ea" w:hAnsi="Times New Roman" w:cs="Times New Roman"/>
          <w:b/>
          <w:bCs/>
          <w:color w:val="767171" w:themeColor="background2" w:themeShade="80"/>
          <w:kern w:val="24"/>
          <w:sz w:val="28"/>
          <w:szCs w:val="28"/>
          <w:lang w:eastAsia="lv-LV"/>
        </w:rPr>
        <w:t>Rīcības virziens: Likvidēto noziedzīgo grupu skaita palielināšana.</w:t>
      </w:r>
    </w:p>
    <w:p w14:paraId="0E293EC1" w14:textId="1DA8F98F"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bookmarkEnd w:id="26"/>
    <w:p w14:paraId="0E6D2962" w14:textId="77777777" w:rsidR="009353D2" w:rsidRPr="00B60ED2" w:rsidRDefault="00165ADA" w:rsidP="007312FB">
      <w:pPr>
        <w:pStyle w:val="ListParagraph"/>
        <w:numPr>
          <w:ilvl w:val="0"/>
          <w:numId w:val="14"/>
        </w:numPr>
        <w:spacing w:after="160" w:line="259" w:lineRule="auto"/>
        <w:jc w:val="both"/>
        <w:rPr>
          <w:rFonts w:ascii="Times New Roman" w:hAnsi="Times New Roman" w:cs="Times New Roman"/>
          <w:b/>
          <w:sz w:val="24"/>
          <w:szCs w:val="24"/>
        </w:rPr>
      </w:pPr>
      <w:r w:rsidRPr="00B60ED2">
        <w:rPr>
          <w:rFonts w:ascii="Times New Roman" w:hAnsi="Times New Roman" w:cs="Times New Roman"/>
          <w:sz w:val="24"/>
          <w:szCs w:val="24"/>
        </w:rPr>
        <w:t>Identificēt augsta riska noziedzīgos tīklus (</w:t>
      </w:r>
      <w:proofErr w:type="spellStart"/>
      <w:r w:rsidRPr="00B60ED2">
        <w:rPr>
          <w:rFonts w:ascii="Times New Roman" w:hAnsi="Times New Roman" w:cs="Times New Roman"/>
          <w:i/>
          <w:sz w:val="24"/>
          <w:szCs w:val="24"/>
        </w:rPr>
        <w:t>High</w:t>
      </w:r>
      <w:proofErr w:type="spellEnd"/>
      <w:r w:rsidRPr="00B60ED2">
        <w:rPr>
          <w:rFonts w:ascii="Times New Roman" w:hAnsi="Times New Roman" w:cs="Times New Roman"/>
          <w:i/>
          <w:sz w:val="24"/>
          <w:szCs w:val="24"/>
        </w:rPr>
        <w:t xml:space="preserve"> </w:t>
      </w:r>
      <w:proofErr w:type="spellStart"/>
      <w:r w:rsidRPr="00B60ED2">
        <w:rPr>
          <w:rFonts w:ascii="Times New Roman" w:hAnsi="Times New Roman" w:cs="Times New Roman"/>
          <w:i/>
          <w:sz w:val="24"/>
          <w:szCs w:val="24"/>
        </w:rPr>
        <w:t>Risk</w:t>
      </w:r>
      <w:proofErr w:type="spellEnd"/>
      <w:r w:rsidRPr="00B60ED2">
        <w:rPr>
          <w:rFonts w:ascii="Times New Roman" w:hAnsi="Times New Roman" w:cs="Times New Roman"/>
          <w:i/>
          <w:sz w:val="24"/>
          <w:szCs w:val="24"/>
        </w:rPr>
        <w:t xml:space="preserve"> </w:t>
      </w:r>
      <w:proofErr w:type="spellStart"/>
      <w:r w:rsidRPr="00B60ED2">
        <w:rPr>
          <w:rFonts w:ascii="Times New Roman" w:hAnsi="Times New Roman" w:cs="Times New Roman"/>
          <w:i/>
          <w:sz w:val="24"/>
          <w:szCs w:val="24"/>
        </w:rPr>
        <w:t>Criminal</w:t>
      </w:r>
      <w:proofErr w:type="spellEnd"/>
      <w:r w:rsidRPr="00B60ED2">
        <w:rPr>
          <w:rFonts w:ascii="Times New Roman" w:hAnsi="Times New Roman" w:cs="Times New Roman"/>
          <w:i/>
          <w:sz w:val="24"/>
          <w:szCs w:val="24"/>
        </w:rPr>
        <w:t xml:space="preserve"> </w:t>
      </w:r>
      <w:proofErr w:type="spellStart"/>
      <w:r w:rsidRPr="00B60ED2">
        <w:rPr>
          <w:rFonts w:ascii="Times New Roman" w:hAnsi="Times New Roman" w:cs="Times New Roman"/>
          <w:i/>
          <w:sz w:val="24"/>
          <w:szCs w:val="24"/>
        </w:rPr>
        <w:t>Networks</w:t>
      </w:r>
      <w:proofErr w:type="spellEnd"/>
      <w:r w:rsidRPr="00B60ED2">
        <w:rPr>
          <w:rFonts w:ascii="Times New Roman" w:hAnsi="Times New Roman" w:cs="Times New Roman"/>
          <w:sz w:val="24"/>
          <w:szCs w:val="24"/>
        </w:rPr>
        <w:t xml:space="preserve">) un pārtraukt to darbību. </w:t>
      </w:r>
      <w:r w:rsidRPr="00B60ED2">
        <w:rPr>
          <w:rFonts w:ascii="Times New Roman" w:hAnsi="Times New Roman" w:cs="Times New Roman"/>
          <w:b/>
          <w:sz w:val="24"/>
          <w:szCs w:val="24"/>
        </w:rPr>
        <w:t>(VP)</w:t>
      </w:r>
      <w:r w:rsidR="009353D2" w:rsidRPr="00B60ED2" w:rsidDel="000F47C1">
        <w:rPr>
          <w:rFonts w:ascii="Times New Roman" w:hAnsi="Times New Roman" w:cs="Times New Roman"/>
          <w:sz w:val="24"/>
          <w:szCs w:val="24"/>
        </w:rPr>
        <w:t xml:space="preserve"> </w:t>
      </w:r>
    </w:p>
    <w:p w14:paraId="783B80B6" w14:textId="456CAE1B" w:rsidR="00165ADA" w:rsidRPr="00B60ED2" w:rsidRDefault="00097389" w:rsidP="00C21BA0">
      <w:pPr>
        <w:pStyle w:val="ListParagraph"/>
        <w:numPr>
          <w:ilvl w:val="0"/>
          <w:numId w:val="14"/>
        </w:numPr>
        <w:spacing w:after="160" w:line="259" w:lineRule="auto"/>
        <w:jc w:val="both"/>
        <w:rPr>
          <w:rFonts w:ascii="Times New Roman" w:hAnsi="Times New Roman" w:cs="Times New Roman"/>
          <w:b/>
          <w:sz w:val="24"/>
          <w:szCs w:val="24"/>
        </w:rPr>
      </w:pPr>
      <w:bookmarkStart w:id="28" w:name="_Hlk172634223"/>
      <w:r w:rsidRPr="00B60ED2">
        <w:rPr>
          <w:rFonts w:ascii="Times New Roman" w:hAnsi="Times New Roman" w:cs="Times New Roman"/>
          <w:sz w:val="24"/>
          <w:szCs w:val="24"/>
        </w:rPr>
        <w:t>S</w:t>
      </w:r>
      <w:r w:rsidR="00C21BA0" w:rsidRPr="00B60ED2">
        <w:rPr>
          <w:rFonts w:ascii="Times New Roman" w:hAnsi="Times New Roman" w:cs="Times New Roman"/>
          <w:sz w:val="24"/>
          <w:szCs w:val="24"/>
        </w:rPr>
        <w:t>askaņot Eiropas Savienības</w:t>
      </w:r>
      <w:r w:rsidRPr="00B60ED2">
        <w:rPr>
          <w:rFonts w:ascii="Times New Roman" w:hAnsi="Times New Roman" w:cs="Times New Roman"/>
          <w:sz w:val="24"/>
          <w:szCs w:val="24"/>
        </w:rPr>
        <w:t xml:space="preserve"> līmeņa politiku un stratēģiju </w:t>
      </w:r>
      <w:r w:rsidR="00C21BA0" w:rsidRPr="00B60ED2">
        <w:rPr>
          <w:rFonts w:ascii="Times New Roman" w:hAnsi="Times New Roman" w:cs="Times New Roman"/>
          <w:sz w:val="24"/>
          <w:szCs w:val="24"/>
        </w:rPr>
        <w:t>Eiropas daudznozaru platformu pret noziedzības apdraudējumiem (</w:t>
      </w:r>
      <w:r w:rsidRPr="00B60ED2">
        <w:rPr>
          <w:rFonts w:ascii="Times New Roman" w:hAnsi="Times New Roman" w:cs="Times New Roman"/>
          <w:sz w:val="24"/>
          <w:szCs w:val="24"/>
        </w:rPr>
        <w:t>EMPACT</w:t>
      </w:r>
      <w:r w:rsidR="00C21BA0" w:rsidRPr="00B60ED2">
        <w:rPr>
          <w:rFonts w:ascii="Times New Roman" w:hAnsi="Times New Roman" w:cs="Times New Roman"/>
          <w:sz w:val="24"/>
          <w:szCs w:val="24"/>
        </w:rPr>
        <w:t>)</w:t>
      </w:r>
      <w:r w:rsidRPr="00B60ED2">
        <w:rPr>
          <w:rFonts w:ascii="Times New Roman" w:hAnsi="Times New Roman" w:cs="Times New Roman"/>
          <w:sz w:val="24"/>
          <w:szCs w:val="24"/>
        </w:rPr>
        <w:t xml:space="preserve"> darbībā nacionālā līmenī, pabeidzot neatkarīgā novērtētāja rekomendāciju ieviešanu Eiropas Savienībā un nodrošinot prasību izpildi nacionālajā līmenī.</w:t>
      </w:r>
      <w:r w:rsidR="00165ADA" w:rsidRPr="00B60ED2">
        <w:rPr>
          <w:rFonts w:ascii="Times New Roman" w:hAnsi="Times New Roman" w:cs="Times New Roman"/>
          <w:sz w:val="24"/>
          <w:szCs w:val="24"/>
        </w:rPr>
        <w:t xml:space="preserve"> </w:t>
      </w:r>
      <w:r w:rsidR="00165ADA" w:rsidRPr="00B60ED2">
        <w:rPr>
          <w:rFonts w:ascii="Times New Roman" w:hAnsi="Times New Roman" w:cs="Times New Roman"/>
          <w:b/>
          <w:sz w:val="24"/>
          <w:szCs w:val="24"/>
        </w:rPr>
        <w:t xml:space="preserve">(IeM, </w:t>
      </w:r>
      <w:r w:rsidR="00165ADA" w:rsidRPr="00B60ED2">
        <w:rPr>
          <w:rFonts w:ascii="Times New Roman" w:hAnsi="Times New Roman" w:cs="Times New Roman"/>
          <w:sz w:val="24"/>
          <w:szCs w:val="24"/>
        </w:rPr>
        <w:t>VP</w:t>
      </w:r>
      <w:r w:rsidR="00165ADA" w:rsidRPr="00B60ED2">
        <w:rPr>
          <w:rFonts w:ascii="Times New Roman" w:hAnsi="Times New Roman" w:cs="Times New Roman"/>
          <w:b/>
          <w:sz w:val="24"/>
          <w:szCs w:val="24"/>
        </w:rPr>
        <w:t>)</w:t>
      </w:r>
    </w:p>
    <w:bookmarkEnd w:id="27"/>
    <w:bookmarkEnd w:id="28"/>
    <w:p w14:paraId="1DC5B490" w14:textId="467A8B77" w:rsidR="00165ADA" w:rsidRPr="00B60ED2" w:rsidRDefault="000F47C1" w:rsidP="00256EF1">
      <w:pPr>
        <w:pStyle w:val="ListParagraph"/>
        <w:numPr>
          <w:ilvl w:val="0"/>
          <w:numId w:val="14"/>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lastRenderedPageBreak/>
        <w:t xml:space="preserve">Noteikt noziedzīgo grupu likvidēšanu kā prioritāro virzienu </w:t>
      </w:r>
      <w:r w:rsidR="00256EF1" w:rsidRPr="00B60ED2">
        <w:rPr>
          <w:rFonts w:ascii="Times New Roman" w:hAnsi="Times New Roman" w:cs="Times New Roman"/>
          <w:sz w:val="24"/>
          <w:szCs w:val="24"/>
        </w:rPr>
        <w:t xml:space="preserve">Nacionālā kriminālizlūkošanas modeļa (NKIM) </w:t>
      </w:r>
      <w:r w:rsidRPr="00B60ED2">
        <w:rPr>
          <w:rFonts w:ascii="Times New Roman" w:hAnsi="Times New Roman" w:cs="Times New Roman"/>
          <w:sz w:val="24"/>
          <w:szCs w:val="24"/>
        </w:rPr>
        <w:t>ietvaros</w:t>
      </w:r>
      <w:r w:rsidR="009353D2" w:rsidRPr="00B60ED2">
        <w:rPr>
          <w:rFonts w:ascii="Times New Roman" w:hAnsi="Times New Roman" w:cs="Times New Roman"/>
          <w:sz w:val="24"/>
          <w:szCs w:val="24"/>
        </w:rPr>
        <w:t>, paredzot konkrētus uzdevumus tiesībaizsardzības iestādēm</w:t>
      </w:r>
      <w:r w:rsidRPr="00B60ED2">
        <w:rPr>
          <w:rFonts w:ascii="Times New Roman" w:hAnsi="Times New Roman" w:cs="Times New Roman"/>
          <w:sz w:val="24"/>
          <w:szCs w:val="24"/>
        </w:rPr>
        <w:t xml:space="preserve">. </w:t>
      </w:r>
      <w:r w:rsidR="009353D2" w:rsidRPr="00B60ED2">
        <w:rPr>
          <w:rFonts w:ascii="Times New Roman" w:hAnsi="Times New Roman" w:cs="Times New Roman"/>
          <w:b/>
          <w:sz w:val="24"/>
          <w:szCs w:val="24"/>
        </w:rPr>
        <w:t>(</w:t>
      </w:r>
      <w:r w:rsidR="00165ADA" w:rsidRPr="00B60ED2">
        <w:rPr>
          <w:rFonts w:ascii="Times New Roman" w:hAnsi="Times New Roman" w:cs="Times New Roman"/>
          <w:b/>
          <w:sz w:val="24"/>
          <w:szCs w:val="24"/>
        </w:rPr>
        <w:t>VP</w:t>
      </w:r>
      <w:r w:rsidR="00097389" w:rsidRPr="00B60ED2">
        <w:rPr>
          <w:rFonts w:ascii="Times New Roman" w:hAnsi="Times New Roman" w:cs="Times New Roman"/>
          <w:b/>
          <w:sz w:val="24"/>
          <w:szCs w:val="24"/>
        </w:rPr>
        <w:t xml:space="preserve">, </w:t>
      </w:r>
      <w:r w:rsidR="00097389" w:rsidRPr="00B60ED2">
        <w:rPr>
          <w:rFonts w:ascii="Times New Roman" w:hAnsi="Times New Roman" w:cs="Times New Roman"/>
          <w:sz w:val="24"/>
          <w:szCs w:val="24"/>
        </w:rPr>
        <w:t>IDB, VRS</w:t>
      </w:r>
      <w:r w:rsidR="00165ADA" w:rsidRPr="00B60ED2">
        <w:rPr>
          <w:rFonts w:ascii="Times New Roman" w:hAnsi="Times New Roman" w:cs="Times New Roman"/>
          <w:b/>
          <w:sz w:val="24"/>
          <w:szCs w:val="24"/>
        </w:rPr>
        <w:t>)</w:t>
      </w:r>
    </w:p>
    <w:p w14:paraId="44ACC843" w14:textId="77777777" w:rsidR="00165ADA" w:rsidRPr="00B60ED2" w:rsidRDefault="00165ADA" w:rsidP="00774BFB">
      <w:pPr>
        <w:spacing w:line="240" w:lineRule="auto"/>
        <w:jc w:val="both"/>
        <w:rPr>
          <w:rFonts w:ascii="Times New Roman" w:eastAsia="+mn-ea" w:hAnsi="Times New Roman" w:cs="Times New Roman"/>
          <w:b/>
          <w:bCs/>
          <w:color w:val="767171" w:themeColor="background2" w:themeShade="80"/>
          <w:kern w:val="24"/>
          <w:sz w:val="32"/>
          <w:szCs w:val="32"/>
          <w:lang w:eastAsia="lv-LV"/>
        </w:rPr>
      </w:pPr>
    </w:p>
    <w:p w14:paraId="338B84E9"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Sērijveida noziegumos cietušo skaita samazināšana.</w:t>
      </w:r>
    </w:p>
    <w:p w14:paraId="0A76BEEE" w14:textId="67A60B57"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0887739A" w14:textId="76A09041" w:rsidR="00165ADA" w:rsidRPr="00B60ED2" w:rsidRDefault="00165ADA" w:rsidP="007312FB">
      <w:pPr>
        <w:pStyle w:val="ListParagraph"/>
        <w:numPr>
          <w:ilvl w:val="0"/>
          <w:numId w:val="1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Izvirzīt analītisko darbu ar sērijveida noziegumiem par prioritāru kriminālizlūkošanas procesā. Analītisko darbu orientēt uz sērijveida noziegumu ātru identificēšanu un  savstarpēju sasaisti nacionālā līmenī.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w:t>
      </w:r>
    </w:p>
    <w:p w14:paraId="08CAF4F1" w14:textId="64A821A7" w:rsidR="00191956" w:rsidRPr="00B60ED2" w:rsidRDefault="00956BB5" w:rsidP="007312FB">
      <w:pPr>
        <w:pStyle w:val="ListParagraph"/>
        <w:numPr>
          <w:ilvl w:val="0"/>
          <w:numId w:val="1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Veikt prevencijas darbu </w:t>
      </w:r>
      <w:r w:rsidR="00191956" w:rsidRPr="00B60ED2">
        <w:rPr>
          <w:rFonts w:ascii="Times New Roman" w:hAnsi="Times New Roman" w:cs="Times New Roman"/>
          <w:sz w:val="24"/>
          <w:szCs w:val="24"/>
          <w:lang w:eastAsia="lv-LV"/>
        </w:rPr>
        <w:t>ar riska grupām</w:t>
      </w:r>
      <w:r w:rsidR="001403D0">
        <w:rPr>
          <w:rFonts w:ascii="Times New Roman" w:hAnsi="Times New Roman" w:cs="Times New Roman"/>
          <w:sz w:val="24"/>
          <w:szCs w:val="24"/>
          <w:lang w:eastAsia="lv-LV"/>
        </w:rPr>
        <w:t xml:space="preserve"> , ievērojot noziedzības tendences</w:t>
      </w:r>
      <w:r w:rsidR="001403D0" w:rsidRPr="00672C06">
        <w:rPr>
          <w:rFonts w:ascii="Times New Roman" w:hAnsi="Times New Roman" w:cs="Times New Roman"/>
          <w:sz w:val="24"/>
          <w:szCs w:val="24"/>
          <w:lang w:eastAsia="lv-LV"/>
        </w:rPr>
        <w:t>.</w:t>
      </w:r>
      <w:r w:rsidR="00191956" w:rsidRPr="00B60ED2">
        <w:rPr>
          <w:rFonts w:ascii="Times New Roman" w:hAnsi="Times New Roman" w:cs="Times New Roman"/>
          <w:sz w:val="24"/>
          <w:szCs w:val="24"/>
          <w:lang w:eastAsia="lv-LV"/>
        </w:rPr>
        <w:t xml:space="preserve"> (</w:t>
      </w:r>
      <w:r w:rsidR="00191956" w:rsidRPr="00B60ED2">
        <w:rPr>
          <w:rFonts w:ascii="Times New Roman" w:hAnsi="Times New Roman" w:cs="Times New Roman"/>
          <w:b/>
          <w:sz w:val="24"/>
          <w:szCs w:val="24"/>
          <w:lang w:eastAsia="lv-LV"/>
        </w:rPr>
        <w:t>VP</w:t>
      </w:r>
      <w:r w:rsidR="00191956" w:rsidRPr="00B60ED2">
        <w:rPr>
          <w:rFonts w:ascii="Times New Roman" w:hAnsi="Times New Roman" w:cs="Times New Roman"/>
          <w:sz w:val="24"/>
          <w:szCs w:val="24"/>
          <w:lang w:eastAsia="lv-LV"/>
        </w:rPr>
        <w:t>)</w:t>
      </w:r>
    </w:p>
    <w:p w14:paraId="170329AB" w14:textId="77777777" w:rsidR="00165ADA" w:rsidRPr="00B60ED2" w:rsidRDefault="00165ADA" w:rsidP="00165ADA">
      <w:pPr>
        <w:rPr>
          <w:rFonts w:ascii="Times New Roman" w:hAnsi="Times New Roman" w:cs="Times New Roman"/>
          <w:lang w:eastAsia="lv-LV"/>
        </w:rPr>
      </w:pPr>
    </w:p>
    <w:p w14:paraId="620E2B57" w14:textId="77777777" w:rsidR="00AC4B30" w:rsidRPr="00B60ED2" w:rsidRDefault="00AC4B30">
      <w:pPr>
        <w:rPr>
          <w:rFonts w:ascii="Times New Roman" w:eastAsia="+mn-ea" w:hAnsi="Times New Roman" w:cs="Times New Roman"/>
          <w:b/>
          <w:bCs/>
          <w:color w:val="767171" w:themeColor="background2" w:themeShade="80"/>
          <w:kern w:val="24"/>
          <w:sz w:val="32"/>
          <w:szCs w:val="32"/>
          <w:lang w:eastAsia="lv-LV"/>
        </w:rPr>
      </w:pPr>
      <w:r w:rsidRPr="00B60ED2">
        <w:rPr>
          <w:rFonts w:eastAsia="+mn-ea"/>
          <w:b/>
          <w:bCs/>
          <w:color w:val="767171" w:themeColor="background2" w:themeShade="80"/>
          <w:kern w:val="24"/>
          <w:sz w:val="32"/>
          <w:szCs w:val="32"/>
        </w:rPr>
        <w:br w:type="page"/>
      </w:r>
    </w:p>
    <w:p w14:paraId="44FC3309" w14:textId="374EB8A4" w:rsidR="007225D5" w:rsidRPr="00B60ED2" w:rsidRDefault="00454492" w:rsidP="00C971B0">
      <w:pPr>
        <w:pStyle w:val="NormalWeb"/>
        <w:spacing w:before="0" w:beforeAutospacing="0" w:after="120" w:afterAutospacing="0"/>
        <w:jc w:val="center"/>
        <w:rPr>
          <w:rFonts w:eastAsia="+mn-ea"/>
          <w:b/>
          <w:bCs/>
          <w:color w:val="767171" w:themeColor="background2" w:themeShade="80"/>
          <w:kern w:val="24"/>
          <w:sz w:val="32"/>
          <w:szCs w:val="32"/>
        </w:rPr>
      </w:pPr>
      <w:r w:rsidRPr="00B60ED2">
        <w:rPr>
          <w:rFonts w:eastAsia="+mn-ea"/>
          <w:b/>
          <w:bCs/>
          <w:color w:val="767171" w:themeColor="background2" w:themeShade="80"/>
          <w:kern w:val="24"/>
          <w:sz w:val="32"/>
          <w:szCs w:val="32"/>
        </w:rPr>
        <w:lastRenderedPageBreak/>
        <w:t xml:space="preserve">4. </w:t>
      </w:r>
      <w:bookmarkStart w:id="29" w:name="_Hlk173921548"/>
      <w:r w:rsidR="00165ADA" w:rsidRPr="00B60ED2">
        <w:rPr>
          <w:rFonts w:eastAsia="+mn-ea"/>
          <w:b/>
          <w:bCs/>
          <w:color w:val="767171" w:themeColor="background2" w:themeShade="80"/>
          <w:kern w:val="24"/>
          <w:sz w:val="32"/>
          <w:szCs w:val="32"/>
        </w:rPr>
        <w:t>Civilā aizsardzība un katastrofu pārvaldīšana, ugunsdrošība, ugunsdzēsība, glābšana un vienotais ārkārtas pal</w:t>
      </w:r>
      <w:r w:rsidR="00F25486" w:rsidRPr="00B60ED2">
        <w:rPr>
          <w:rFonts w:eastAsia="+mn-ea"/>
          <w:b/>
          <w:bCs/>
          <w:color w:val="767171" w:themeColor="background2" w:themeShade="80"/>
          <w:kern w:val="24"/>
          <w:sz w:val="32"/>
          <w:szCs w:val="32"/>
        </w:rPr>
        <w:t>īdzības izsaukuma numurs «112»</w:t>
      </w:r>
    </w:p>
    <w:tbl>
      <w:tblPr>
        <w:tblStyle w:val="GridTable4-Accent5"/>
        <w:tblW w:w="14029" w:type="dxa"/>
        <w:tblLook w:val="04A0" w:firstRow="1" w:lastRow="0" w:firstColumn="1" w:lastColumn="0" w:noHBand="0" w:noVBand="1"/>
      </w:tblPr>
      <w:tblGrid>
        <w:gridCol w:w="1696"/>
        <w:gridCol w:w="4395"/>
        <w:gridCol w:w="1323"/>
        <w:gridCol w:w="1323"/>
        <w:gridCol w:w="1323"/>
        <w:gridCol w:w="1323"/>
        <w:gridCol w:w="1323"/>
        <w:gridCol w:w="1323"/>
      </w:tblGrid>
      <w:tr w:rsidR="00AC0EC8" w:rsidRPr="00B60ED2" w14:paraId="4E1499ED" w14:textId="77777777" w:rsidTr="00C97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bookmarkEnd w:id="29"/>
          <w:p w14:paraId="04B17CE6" w14:textId="77777777" w:rsidR="00AC0EC8" w:rsidRPr="00B60ED2" w:rsidRDefault="00AC0EC8" w:rsidP="00165ADA">
            <w:pPr>
              <w:jc w:val="center"/>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Prioritārais politikas mērķis</w:t>
            </w:r>
          </w:p>
        </w:tc>
        <w:tc>
          <w:tcPr>
            <w:tcW w:w="4395" w:type="dxa"/>
            <w:vMerge w:val="restart"/>
          </w:tcPr>
          <w:p w14:paraId="28112400" w14:textId="77777777" w:rsidR="00AC0EC8" w:rsidRPr="00B60ED2" w:rsidRDefault="00AC0EC8" w:rsidP="00165A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Galvenais rezultatīvais rādītājs</w:t>
            </w:r>
          </w:p>
        </w:tc>
        <w:tc>
          <w:tcPr>
            <w:tcW w:w="7938" w:type="dxa"/>
            <w:gridSpan w:val="6"/>
          </w:tcPr>
          <w:p w14:paraId="349EE06E" w14:textId="0FC1F71E" w:rsidR="00AC0EC8" w:rsidRPr="00B60ED2" w:rsidRDefault="00AC0EC8" w:rsidP="002816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 xml:space="preserve">Rādītāju </w:t>
            </w:r>
            <w:r w:rsidR="00281630" w:rsidRPr="00B60ED2">
              <w:rPr>
                <w:rFonts w:ascii="Times New Roman" w:hAnsi="Times New Roman" w:cs="Times New Roman"/>
                <w:b w:val="0"/>
                <w:iCs/>
                <w:sz w:val="24"/>
                <w:szCs w:val="26"/>
                <w:lang w:eastAsia="lv-LV"/>
              </w:rPr>
              <w:t>vērtības (prognoze)</w:t>
            </w:r>
          </w:p>
        </w:tc>
      </w:tr>
      <w:tr w:rsidR="00AC0EC8" w:rsidRPr="00B60ED2" w14:paraId="7F49F956" w14:textId="77777777" w:rsidTr="00C97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0761FB42" w14:textId="77777777" w:rsidR="00AC0EC8" w:rsidRPr="00B60ED2" w:rsidRDefault="00AC0EC8" w:rsidP="00165ADA">
            <w:pPr>
              <w:jc w:val="center"/>
              <w:rPr>
                <w:rFonts w:ascii="Times New Roman" w:hAnsi="Times New Roman" w:cs="Times New Roman"/>
                <w:b w:val="0"/>
                <w:iCs/>
                <w:sz w:val="24"/>
                <w:szCs w:val="26"/>
                <w:lang w:eastAsia="lv-LV"/>
              </w:rPr>
            </w:pPr>
          </w:p>
        </w:tc>
        <w:tc>
          <w:tcPr>
            <w:tcW w:w="4395" w:type="dxa"/>
            <w:vMerge/>
          </w:tcPr>
          <w:p w14:paraId="54F0C481"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6"/>
                <w:lang w:eastAsia="lv-LV"/>
              </w:rPr>
            </w:pPr>
          </w:p>
        </w:tc>
        <w:tc>
          <w:tcPr>
            <w:tcW w:w="1323" w:type="dxa"/>
          </w:tcPr>
          <w:p w14:paraId="6FA503E3" w14:textId="002815AA"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2021</w:t>
            </w:r>
            <w:r w:rsidR="00281630" w:rsidRPr="00B60ED2">
              <w:rPr>
                <w:rFonts w:ascii="Times New Roman" w:hAnsi="Times New Roman" w:cs="Times New Roman"/>
                <w:b/>
                <w:iCs/>
                <w:sz w:val="22"/>
                <w:szCs w:val="26"/>
                <w:lang w:eastAsia="lv-LV"/>
              </w:rPr>
              <w:t xml:space="preserve"> (izpilde)</w:t>
            </w:r>
          </w:p>
        </w:tc>
        <w:tc>
          <w:tcPr>
            <w:tcW w:w="1323" w:type="dxa"/>
          </w:tcPr>
          <w:p w14:paraId="33AF652D" w14:textId="329A9724"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2023</w:t>
            </w:r>
          </w:p>
        </w:tc>
        <w:tc>
          <w:tcPr>
            <w:tcW w:w="1323" w:type="dxa"/>
          </w:tcPr>
          <w:p w14:paraId="6AC940CB"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2024</w:t>
            </w:r>
          </w:p>
        </w:tc>
        <w:tc>
          <w:tcPr>
            <w:tcW w:w="1323" w:type="dxa"/>
          </w:tcPr>
          <w:p w14:paraId="45C79698"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2025</w:t>
            </w:r>
          </w:p>
        </w:tc>
        <w:tc>
          <w:tcPr>
            <w:tcW w:w="1323" w:type="dxa"/>
          </w:tcPr>
          <w:p w14:paraId="14E91FF6"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2026</w:t>
            </w:r>
          </w:p>
        </w:tc>
        <w:tc>
          <w:tcPr>
            <w:tcW w:w="1323" w:type="dxa"/>
          </w:tcPr>
          <w:p w14:paraId="4E7BD292"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2027</w:t>
            </w:r>
          </w:p>
        </w:tc>
      </w:tr>
      <w:tr w:rsidR="00AC0EC8" w:rsidRPr="00B60ED2" w14:paraId="390F50EF" w14:textId="77777777" w:rsidTr="00C971B0">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53EF5153" w14:textId="77777777" w:rsidR="00AC0EC8" w:rsidRPr="00B60ED2" w:rsidRDefault="00AC0EC8" w:rsidP="00F25486">
            <w:pPr>
              <w:rPr>
                <w:rFonts w:ascii="Times New Roman" w:hAnsi="Times New Roman" w:cs="Times New Roman"/>
                <w:iCs/>
                <w:sz w:val="22"/>
                <w:lang w:eastAsia="lv-LV"/>
              </w:rPr>
            </w:pPr>
            <w:r w:rsidRPr="00B60ED2">
              <w:rPr>
                <w:rFonts w:ascii="Times New Roman" w:hAnsi="Times New Roman" w:cs="Times New Roman"/>
                <w:iCs/>
                <w:sz w:val="22"/>
                <w:lang w:eastAsia="lv-LV"/>
              </w:rPr>
              <w:t>Nodrošināt efektīvu civilās aizsardzības sistēmas vadību un koordināciju</w:t>
            </w:r>
          </w:p>
        </w:tc>
        <w:tc>
          <w:tcPr>
            <w:tcW w:w="4395" w:type="dxa"/>
          </w:tcPr>
          <w:p w14:paraId="4D585ABD" w14:textId="77777777" w:rsidR="00C971B0" w:rsidRPr="00B60ED2" w:rsidRDefault="00AC0EC8"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30" w:name="_Hlk160440039"/>
            <w:r w:rsidRPr="00B60ED2">
              <w:rPr>
                <w:rFonts w:ascii="Times New Roman" w:hAnsi="Times New Roman" w:cs="Times New Roman"/>
                <w:iCs/>
                <w:sz w:val="22"/>
                <w:lang w:eastAsia="lv-LV"/>
              </w:rPr>
              <w:t>Starpinstitūciju sadarbības novērtējums katastrofu pārvaldīšanas pasākumu īstenošanā</w:t>
            </w:r>
          </w:p>
          <w:bookmarkEnd w:id="30"/>
          <w:p w14:paraId="1F0FCB60" w14:textId="00D6D93B" w:rsidR="0086147B" w:rsidRPr="00B60ED2" w:rsidRDefault="0086147B"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p>
        </w:tc>
        <w:tc>
          <w:tcPr>
            <w:tcW w:w="1323" w:type="dxa"/>
            <w:vAlign w:val="center"/>
          </w:tcPr>
          <w:p w14:paraId="2B0FC988" w14:textId="6C4025CE" w:rsidR="00AC0EC8" w:rsidRPr="00B60ED2" w:rsidRDefault="00AC0EC8" w:rsidP="00AC0E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w:t>
            </w:r>
          </w:p>
        </w:tc>
        <w:tc>
          <w:tcPr>
            <w:tcW w:w="1323" w:type="dxa"/>
            <w:vAlign w:val="center"/>
          </w:tcPr>
          <w:p w14:paraId="3BF9DCC5" w14:textId="53D84730"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r w:rsidR="00B26F00">
              <w:rPr>
                <w:rFonts w:ascii="Times New Roman" w:hAnsi="Times New Roman" w:cs="Times New Roman"/>
                <w:iCs/>
                <w:szCs w:val="22"/>
                <w:lang w:eastAsia="lv-LV"/>
              </w:rPr>
              <w:t>/-</w:t>
            </w:r>
          </w:p>
        </w:tc>
        <w:tc>
          <w:tcPr>
            <w:tcW w:w="1323" w:type="dxa"/>
            <w:vAlign w:val="center"/>
          </w:tcPr>
          <w:p w14:paraId="7B974290" w14:textId="7AFC6E4C"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p>
        </w:tc>
        <w:tc>
          <w:tcPr>
            <w:tcW w:w="1323" w:type="dxa"/>
            <w:vAlign w:val="center"/>
          </w:tcPr>
          <w:p w14:paraId="74E175B6" w14:textId="1184EF9B"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p>
        </w:tc>
        <w:tc>
          <w:tcPr>
            <w:tcW w:w="1323" w:type="dxa"/>
            <w:vAlign w:val="center"/>
          </w:tcPr>
          <w:p w14:paraId="086DBA70" w14:textId="4533E9EE"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p>
        </w:tc>
        <w:tc>
          <w:tcPr>
            <w:tcW w:w="1323" w:type="dxa"/>
            <w:vAlign w:val="center"/>
          </w:tcPr>
          <w:p w14:paraId="7495FCC7" w14:textId="383E70C1"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p>
        </w:tc>
      </w:tr>
      <w:tr w:rsidR="00AC0EC8" w:rsidRPr="00B60ED2" w14:paraId="66A9121A" w14:textId="77777777" w:rsidTr="00C971B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BA0B75E" w14:textId="77777777" w:rsidR="00AC0EC8" w:rsidRPr="00B60ED2" w:rsidRDefault="00AC0EC8" w:rsidP="00F25486">
            <w:pPr>
              <w:rPr>
                <w:rFonts w:ascii="Times New Roman" w:hAnsi="Times New Roman" w:cs="Times New Roman"/>
                <w:iCs/>
                <w:sz w:val="22"/>
                <w:lang w:eastAsia="lv-LV"/>
              </w:rPr>
            </w:pPr>
          </w:p>
        </w:tc>
        <w:tc>
          <w:tcPr>
            <w:tcW w:w="4395" w:type="dxa"/>
          </w:tcPr>
          <w:p w14:paraId="7FA7631E" w14:textId="77777777" w:rsidR="00AC0EC8" w:rsidRPr="00B60ED2" w:rsidRDefault="00AC0EC8"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Agrīnās brīdināšanas paziņojumu pieejamība iedzīvotājiem (%)</w:t>
            </w:r>
          </w:p>
        </w:tc>
        <w:tc>
          <w:tcPr>
            <w:tcW w:w="1323" w:type="dxa"/>
            <w:vAlign w:val="center"/>
          </w:tcPr>
          <w:p w14:paraId="51B4AE11" w14:textId="2EA90BDA" w:rsidR="00AC0EC8" w:rsidRPr="00B60ED2" w:rsidRDefault="00A33FC7" w:rsidP="00AC0E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37%</w:t>
            </w:r>
            <w:r w:rsidRPr="00B60ED2">
              <w:rPr>
                <w:rStyle w:val="FootnoteReference"/>
                <w:rFonts w:ascii="Times New Roman" w:hAnsi="Times New Roman" w:cs="Times New Roman"/>
                <w:iCs/>
                <w:sz w:val="22"/>
                <w:szCs w:val="22"/>
                <w:lang w:eastAsia="lv-LV"/>
              </w:rPr>
              <w:footnoteReference w:id="13"/>
            </w:r>
          </w:p>
        </w:tc>
        <w:tc>
          <w:tcPr>
            <w:tcW w:w="1323" w:type="dxa"/>
            <w:vAlign w:val="center"/>
          </w:tcPr>
          <w:p w14:paraId="53926B29" w14:textId="419897E7" w:rsidR="00AC0EC8" w:rsidRPr="00B60ED2" w:rsidRDefault="00A33FC7"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37%</w:t>
            </w:r>
            <w:r w:rsidR="00B26F00">
              <w:rPr>
                <w:rFonts w:ascii="Times New Roman" w:hAnsi="Times New Roman" w:cs="Times New Roman"/>
                <w:iCs/>
                <w:sz w:val="22"/>
                <w:szCs w:val="22"/>
                <w:lang w:eastAsia="lv-LV"/>
              </w:rPr>
              <w:t>/37%</w:t>
            </w:r>
          </w:p>
        </w:tc>
        <w:tc>
          <w:tcPr>
            <w:tcW w:w="1323" w:type="dxa"/>
            <w:vAlign w:val="center"/>
          </w:tcPr>
          <w:p w14:paraId="3325E813" w14:textId="185D1B68" w:rsidR="00AC0EC8" w:rsidRPr="00B60ED2" w:rsidRDefault="0079455D"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Pr>
                <w:rFonts w:ascii="Times New Roman" w:hAnsi="Times New Roman" w:cs="Times New Roman"/>
                <w:iCs/>
                <w:sz w:val="22"/>
                <w:szCs w:val="22"/>
                <w:lang w:eastAsia="lv-LV"/>
              </w:rPr>
              <w:t>37%</w:t>
            </w:r>
          </w:p>
        </w:tc>
        <w:tc>
          <w:tcPr>
            <w:tcW w:w="1323" w:type="dxa"/>
            <w:vAlign w:val="center"/>
          </w:tcPr>
          <w:p w14:paraId="5044F51F" w14:textId="460E43B2"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74%</w:t>
            </w:r>
          </w:p>
        </w:tc>
        <w:tc>
          <w:tcPr>
            <w:tcW w:w="1323" w:type="dxa"/>
            <w:vAlign w:val="center"/>
          </w:tcPr>
          <w:p w14:paraId="007C8666" w14:textId="4D908E24"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78%</w:t>
            </w:r>
          </w:p>
        </w:tc>
        <w:tc>
          <w:tcPr>
            <w:tcW w:w="1323" w:type="dxa"/>
            <w:vAlign w:val="center"/>
          </w:tcPr>
          <w:p w14:paraId="443CAC41" w14:textId="33E6455D"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82%</w:t>
            </w:r>
          </w:p>
        </w:tc>
      </w:tr>
      <w:tr w:rsidR="00AC0EC8" w:rsidRPr="00B60ED2" w14:paraId="1400E27E" w14:textId="77777777" w:rsidTr="00C971B0">
        <w:trPr>
          <w:trHeight w:val="36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F28689A" w14:textId="77777777" w:rsidR="00AC0EC8" w:rsidRPr="00B60ED2" w:rsidRDefault="00AC0EC8" w:rsidP="00F25486">
            <w:pPr>
              <w:rPr>
                <w:rFonts w:ascii="Times New Roman" w:hAnsi="Times New Roman" w:cs="Times New Roman"/>
                <w:iCs/>
                <w:sz w:val="22"/>
                <w:lang w:eastAsia="lv-LV"/>
              </w:rPr>
            </w:pPr>
            <w:r w:rsidRPr="00B60ED2">
              <w:rPr>
                <w:rFonts w:ascii="Times New Roman" w:hAnsi="Times New Roman" w:cs="Times New Roman"/>
                <w:b w:val="0"/>
                <w:iCs/>
                <w:sz w:val="22"/>
                <w:lang w:eastAsia="lv-LV"/>
              </w:rPr>
              <w:t>Iesaistītās iestādes</w:t>
            </w:r>
          </w:p>
        </w:tc>
        <w:tc>
          <w:tcPr>
            <w:tcW w:w="12333" w:type="dxa"/>
            <w:gridSpan w:val="7"/>
            <w:vAlign w:val="center"/>
          </w:tcPr>
          <w:p w14:paraId="4C41D122" w14:textId="1B86B112" w:rsidR="00AC0EC8" w:rsidRPr="00B60ED2" w:rsidRDefault="00AC0EC8" w:rsidP="00AC0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b/>
                <w:iCs/>
                <w:sz w:val="22"/>
                <w:lang w:eastAsia="lv-LV"/>
              </w:rPr>
              <w:t>Valsts ugunsdzēsības un glābšanas dienests, Iekšlietu ministrijas Informācijas centrs</w:t>
            </w:r>
          </w:p>
        </w:tc>
      </w:tr>
      <w:tr w:rsidR="00AC0EC8" w:rsidRPr="00B60ED2" w14:paraId="31004497" w14:textId="77777777" w:rsidTr="00C971B0">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00FDA6C9" w14:textId="77777777" w:rsidR="00AC0EC8" w:rsidRPr="00B60ED2" w:rsidRDefault="00AC0EC8" w:rsidP="00F25486">
            <w:pPr>
              <w:rPr>
                <w:rFonts w:ascii="Times New Roman" w:hAnsi="Times New Roman" w:cs="Times New Roman"/>
                <w:iCs/>
                <w:sz w:val="22"/>
                <w:lang w:eastAsia="lv-LV"/>
              </w:rPr>
            </w:pPr>
            <w:r w:rsidRPr="00B60ED2">
              <w:rPr>
                <w:rFonts w:ascii="Times New Roman" w:hAnsi="Times New Roman" w:cs="Times New Roman"/>
                <w:iCs/>
                <w:sz w:val="22"/>
                <w:lang w:eastAsia="lv-LV"/>
              </w:rPr>
              <w:t>Samazināt ugunsgrēkos radīto kaitējumu</w:t>
            </w:r>
          </w:p>
        </w:tc>
        <w:tc>
          <w:tcPr>
            <w:tcW w:w="4395" w:type="dxa"/>
          </w:tcPr>
          <w:p w14:paraId="79317CA9" w14:textId="77777777" w:rsidR="00AC0EC8" w:rsidRPr="00B60ED2" w:rsidRDefault="00AC0EC8"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Ugunsgrēku skaits uz 100 000 iedzīvotāju</w:t>
            </w:r>
          </w:p>
          <w:p w14:paraId="1DF42A8A" w14:textId="5D1491FD" w:rsidR="00C971B0" w:rsidRPr="00B60ED2" w:rsidRDefault="00C971B0"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p>
        </w:tc>
        <w:tc>
          <w:tcPr>
            <w:tcW w:w="1323" w:type="dxa"/>
            <w:vAlign w:val="center"/>
          </w:tcPr>
          <w:p w14:paraId="6FC170A7" w14:textId="67CF0111" w:rsidR="00AC0EC8" w:rsidRPr="00B60ED2" w:rsidRDefault="00AC0EC8" w:rsidP="00AC0E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354,8</w:t>
            </w:r>
          </w:p>
        </w:tc>
        <w:tc>
          <w:tcPr>
            <w:tcW w:w="1323" w:type="dxa"/>
            <w:vAlign w:val="center"/>
          </w:tcPr>
          <w:p w14:paraId="3B10A87B" w14:textId="06F39866"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340</w:t>
            </w:r>
            <w:r w:rsidR="00B26F00">
              <w:rPr>
                <w:rFonts w:ascii="Times New Roman" w:hAnsi="Times New Roman" w:cs="Times New Roman"/>
                <w:iCs/>
                <w:sz w:val="22"/>
                <w:szCs w:val="22"/>
                <w:lang w:eastAsia="lv-LV"/>
              </w:rPr>
              <w:t>/340</w:t>
            </w:r>
          </w:p>
        </w:tc>
        <w:tc>
          <w:tcPr>
            <w:tcW w:w="1323" w:type="dxa"/>
            <w:vAlign w:val="center"/>
          </w:tcPr>
          <w:p w14:paraId="091C4C71" w14:textId="262BF27B"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330</w:t>
            </w:r>
          </w:p>
        </w:tc>
        <w:tc>
          <w:tcPr>
            <w:tcW w:w="1323" w:type="dxa"/>
            <w:vAlign w:val="center"/>
          </w:tcPr>
          <w:p w14:paraId="1DAD4D71" w14:textId="225F492E"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320</w:t>
            </w:r>
          </w:p>
        </w:tc>
        <w:tc>
          <w:tcPr>
            <w:tcW w:w="1323" w:type="dxa"/>
            <w:vAlign w:val="center"/>
          </w:tcPr>
          <w:p w14:paraId="1C8098FB" w14:textId="5BCD1A63"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310</w:t>
            </w:r>
          </w:p>
        </w:tc>
        <w:tc>
          <w:tcPr>
            <w:tcW w:w="1323" w:type="dxa"/>
            <w:vAlign w:val="center"/>
          </w:tcPr>
          <w:p w14:paraId="0C79A01E" w14:textId="7C0FB64B"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300</w:t>
            </w:r>
          </w:p>
        </w:tc>
      </w:tr>
      <w:tr w:rsidR="00AC0EC8" w:rsidRPr="00B60ED2" w14:paraId="7C0714CB" w14:textId="77777777" w:rsidTr="00C971B0">
        <w:trPr>
          <w:trHeight w:val="373"/>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72541657" w14:textId="77777777" w:rsidR="00AC0EC8" w:rsidRPr="00B60ED2" w:rsidRDefault="00AC0EC8" w:rsidP="00F25486">
            <w:pPr>
              <w:rPr>
                <w:rFonts w:ascii="Times New Roman" w:hAnsi="Times New Roman" w:cs="Times New Roman"/>
                <w:iCs/>
                <w:sz w:val="22"/>
                <w:lang w:eastAsia="lv-LV"/>
              </w:rPr>
            </w:pPr>
          </w:p>
        </w:tc>
        <w:tc>
          <w:tcPr>
            <w:tcW w:w="4395" w:type="dxa"/>
          </w:tcPr>
          <w:p w14:paraId="6D236789" w14:textId="77777777" w:rsidR="00AC0EC8" w:rsidRPr="00B60ED2" w:rsidRDefault="00AC0EC8"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31" w:name="_Hlk173921570"/>
            <w:r w:rsidRPr="00B60ED2">
              <w:rPr>
                <w:rFonts w:ascii="Times New Roman" w:hAnsi="Times New Roman" w:cs="Times New Roman"/>
                <w:iCs/>
                <w:sz w:val="22"/>
                <w:lang w:eastAsia="lv-LV"/>
              </w:rPr>
              <w:t>Ugunsgrēkos bojāgājušo cilvēku skaits uz 100 000 iedzīvotāju</w:t>
            </w:r>
          </w:p>
          <w:bookmarkEnd w:id="31"/>
          <w:p w14:paraId="1EE9FE5F" w14:textId="1572B8AC" w:rsidR="00C971B0" w:rsidRPr="00B60ED2" w:rsidRDefault="00C971B0"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c>
          <w:tcPr>
            <w:tcW w:w="1323" w:type="dxa"/>
            <w:vAlign w:val="center"/>
          </w:tcPr>
          <w:p w14:paraId="3A84C56B" w14:textId="4EA2F021" w:rsidR="00AC0EC8" w:rsidRPr="00B60ED2" w:rsidRDefault="00AC0EC8" w:rsidP="00AC0E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sz w:val="22"/>
                <w:szCs w:val="22"/>
              </w:rPr>
              <w:t>5,4</w:t>
            </w:r>
          </w:p>
        </w:tc>
        <w:tc>
          <w:tcPr>
            <w:tcW w:w="1323" w:type="dxa"/>
            <w:vAlign w:val="center"/>
          </w:tcPr>
          <w:p w14:paraId="11D0323F" w14:textId="5FB0D1A1"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sz w:val="22"/>
                <w:szCs w:val="22"/>
              </w:rPr>
              <w:t>3,9</w:t>
            </w:r>
            <w:r w:rsidR="00B26F00">
              <w:rPr>
                <w:rFonts w:ascii="Times New Roman" w:hAnsi="Times New Roman" w:cs="Times New Roman"/>
                <w:sz w:val="22"/>
                <w:szCs w:val="22"/>
              </w:rPr>
              <w:t>/3,6</w:t>
            </w:r>
          </w:p>
        </w:tc>
        <w:tc>
          <w:tcPr>
            <w:tcW w:w="1323" w:type="dxa"/>
            <w:vAlign w:val="center"/>
          </w:tcPr>
          <w:p w14:paraId="7B24430C" w14:textId="67A189D0"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iCs/>
                <w:sz w:val="22"/>
                <w:szCs w:val="22"/>
                <w:lang w:eastAsia="lv-LV"/>
              </w:rPr>
              <w:t>3,7</w:t>
            </w:r>
          </w:p>
        </w:tc>
        <w:tc>
          <w:tcPr>
            <w:tcW w:w="1323" w:type="dxa"/>
            <w:vAlign w:val="center"/>
          </w:tcPr>
          <w:p w14:paraId="392D0AFC" w14:textId="0C45E378"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iCs/>
                <w:sz w:val="22"/>
                <w:szCs w:val="22"/>
                <w:lang w:eastAsia="lv-LV"/>
              </w:rPr>
              <w:t>3,5</w:t>
            </w:r>
          </w:p>
        </w:tc>
        <w:tc>
          <w:tcPr>
            <w:tcW w:w="1323" w:type="dxa"/>
            <w:vAlign w:val="center"/>
          </w:tcPr>
          <w:p w14:paraId="100B477B" w14:textId="242867D4"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iCs/>
                <w:sz w:val="22"/>
                <w:szCs w:val="22"/>
                <w:lang w:eastAsia="lv-LV"/>
              </w:rPr>
              <w:t>3,3</w:t>
            </w:r>
          </w:p>
        </w:tc>
        <w:tc>
          <w:tcPr>
            <w:tcW w:w="1323" w:type="dxa"/>
            <w:vAlign w:val="center"/>
          </w:tcPr>
          <w:p w14:paraId="1BC1FCAC" w14:textId="193D619E"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iCs/>
                <w:sz w:val="22"/>
                <w:szCs w:val="22"/>
                <w:lang w:eastAsia="lv-LV"/>
              </w:rPr>
              <w:t>3,1</w:t>
            </w:r>
          </w:p>
        </w:tc>
      </w:tr>
      <w:tr w:rsidR="00AC0EC8" w:rsidRPr="00B60ED2" w14:paraId="1D1E7ED9" w14:textId="77777777" w:rsidTr="00C971B0">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6B5A66F" w14:textId="77777777" w:rsidR="00AC0EC8" w:rsidRPr="00B60ED2" w:rsidRDefault="00AC0EC8" w:rsidP="00F25486">
            <w:pPr>
              <w:rPr>
                <w:rFonts w:ascii="Times New Roman" w:hAnsi="Times New Roman" w:cs="Times New Roman"/>
                <w:iCs/>
                <w:sz w:val="22"/>
                <w:lang w:eastAsia="lv-LV"/>
              </w:rPr>
            </w:pPr>
          </w:p>
        </w:tc>
        <w:tc>
          <w:tcPr>
            <w:tcW w:w="4395" w:type="dxa"/>
          </w:tcPr>
          <w:p w14:paraId="71BEBF5F" w14:textId="3859F9A9" w:rsidR="00C971B0" w:rsidRPr="00B60ED2" w:rsidRDefault="00B9108C"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Vidējais VUGD ierašanās laiks notikuma vietā (minūtes)</w:t>
            </w:r>
          </w:p>
        </w:tc>
        <w:tc>
          <w:tcPr>
            <w:tcW w:w="1323" w:type="dxa"/>
            <w:vAlign w:val="center"/>
          </w:tcPr>
          <w:p w14:paraId="3057E4FF" w14:textId="7734D1A3" w:rsidR="00AC0EC8" w:rsidRPr="00B60ED2" w:rsidRDefault="00AC0EC8" w:rsidP="00AC0E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c>
          <w:tcPr>
            <w:tcW w:w="1323" w:type="dxa"/>
            <w:vAlign w:val="center"/>
          </w:tcPr>
          <w:p w14:paraId="3DC0918E" w14:textId="769710DD"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r w:rsidR="00B26F00">
              <w:rPr>
                <w:rFonts w:ascii="Times New Roman" w:hAnsi="Times New Roman" w:cs="Times New Roman"/>
                <w:iCs/>
                <w:sz w:val="22"/>
                <w:szCs w:val="22"/>
                <w:lang w:eastAsia="lv-LV"/>
              </w:rPr>
              <w:t>/8,9</w:t>
            </w:r>
          </w:p>
        </w:tc>
        <w:tc>
          <w:tcPr>
            <w:tcW w:w="1323" w:type="dxa"/>
            <w:vAlign w:val="center"/>
          </w:tcPr>
          <w:p w14:paraId="1F9CB9BF" w14:textId="7ADF8A00"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c>
          <w:tcPr>
            <w:tcW w:w="1323" w:type="dxa"/>
            <w:vAlign w:val="center"/>
          </w:tcPr>
          <w:p w14:paraId="5A8EA0F6" w14:textId="356D7E1E"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c>
          <w:tcPr>
            <w:tcW w:w="1323" w:type="dxa"/>
            <w:vAlign w:val="center"/>
          </w:tcPr>
          <w:p w14:paraId="2CC1EFA2" w14:textId="73DC0E4A"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c>
          <w:tcPr>
            <w:tcW w:w="1323" w:type="dxa"/>
            <w:vAlign w:val="center"/>
          </w:tcPr>
          <w:p w14:paraId="2712F3C4" w14:textId="582866C3"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r>
      <w:tr w:rsidR="00AC0EC8" w:rsidRPr="00B60ED2" w14:paraId="141A5093" w14:textId="77777777" w:rsidTr="00C971B0">
        <w:trPr>
          <w:trHeight w:val="37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5F4F9BD" w14:textId="77777777" w:rsidR="00AC0EC8" w:rsidRPr="00B60ED2" w:rsidRDefault="00AC0EC8" w:rsidP="00F25486">
            <w:pPr>
              <w:rPr>
                <w:rFonts w:ascii="Times New Roman" w:hAnsi="Times New Roman" w:cs="Times New Roman"/>
                <w:iCs/>
                <w:sz w:val="22"/>
                <w:lang w:eastAsia="lv-LV"/>
              </w:rPr>
            </w:pPr>
            <w:r w:rsidRPr="00B60ED2">
              <w:rPr>
                <w:rFonts w:ascii="Times New Roman" w:hAnsi="Times New Roman" w:cs="Times New Roman"/>
                <w:b w:val="0"/>
                <w:iCs/>
                <w:sz w:val="22"/>
                <w:lang w:eastAsia="lv-LV"/>
              </w:rPr>
              <w:t>Iesaistītās iestādes</w:t>
            </w:r>
          </w:p>
        </w:tc>
        <w:tc>
          <w:tcPr>
            <w:tcW w:w="12333" w:type="dxa"/>
            <w:gridSpan w:val="7"/>
            <w:vAlign w:val="center"/>
          </w:tcPr>
          <w:p w14:paraId="121D9643" w14:textId="05D06F3B" w:rsidR="00AC0EC8" w:rsidRPr="00B60ED2" w:rsidRDefault="00AC0EC8" w:rsidP="00AC0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b/>
                <w:iCs/>
                <w:sz w:val="22"/>
                <w:lang w:eastAsia="lv-LV"/>
              </w:rPr>
              <w:t>Valsts ugunsdzēsības un glābšanas dienests</w:t>
            </w:r>
            <w:r w:rsidR="005A3DF1" w:rsidRPr="00B60ED2">
              <w:rPr>
                <w:rFonts w:ascii="Times New Roman" w:hAnsi="Times New Roman" w:cs="Times New Roman"/>
                <w:b/>
                <w:iCs/>
                <w:sz w:val="22"/>
                <w:lang w:eastAsia="lv-LV"/>
              </w:rPr>
              <w:t>, Iekšlietu ministrija</w:t>
            </w:r>
          </w:p>
        </w:tc>
      </w:tr>
    </w:tbl>
    <w:p w14:paraId="66812F5A" w14:textId="139EA957" w:rsidR="00AC4B30" w:rsidRPr="00B60ED2" w:rsidRDefault="00AC4B30" w:rsidP="00165ADA">
      <w:pPr>
        <w:rPr>
          <w:rFonts w:ascii="Times New Roman" w:hAnsi="Times New Roman" w:cs="Times New Roman"/>
          <w:iCs/>
          <w:lang w:eastAsia="lv-LV"/>
        </w:rPr>
      </w:pPr>
    </w:p>
    <w:p w14:paraId="04B664B0"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Civilās aizsardzības sistēmas operacionālās vadības uzlabošana.</w:t>
      </w:r>
    </w:p>
    <w:p w14:paraId="644176D9" w14:textId="4C611489"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74798C9F" w14:textId="182B7BAC" w:rsidR="0079789F" w:rsidRPr="00AA310C" w:rsidRDefault="00D1569E" w:rsidP="00094A2B">
      <w:pPr>
        <w:pStyle w:val="ListParagraph"/>
        <w:numPr>
          <w:ilvl w:val="0"/>
          <w:numId w:val="16"/>
        </w:numPr>
        <w:spacing w:line="240" w:lineRule="auto"/>
        <w:jc w:val="both"/>
        <w:rPr>
          <w:rFonts w:ascii="Times New Roman" w:hAnsi="Times New Roman" w:cs="Times New Roman"/>
          <w:sz w:val="24"/>
          <w:szCs w:val="24"/>
        </w:rPr>
      </w:pPr>
      <w:bookmarkStart w:id="32" w:name="_Hlk172720372"/>
      <w:r w:rsidRPr="00AA310C">
        <w:rPr>
          <w:rFonts w:ascii="Times New Roman" w:hAnsi="Times New Roman" w:cs="Times New Roman"/>
          <w:sz w:val="24"/>
          <w:szCs w:val="24"/>
          <w:lang w:eastAsia="lv-LV"/>
        </w:rPr>
        <w:t xml:space="preserve">Izstrādāt </w:t>
      </w:r>
      <w:r w:rsidR="00094A2B" w:rsidRPr="00AA310C">
        <w:rPr>
          <w:rFonts w:ascii="Times New Roman" w:hAnsi="Times New Roman" w:cs="Times New Roman"/>
          <w:sz w:val="24"/>
          <w:szCs w:val="24"/>
          <w:lang w:eastAsia="lv-LV"/>
        </w:rPr>
        <w:t>Civilās aizsardzības centra</w:t>
      </w:r>
      <w:r w:rsidR="004B0A72" w:rsidRPr="00AA310C">
        <w:rPr>
          <w:rFonts w:ascii="Times New Roman" w:hAnsi="Times New Roman" w:cs="Times New Roman"/>
          <w:sz w:val="24"/>
          <w:szCs w:val="24"/>
          <w:lang w:eastAsia="lv-LV"/>
        </w:rPr>
        <w:t xml:space="preserve"> modeli un to ieviest</w:t>
      </w:r>
      <w:r w:rsidR="0086147B" w:rsidRPr="00AA310C">
        <w:rPr>
          <w:rFonts w:ascii="Times New Roman" w:hAnsi="Times New Roman" w:cs="Times New Roman"/>
          <w:sz w:val="24"/>
          <w:szCs w:val="24"/>
          <w:lang w:eastAsia="lv-LV"/>
        </w:rPr>
        <w:t>.</w:t>
      </w:r>
      <w:r w:rsidR="00094A2B" w:rsidRPr="00AA310C">
        <w:rPr>
          <w:rFonts w:ascii="Times New Roman" w:hAnsi="Times New Roman" w:cs="Times New Roman"/>
          <w:sz w:val="24"/>
          <w:szCs w:val="24"/>
          <w:lang w:eastAsia="lv-LV"/>
        </w:rPr>
        <w:t xml:space="preserve"> ( </w:t>
      </w:r>
      <w:r w:rsidR="00094A2B" w:rsidRPr="00AA310C">
        <w:rPr>
          <w:rFonts w:ascii="Times New Roman" w:hAnsi="Times New Roman" w:cs="Times New Roman"/>
          <w:b/>
          <w:sz w:val="24"/>
          <w:szCs w:val="24"/>
          <w:lang w:eastAsia="lv-LV"/>
        </w:rPr>
        <w:t>VUGD</w:t>
      </w:r>
      <w:r w:rsidR="00094A2B" w:rsidRPr="00AA310C">
        <w:rPr>
          <w:rFonts w:ascii="Times New Roman" w:hAnsi="Times New Roman" w:cs="Times New Roman"/>
          <w:sz w:val="24"/>
          <w:szCs w:val="24"/>
          <w:lang w:eastAsia="lv-LV"/>
        </w:rPr>
        <w:t>, IeM IC, NVA)</w:t>
      </w:r>
      <w:r w:rsidR="004B0A72" w:rsidRPr="00AA310C">
        <w:rPr>
          <w:rFonts w:ascii="Times New Roman" w:hAnsi="Times New Roman" w:cs="Times New Roman"/>
          <w:sz w:val="24"/>
          <w:szCs w:val="24"/>
          <w:lang w:eastAsia="lv-LV"/>
        </w:rPr>
        <w:t xml:space="preserve"> </w:t>
      </w:r>
    </w:p>
    <w:bookmarkEnd w:id="32"/>
    <w:p w14:paraId="4680B35A" w14:textId="547B1E97" w:rsidR="0086147B" w:rsidRPr="00AA310C" w:rsidRDefault="0086147B" w:rsidP="0086147B">
      <w:pPr>
        <w:pStyle w:val="ListParagraph"/>
        <w:numPr>
          <w:ilvl w:val="0"/>
          <w:numId w:val="16"/>
        </w:numPr>
        <w:spacing w:line="240" w:lineRule="auto"/>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Izveidot Valsts civilās aizsardzības kontaktpunktu</w:t>
      </w:r>
      <w:r w:rsidR="00312C0F" w:rsidRPr="00AA310C">
        <w:rPr>
          <w:rStyle w:val="FootnoteReference"/>
          <w:rFonts w:ascii="Times New Roman" w:hAnsi="Times New Roman" w:cs="Times New Roman"/>
          <w:sz w:val="24"/>
          <w:szCs w:val="24"/>
          <w:lang w:eastAsia="lv-LV"/>
        </w:rPr>
        <w:footnoteReference w:id="14"/>
      </w:r>
      <w:r w:rsidRPr="00AA310C">
        <w:rPr>
          <w:rFonts w:ascii="Times New Roman" w:hAnsi="Times New Roman" w:cs="Times New Roman"/>
          <w:sz w:val="24"/>
          <w:szCs w:val="24"/>
          <w:lang w:eastAsia="lv-LV"/>
        </w:rPr>
        <w:t>,</w:t>
      </w:r>
      <w:r w:rsidR="00312C0F" w:rsidRPr="00AA310C">
        <w:rPr>
          <w:rFonts w:ascii="Times New Roman" w:hAnsi="Times New Roman" w:cs="Times New Roman"/>
          <w:sz w:val="24"/>
          <w:szCs w:val="24"/>
          <w:lang w:eastAsia="lv-LV"/>
        </w:rPr>
        <w:t xml:space="preserve"> nodrošināt</w:t>
      </w:r>
      <w:r w:rsidRPr="00AA310C">
        <w:rPr>
          <w:rFonts w:ascii="Times New Roman" w:hAnsi="Times New Roman" w:cs="Times New Roman"/>
          <w:sz w:val="24"/>
          <w:szCs w:val="24"/>
          <w:lang w:eastAsia="lv-LV"/>
        </w:rPr>
        <w:t xml:space="preserve"> tā tehnisko un analītisko spēju. (</w:t>
      </w:r>
      <w:r w:rsidRPr="00AA310C">
        <w:rPr>
          <w:rFonts w:ascii="Times New Roman" w:hAnsi="Times New Roman" w:cs="Times New Roman"/>
          <w:b/>
          <w:sz w:val="24"/>
          <w:szCs w:val="24"/>
          <w:lang w:eastAsia="lv-LV"/>
        </w:rPr>
        <w:t>VUGD</w:t>
      </w:r>
      <w:r w:rsidRPr="00AA310C">
        <w:rPr>
          <w:rFonts w:ascii="Times New Roman" w:hAnsi="Times New Roman" w:cs="Times New Roman"/>
          <w:sz w:val="24"/>
          <w:szCs w:val="24"/>
          <w:lang w:eastAsia="lv-LV"/>
        </w:rPr>
        <w:t>, IeM IC, NVA)</w:t>
      </w:r>
    </w:p>
    <w:p w14:paraId="07008360" w14:textId="56F45D3A" w:rsidR="00094A2B" w:rsidRPr="00B60ED2" w:rsidRDefault="00094A2B" w:rsidP="00094A2B">
      <w:pPr>
        <w:spacing w:line="240" w:lineRule="auto"/>
        <w:jc w:val="both"/>
        <w:rPr>
          <w:rFonts w:ascii="Times New Roman" w:hAnsi="Times New Roman" w:cs="Times New Roman"/>
          <w:sz w:val="24"/>
          <w:szCs w:val="24"/>
        </w:rPr>
      </w:pPr>
    </w:p>
    <w:p w14:paraId="77A96D4F" w14:textId="77777777" w:rsidR="00AC4B30" w:rsidRPr="00B60ED2" w:rsidRDefault="00AC4B30" w:rsidP="00094A2B">
      <w:pPr>
        <w:spacing w:line="240" w:lineRule="auto"/>
        <w:jc w:val="both"/>
        <w:rPr>
          <w:rFonts w:ascii="Times New Roman" w:hAnsi="Times New Roman" w:cs="Times New Roman"/>
          <w:sz w:val="24"/>
          <w:szCs w:val="24"/>
        </w:rPr>
      </w:pPr>
    </w:p>
    <w:p w14:paraId="3202B040"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lastRenderedPageBreak/>
        <w:t>Rīcības virziens: Izpratnes veicināšana par civilās aizsardzības sistēmu.</w:t>
      </w:r>
    </w:p>
    <w:p w14:paraId="2C3060DE" w14:textId="11B5558B"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02704F9E" w14:textId="505E0540" w:rsidR="00FD226F" w:rsidRPr="00B60ED2" w:rsidRDefault="00FD226F" w:rsidP="0079789F">
      <w:pPr>
        <w:pStyle w:val="ListParagraph"/>
        <w:numPr>
          <w:ilvl w:val="0"/>
          <w:numId w:val="17"/>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t>Noteikt pašvaldību civilās aizsardzības komisiju apmācības formu un tematiku,  sadarbībā ar kompetentajām institūcijām īstenot apmācības procesu. (</w:t>
      </w:r>
      <w:r w:rsidRPr="00B60ED2">
        <w:rPr>
          <w:rFonts w:ascii="Times New Roman" w:hAnsi="Times New Roman" w:cs="Times New Roman"/>
          <w:b/>
          <w:sz w:val="24"/>
          <w:szCs w:val="24"/>
        </w:rPr>
        <w:t>VUGD</w:t>
      </w:r>
      <w:r w:rsidRPr="00B60ED2">
        <w:rPr>
          <w:rFonts w:ascii="Times New Roman" w:hAnsi="Times New Roman" w:cs="Times New Roman"/>
          <w:sz w:val="24"/>
          <w:szCs w:val="24"/>
        </w:rPr>
        <w:t>)</w:t>
      </w:r>
    </w:p>
    <w:p w14:paraId="588F4A55" w14:textId="62859722" w:rsidR="001E63DF" w:rsidRPr="00AA310C" w:rsidRDefault="001E63DF" w:rsidP="001E63DF">
      <w:pPr>
        <w:pStyle w:val="ListParagraph"/>
        <w:numPr>
          <w:ilvl w:val="0"/>
          <w:numId w:val="17"/>
        </w:numPr>
        <w:spacing w:after="160" w:line="259" w:lineRule="auto"/>
        <w:jc w:val="both"/>
        <w:rPr>
          <w:rFonts w:ascii="Times New Roman" w:hAnsi="Times New Roman" w:cs="Times New Roman"/>
          <w:sz w:val="24"/>
          <w:szCs w:val="24"/>
        </w:rPr>
      </w:pPr>
      <w:r w:rsidRPr="00AA310C">
        <w:rPr>
          <w:rFonts w:ascii="Times New Roman" w:hAnsi="Times New Roman" w:cs="Times New Roman"/>
          <w:sz w:val="24"/>
          <w:szCs w:val="24"/>
        </w:rPr>
        <w:t>Izveidot Katastrofu r</w:t>
      </w:r>
      <w:r w:rsidR="00956BB5" w:rsidRPr="00AA310C">
        <w:rPr>
          <w:rFonts w:ascii="Times New Roman" w:hAnsi="Times New Roman" w:cs="Times New Roman"/>
          <w:sz w:val="24"/>
          <w:szCs w:val="24"/>
        </w:rPr>
        <w:t>a</w:t>
      </w:r>
      <w:r w:rsidRPr="00AA310C">
        <w:rPr>
          <w:rFonts w:ascii="Times New Roman" w:hAnsi="Times New Roman" w:cs="Times New Roman"/>
          <w:sz w:val="24"/>
          <w:szCs w:val="24"/>
        </w:rPr>
        <w:t>dīto postījumu un zaudējumu datu bāzi (tehnisko risinājumu), lai nodrošinātu informācijas uzkrāšanu katastrofu risku novēršanas vajadzībām</w:t>
      </w:r>
      <w:r w:rsidR="00256EF1" w:rsidRPr="00AA310C">
        <w:rPr>
          <w:rFonts w:ascii="Times New Roman" w:hAnsi="Times New Roman" w:cs="Times New Roman"/>
          <w:sz w:val="24"/>
          <w:szCs w:val="24"/>
        </w:rPr>
        <w:t>.</w:t>
      </w:r>
      <w:r w:rsidRPr="00AA310C">
        <w:rPr>
          <w:rFonts w:ascii="Times New Roman" w:hAnsi="Times New Roman" w:cs="Times New Roman"/>
          <w:sz w:val="24"/>
          <w:szCs w:val="24"/>
        </w:rPr>
        <w:t xml:space="preserve"> (</w:t>
      </w:r>
      <w:r w:rsidRPr="00AA310C">
        <w:rPr>
          <w:rFonts w:ascii="Times New Roman" w:hAnsi="Times New Roman" w:cs="Times New Roman"/>
          <w:b/>
          <w:sz w:val="24"/>
          <w:szCs w:val="24"/>
        </w:rPr>
        <w:t>IeM IC</w:t>
      </w:r>
      <w:r w:rsidRPr="00AA310C">
        <w:rPr>
          <w:rFonts w:ascii="Times New Roman" w:hAnsi="Times New Roman" w:cs="Times New Roman"/>
          <w:sz w:val="24"/>
          <w:szCs w:val="24"/>
        </w:rPr>
        <w:t>, VUGD)</w:t>
      </w:r>
    </w:p>
    <w:p w14:paraId="6D614D5E" w14:textId="77777777" w:rsidR="00165ADA" w:rsidRPr="00AA310C" w:rsidRDefault="00165ADA" w:rsidP="00165ADA">
      <w:pPr>
        <w:rPr>
          <w:rFonts w:ascii="Times New Roman" w:hAnsi="Times New Roman" w:cs="Times New Roman"/>
        </w:rPr>
      </w:pPr>
    </w:p>
    <w:p w14:paraId="48E1F294" w14:textId="77777777" w:rsidR="00165ADA" w:rsidRPr="00AA310C"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AA310C">
        <w:rPr>
          <w:rFonts w:ascii="Times New Roman" w:eastAsia="+mn-ea" w:hAnsi="Times New Roman" w:cs="Times New Roman"/>
          <w:b/>
          <w:bCs/>
          <w:color w:val="767171" w:themeColor="background2" w:themeShade="80"/>
          <w:kern w:val="24"/>
          <w:sz w:val="28"/>
          <w:szCs w:val="28"/>
          <w:lang w:eastAsia="lv-LV"/>
        </w:rPr>
        <w:t>Rīcības virziens: Efektīvas agrīnās brīdināšanas sistēmas ieviešana.</w:t>
      </w:r>
    </w:p>
    <w:p w14:paraId="1F23F31B" w14:textId="03687626" w:rsidR="00165ADA" w:rsidRPr="00AA310C" w:rsidRDefault="0031440A" w:rsidP="00165ADA">
      <w:pPr>
        <w:spacing w:line="240" w:lineRule="auto"/>
        <w:jc w:val="both"/>
        <w:rPr>
          <w:rFonts w:ascii="Times New Roman" w:eastAsia="+mn-ea" w:hAnsi="Times New Roman" w:cs="Times New Roman"/>
          <w:b/>
          <w:bCs/>
          <w:kern w:val="24"/>
          <w:sz w:val="24"/>
          <w:szCs w:val="32"/>
          <w:lang w:eastAsia="lv-LV"/>
        </w:rPr>
      </w:pPr>
      <w:r w:rsidRPr="00AA310C">
        <w:rPr>
          <w:rFonts w:ascii="Times New Roman" w:eastAsia="+mn-ea" w:hAnsi="Times New Roman" w:cs="Times New Roman"/>
          <w:b/>
          <w:bCs/>
          <w:kern w:val="24"/>
          <w:sz w:val="24"/>
          <w:szCs w:val="32"/>
          <w:lang w:eastAsia="lv-LV"/>
        </w:rPr>
        <w:t>Galvenie uzdevumi</w:t>
      </w:r>
      <w:r w:rsidR="00165ADA" w:rsidRPr="00AA310C">
        <w:rPr>
          <w:rFonts w:ascii="Times New Roman" w:eastAsia="+mn-ea" w:hAnsi="Times New Roman" w:cs="Times New Roman"/>
          <w:b/>
          <w:bCs/>
          <w:kern w:val="24"/>
          <w:sz w:val="24"/>
          <w:szCs w:val="32"/>
          <w:lang w:eastAsia="lv-LV"/>
        </w:rPr>
        <w:t>:</w:t>
      </w:r>
    </w:p>
    <w:p w14:paraId="2B3C8F22" w14:textId="77777777" w:rsidR="001E63DF" w:rsidRPr="00AA310C" w:rsidRDefault="00165ADA" w:rsidP="001E63DF">
      <w:pPr>
        <w:pStyle w:val="ListParagraph"/>
        <w:numPr>
          <w:ilvl w:val="0"/>
          <w:numId w:val="18"/>
        </w:numPr>
        <w:spacing w:after="160" w:line="259" w:lineRule="auto"/>
        <w:jc w:val="both"/>
        <w:rPr>
          <w:rFonts w:ascii="Times New Roman" w:hAnsi="Times New Roman" w:cs="Times New Roman"/>
          <w:sz w:val="24"/>
          <w:szCs w:val="24"/>
        </w:rPr>
      </w:pPr>
      <w:r w:rsidRPr="00AA310C">
        <w:rPr>
          <w:rFonts w:ascii="Times New Roman" w:hAnsi="Times New Roman" w:cs="Times New Roman"/>
          <w:sz w:val="24"/>
          <w:szCs w:val="24"/>
        </w:rPr>
        <w:t>Papildināt eksistējošo agrīnās brīdināšanas sistēmu ar šūnu apraides risinājumu. (</w:t>
      </w:r>
      <w:r w:rsidRPr="00AA310C">
        <w:rPr>
          <w:rFonts w:ascii="Times New Roman" w:hAnsi="Times New Roman" w:cs="Times New Roman"/>
          <w:b/>
          <w:sz w:val="24"/>
          <w:szCs w:val="24"/>
        </w:rPr>
        <w:t>IeM IC</w:t>
      </w:r>
      <w:r w:rsidRPr="00AA310C">
        <w:rPr>
          <w:rFonts w:ascii="Times New Roman" w:hAnsi="Times New Roman" w:cs="Times New Roman"/>
          <w:sz w:val="24"/>
          <w:szCs w:val="24"/>
        </w:rPr>
        <w:t>, VUGD)</w:t>
      </w:r>
    </w:p>
    <w:p w14:paraId="335C39C4" w14:textId="1B23E098" w:rsidR="001E63DF" w:rsidRPr="00AA310C" w:rsidRDefault="001E63DF" w:rsidP="001E63DF">
      <w:pPr>
        <w:pStyle w:val="ListParagraph"/>
        <w:numPr>
          <w:ilvl w:val="0"/>
          <w:numId w:val="18"/>
        </w:numPr>
        <w:spacing w:after="160" w:line="259" w:lineRule="auto"/>
        <w:jc w:val="both"/>
        <w:rPr>
          <w:rFonts w:ascii="Times New Roman" w:hAnsi="Times New Roman" w:cs="Times New Roman"/>
          <w:sz w:val="24"/>
          <w:szCs w:val="24"/>
        </w:rPr>
      </w:pPr>
      <w:r w:rsidRPr="00AA310C">
        <w:rPr>
          <w:rFonts w:ascii="Times New Roman" w:hAnsi="Times New Roman" w:cs="Times New Roman"/>
          <w:sz w:val="24"/>
          <w:szCs w:val="24"/>
        </w:rPr>
        <w:t>Nodrošināt valsts agrīnās brīdināšanas sistēmas pārbaudi un uzturēšanu, lai nodrošinātu sistēmas darbības noturību un nepārtrauktību, un veicinātu sabiedrības drošības un sagatavotības kultūras veidošanu. (</w:t>
      </w:r>
      <w:r w:rsidRPr="00AA310C">
        <w:rPr>
          <w:rFonts w:ascii="Times New Roman" w:hAnsi="Times New Roman" w:cs="Times New Roman"/>
          <w:b/>
          <w:sz w:val="24"/>
          <w:szCs w:val="24"/>
        </w:rPr>
        <w:t>IeM IC</w:t>
      </w:r>
      <w:r w:rsidRPr="00AA310C">
        <w:rPr>
          <w:rFonts w:ascii="Times New Roman" w:hAnsi="Times New Roman" w:cs="Times New Roman"/>
          <w:sz w:val="24"/>
          <w:szCs w:val="24"/>
        </w:rPr>
        <w:t>, VUGD)</w:t>
      </w:r>
    </w:p>
    <w:p w14:paraId="2F594FAF" w14:textId="77777777" w:rsidR="00165ADA" w:rsidRPr="00B60ED2" w:rsidRDefault="00165ADA" w:rsidP="00165ADA">
      <w:pPr>
        <w:rPr>
          <w:rFonts w:ascii="Times New Roman" w:eastAsia="+mn-ea" w:hAnsi="Times New Roman" w:cs="Times New Roman"/>
          <w:b/>
          <w:bCs/>
          <w:color w:val="767171" w:themeColor="background2" w:themeShade="80"/>
          <w:kern w:val="24"/>
          <w:sz w:val="32"/>
          <w:szCs w:val="32"/>
          <w:lang w:eastAsia="lv-LV"/>
        </w:rPr>
      </w:pPr>
    </w:p>
    <w:p w14:paraId="1052BEA0"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Kvalitatīvu ugunsgrēku dzēšanas un glābšanas darbu nodrošināšana.</w:t>
      </w:r>
    </w:p>
    <w:p w14:paraId="5167AFA1" w14:textId="296E0AEE"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11C99379" w14:textId="08280EEC" w:rsidR="00165ADA" w:rsidRPr="00B60ED2" w:rsidRDefault="00165ADA" w:rsidP="007312FB">
      <w:pPr>
        <w:pStyle w:val="ListParagraph"/>
        <w:numPr>
          <w:ilvl w:val="0"/>
          <w:numId w:val="1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dzīvības glābšanas kapacitāti izbraukumos uz notikumiem, paredzot katrā speciālajā ugunsdzēsības transportlīdzeklī vismaz trīs amatpersonas. (</w:t>
      </w:r>
      <w:r w:rsidRPr="00B60ED2">
        <w:rPr>
          <w:rFonts w:ascii="Times New Roman" w:hAnsi="Times New Roman" w:cs="Times New Roman"/>
          <w:b/>
          <w:sz w:val="24"/>
          <w:szCs w:val="24"/>
          <w:lang w:eastAsia="lv-LV"/>
        </w:rPr>
        <w:t>VUGD</w:t>
      </w:r>
      <w:r w:rsidRPr="00B60ED2">
        <w:rPr>
          <w:rFonts w:ascii="Times New Roman" w:hAnsi="Times New Roman" w:cs="Times New Roman"/>
          <w:sz w:val="24"/>
          <w:szCs w:val="24"/>
          <w:lang w:eastAsia="lv-LV"/>
        </w:rPr>
        <w:t>, IeM)</w:t>
      </w:r>
    </w:p>
    <w:p w14:paraId="03D127F7" w14:textId="7AA7F41A" w:rsidR="00600D06" w:rsidRPr="0022495A" w:rsidRDefault="00AB5993" w:rsidP="00600D06">
      <w:pPr>
        <w:pStyle w:val="ListParagraph"/>
        <w:numPr>
          <w:ilvl w:val="0"/>
          <w:numId w:val="19"/>
        </w:numPr>
        <w:spacing w:line="240" w:lineRule="auto"/>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Nodrošināt Valsts ugunsdzēsības un glābšanas dienesta</w:t>
      </w:r>
      <w:r w:rsidR="00600D06" w:rsidRPr="0022495A">
        <w:rPr>
          <w:rFonts w:ascii="Times New Roman" w:hAnsi="Times New Roman" w:cs="Times New Roman"/>
          <w:sz w:val="24"/>
          <w:szCs w:val="24"/>
          <w:lang w:eastAsia="lv-LV"/>
        </w:rPr>
        <w:t xml:space="preserve"> struktūrvienības ar speciāliem transportlīdzekļiem atbilstoši normatīvo aktu prasībām, panākot vidēju pamatautomobiļu vecuma samazināšanu līdz 10 gadiem. (</w:t>
      </w:r>
      <w:r w:rsidR="00600D06" w:rsidRPr="0022495A">
        <w:rPr>
          <w:rFonts w:ascii="Times New Roman" w:hAnsi="Times New Roman" w:cs="Times New Roman"/>
          <w:b/>
          <w:sz w:val="24"/>
          <w:szCs w:val="24"/>
          <w:lang w:eastAsia="lv-LV"/>
        </w:rPr>
        <w:t>IeM, VUGD, NVA</w:t>
      </w:r>
      <w:r w:rsidR="00600D06" w:rsidRPr="0022495A">
        <w:rPr>
          <w:rFonts w:ascii="Times New Roman" w:hAnsi="Times New Roman" w:cs="Times New Roman"/>
          <w:sz w:val="24"/>
          <w:szCs w:val="24"/>
          <w:lang w:eastAsia="lv-LV"/>
        </w:rPr>
        <w:t>)</w:t>
      </w:r>
    </w:p>
    <w:p w14:paraId="7D2B5694" w14:textId="3F5414B4" w:rsidR="00165ADA" w:rsidRPr="00B60ED2" w:rsidRDefault="00165ADA" w:rsidP="007312FB">
      <w:pPr>
        <w:pStyle w:val="ListParagraph"/>
        <w:numPr>
          <w:ilvl w:val="0"/>
          <w:numId w:val="1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Ieviest ugunsdrošības un civilās aizsardzības risk</w:t>
      </w:r>
      <w:r w:rsidR="00256EF1" w:rsidRPr="00B60ED2">
        <w:rPr>
          <w:rFonts w:ascii="Times New Roman" w:hAnsi="Times New Roman" w:cs="Times New Roman"/>
          <w:sz w:val="24"/>
          <w:szCs w:val="24"/>
          <w:lang w:eastAsia="lv-LV"/>
        </w:rPr>
        <w:t>u novērtēšanas instrumentu risku</w:t>
      </w:r>
      <w:r w:rsidRPr="00B60ED2">
        <w:rPr>
          <w:rFonts w:ascii="Times New Roman" w:hAnsi="Times New Roman" w:cs="Times New Roman"/>
          <w:sz w:val="24"/>
          <w:szCs w:val="24"/>
          <w:lang w:eastAsia="lv-LV"/>
        </w:rPr>
        <w:t xml:space="preserve"> analīzes veikšanai efektīvākai ugunsgrēku dzēšanas un glābšanas darbu nodrošināšanai, kā arī ugunsdzēsības depo izvietojuma tīkla optimizācijai. (</w:t>
      </w:r>
      <w:r w:rsidRPr="00B60ED2">
        <w:rPr>
          <w:rFonts w:ascii="Times New Roman" w:hAnsi="Times New Roman" w:cs="Times New Roman"/>
          <w:b/>
          <w:sz w:val="24"/>
          <w:szCs w:val="24"/>
          <w:lang w:eastAsia="lv-LV"/>
        </w:rPr>
        <w:t>VUGD</w:t>
      </w:r>
      <w:r w:rsidRPr="00B60ED2">
        <w:rPr>
          <w:rFonts w:ascii="Times New Roman" w:hAnsi="Times New Roman" w:cs="Times New Roman"/>
          <w:sz w:val="24"/>
          <w:szCs w:val="24"/>
          <w:lang w:eastAsia="lv-LV"/>
        </w:rPr>
        <w:t>, IeM IC)</w:t>
      </w:r>
    </w:p>
    <w:p w14:paraId="02A572DE" w14:textId="75AA7952" w:rsidR="00165ADA" w:rsidRPr="00AA310C" w:rsidRDefault="00165ADA" w:rsidP="007312FB">
      <w:pPr>
        <w:pStyle w:val="ListParagraph"/>
        <w:numPr>
          <w:ilvl w:val="0"/>
          <w:numId w:val="19"/>
        </w:numPr>
        <w:spacing w:line="240" w:lineRule="auto"/>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Uzlabot sabiedrībai sniedzamo operatīvo dienestu pakalpojumu pieejamību, pakalpojumu sniegšanas savlaicīgumu un to kvalitāti, pilnveidojot vienota zvanu kontaktu centra funkcionalitāti (</w:t>
      </w:r>
      <w:r w:rsidR="002305FE" w:rsidRPr="00AA310C">
        <w:rPr>
          <w:rFonts w:ascii="Times New Roman" w:hAnsi="Times New Roman" w:cs="Times New Roman"/>
          <w:sz w:val="24"/>
          <w:szCs w:val="24"/>
          <w:lang w:eastAsia="lv-LV"/>
        </w:rPr>
        <w:t>Vienotā kontaktu centra platforma</w:t>
      </w:r>
      <w:r w:rsidRPr="00AA310C">
        <w:rPr>
          <w:rFonts w:ascii="Times New Roman" w:hAnsi="Times New Roman" w:cs="Times New Roman"/>
          <w:sz w:val="24"/>
          <w:szCs w:val="24"/>
          <w:lang w:eastAsia="lv-LV"/>
        </w:rPr>
        <w:t>, 112 mobilā lietotne, 112.lv tīmekļvietne). (</w:t>
      </w:r>
      <w:r w:rsidRPr="00AA310C">
        <w:rPr>
          <w:rFonts w:ascii="Times New Roman" w:hAnsi="Times New Roman" w:cs="Times New Roman"/>
          <w:b/>
          <w:sz w:val="24"/>
          <w:szCs w:val="24"/>
          <w:lang w:eastAsia="lv-LV"/>
        </w:rPr>
        <w:t>IeM IC</w:t>
      </w:r>
      <w:r w:rsidRPr="00AA310C">
        <w:rPr>
          <w:rFonts w:ascii="Times New Roman" w:hAnsi="Times New Roman" w:cs="Times New Roman"/>
          <w:sz w:val="24"/>
          <w:szCs w:val="24"/>
          <w:lang w:eastAsia="lv-LV"/>
        </w:rPr>
        <w:t>, VUGD, VP)</w:t>
      </w:r>
    </w:p>
    <w:p w14:paraId="20344EF2" w14:textId="77777777" w:rsidR="00165ADA" w:rsidRPr="00B60ED2" w:rsidRDefault="00165ADA" w:rsidP="00165ADA">
      <w:pPr>
        <w:rPr>
          <w:rFonts w:ascii="Times New Roman" w:hAnsi="Times New Roman" w:cs="Times New Roman"/>
          <w:sz w:val="28"/>
          <w:szCs w:val="28"/>
        </w:rPr>
      </w:pPr>
    </w:p>
    <w:p w14:paraId="11C55869"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Mērķtiecīgas ugunsdrošības uzraudzības un prevencijas īstenošana.</w:t>
      </w:r>
    </w:p>
    <w:p w14:paraId="5ADD6AFE" w14:textId="0734959E" w:rsidR="00165ADA" w:rsidRPr="00AA310C" w:rsidRDefault="00165ADA" w:rsidP="00165ADA">
      <w:pPr>
        <w:spacing w:line="240" w:lineRule="auto"/>
        <w:jc w:val="both"/>
        <w:rPr>
          <w:rFonts w:ascii="Times New Roman" w:eastAsia="+mn-ea" w:hAnsi="Times New Roman" w:cs="Times New Roman"/>
          <w:b/>
          <w:bCs/>
          <w:kern w:val="24"/>
          <w:sz w:val="24"/>
          <w:szCs w:val="32"/>
          <w:lang w:eastAsia="lv-LV"/>
        </w:rPr>
      </w:pPr>
      <w:r w:rsidRPr="00AA310C">
        <w:rPr>
          <w:rFonts w:ascii="Times New Roman" w:eastAsia="+mn-ea" w:hAnsi="Times New Roman" w:cs="Times New Roman"/>
          <w:b/>
          <w:bCs/>
          <w:kern w:val="24"/>
          <w:sz w:val="24"/>
          <w:szCs w:val="32"/>
          <w:lang w:eastAsia="lv-LV"/>
        </w:rPr>
        <w:lastRenderedPageBreak/>
        <w:t xml:space="preserve">Galvenie </w:t>
      </w:r>
      <w:r w:rsidR="0031440A" w:rsidRPr="00AA310C">
        <w:rPr>
          <w:rFonts w:ascii="Times New Roman" w:eastAsia="+mn-ea" w:hAnsi="Times New Roman" w:cs="Times New Roman"/>
          <w:b/>
          <w:bCs/>
          <w:kern w:val="24"/>
          <w:sz w:val="24"/>
          <w:szCs w:val="32"/>
          <w:lang w:eastAsia="lv-LV"/>
        </w:rPr>
        <w:t>uzdevumi</w:t>
      </w:r>
      <w:r w:rsidRPr="00AA310C">
        <w:rPr>
          <w:rFonts w:ascii="Times New Roman" w:eastAsia="+mn-ea" w:hAnsi="Times New Roman" w:cs="Times New Roman"/>
          <w:b/>
          <w:bCs/>
          <w:kern w:val="24"/>
          <w:sz w:val="24"/>
          <w:szCs w:val="32"/>
          <w:lang w:eastAsia="lv-LV"/>
        </w:rPr>
        <w:t>:</w:t>
      </w:r>
    </w:p>
    <w:p w14:paraId="3AFC8AB4" w14:textId="0A01C76A" w:rsidR="001E63DF" w:rsidRPr="00AA310C" w:rsidRDefault="001E63DF" w:rsidP="001E63DF">
      <w:pPr>
        <w:pStyle w:val="ListParagraph"/>
        <w:numPr>
          <w:ilvl w:val="0"/>
          <w:numId w:val="33"/>
        </w:numPr>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Ieviest informācijas sistēmu “Vienotā ugunsdrošības un civilās aizsardzības platforma”, veicinot ārējo un iekšējo procesu digitalizāciju un nodrošinot VUGD ar mūsdienu tehniskajiem, plānošanas un komunikācijas rīkiem efektīvas ugunsdrošības uzraudzības un civilās aizsardzības funkciju nodrošināšanai. (</w:t>
      </w:r>
      <w:r w:rsidRPr="00AA310C">
        <w:rPr>
          <w:rFonts w:ascii="Times New Roman" w:hAnsi="Times New Roman" w:cs="Times New Roman"/>
          <w:b/>
          <w:sz w:val="24"/>
          <w:szCs w:val="24"/>
          <w:lang w:eastAsia="lv-LV"/>
        </w:rPr>
        <w:t>IeM IC</w:t>
      </w:r>
      <w:r w:rsidRPr="00AA310C">
        <w:rPr>
          <w:rFonts w:ascii="Times New Roman" w:hAnsi="Times New Roman" w:cs="Times New Roman"/>
          <w:sz w:val="24"/>
          <w:szCs w:val="24"/>
          <w:lang w:eastAsia="lv-LV"/>
        </w:rPr>
        <w:t xml:space="preserve">, VUGD) </w:t>
      </w:r>
    </w:p>
    <w:p w14:paraId="56CB6D57" w14:textId="446DF120" w:rsidR="001E63DF" w:rsidRPr="0022495A" w:rsidRDefault="00165ADA" w:rsidP="002305FE">
      <w:pPr>
        <w:pStyle w:val="ListParagraph"/>
        <w:numPr>
          <w:ilvl w:val="0"/>
          <w:numId w:val="33"/>
        </w:numPr>
        <w:spacing w:after="160" w:line="259" w:lineRule="auto"/>
        <w:jc w:val="both"/>
        <w:rPr>
          <w:rFonts w:ascii="Times New Roman" w:hAnsi="Times New Roman" w:cs="Times New Roman"/>
          <w:sz w:val="24"/>
          <w:szCs w:val="24"/>
        </w:rPr>
      </w:pPr>
      <w:r w:rsidRPr="0022495A">
        <w:rPr>
          <w:rFonts w:ascii="Times New Roman" w:hAnsi="Times New Roman" w:cs="Times New Roman"/>
          <w:sz w:val="24"/>
          <w:szCs w:val="24"/>
        </w:rPr>
        <w:t>Izstrādāt jaunu likumprojektu par ugunsdrošību un ugunsdzēsību, kā arī pakārtotos Ministru kabineta noteikumu projektus</w:t>
      </w:r>
      <w:r w:rsidR="001E63DF" w:rsidRPr="0022495A">
        <w:rPr>
          <w:rFonts w:ascii="Times New Roman" w:hAnsi="Times New Roman" w:cs="Times New Roman"/>
          <w:sz w:val="24"/>
          <w:szCs w:val="24"/>
        </w:rPr>
        <w:t>.</w:t>
      </w:r>
      <w:r w:rsidRPr="0022495A">
        <w:rPr>
          <w:rFonts w:ascii="Times New Roman" w:hAnsi="Times New Roman" w:cs="Times New Roman"/>
          <w:sz w:val="24"/>
          <w:szCs w:val="24"/>
        </w:rPr>
        <w:t xml:space="preserve"> (</w:t>
      </w:r>
      <w:r w:rsidRPr="0022495A">
        <w:rPr>
          <w:rFonts w:ascii="Times New Roman" w:hAnsi="Times New Roman" w:cs="Times New Roman"/>
          <w:b/>
          <w:sz w:val="24"/>
          <w:szCs w:val="24"/>
        </w:rPr>
        <w:t>IeM</w:t>
      </w:r>
      <w:r w:rsidR="001E63DF" w:rsidRPr="0022495A">
        <w:rPr>
          <w:rFonts w:ascii="Times New Roman" w:hAnsi="Times New Roman" w:cs="Times New Roman"/>
          <w:sz w:val="24"/>
          <w:szCs w:val="24"/>
        </w:rPr>
        <w:t>, VUGD)</w:t>
      </w:r>
    </w:p>
    <w:p w14:paraId="0EF0F5E4" w14:textId="79EE886A" w:rsidR="001E63DF" w:rsidRPr="00B60ED2" w:rsidRDefault="001E63DF" w:rsidP="001E63DF">
      <w:pPr>
        <w:pStyle w:val="ListParagraph"/>
        <w:numPr>
          <w:ilvl w:val="0"/>
          <w:numId w:val="33"/>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t>Izveidot stacionāro un pārvietojamās drošības klases, lai veicinātu sabiedrības zināšanu, prasmju un attieksmju kopumu par ugunsdrošības, ugunsdzēsības un civilās aizsardzības jautājumiem. (</w:t>
      </w:r>
      <w:r w:rsidRPr="00B60ED2">
        <w:rPr>
          <w:rFonts w:ascii="Times New Roman" w:hAnsi="Times New Roman" w:cs="Times New Roman"/>
          <w:b/>
          <w:sz w:val="24"/>
          <w:szCs w:val="24"/>
        </w:rPr>
        <w:t>VUGD</w:t>
      </w:r>
      <w:r w:rsidRPr="00B60ED2">
        <w:rPr>
          <w:rFonts w:ascii="Times New Roman" w:hAnsi="Times New Roman" w:cs="Times New Roman"/>
          <w:sz w:val="24"/>
          <w:szCs w:val="24"/>
        </w:rPr>
        <w:t>)</w:t>
      </w:r>
    </w:p>
    <w:p w14:paraId="39727BEE" w14:textId="77777777" w:rsidR="00165ADA" w:rsidRPr="00B60ED2" w:rsidRDefault="00165ADA" w:rsidP="00165ADA">
      <w:pPr>
        <w:rPr>
          <w:rFonts w:ascii="Times New Roman" w:hAnsi="Times New Roman" w:cs="Times New Roman"/>
        </w:rPr>
      </w:pPr>
      <w:r w:rsidRPr="00B60ED2">
        <w:rPr>
          <w:rFonts w:ascii="Times New Roman" w:hAnsi="Times New Roman" w:cs="Times New Roman"/>
        </w:rPr>
        <w:br w:type="page"/>
      </w:r>
    </w:p>
    <w:p w14:paraId="73864E2A" w14:textId="12A0220B" w:rsidR="007225D5" w:rsidRPr="00B60ED2" w:rsidRDefault="00454492" w:rsidP="00556B0C">
      <w:pPr>
        <w:pStyle w:val="NormalWeb"/>
        <w:spacing w:before="0" w:beforeAutospacing="0" w:after="120" w:afterAutospacing="0"/>
        <w:jc w:val="center"/>
        <w:rPr>
          <w:rFonts w:eastAsia="+mn-ea"/>
          <w:b/>
          <w:bCs/>
          <w:color w:val="767171" w:themeColor="background2" w:themeShade="80"/>
          <w:kern w:val="24"/>
          <w:sz w:val="32"/>
          <w:szCs w:val="32"/>
        </w:rPr>
      </w:pPr>
      <w:r w:rsidRPr="00B60ED2">
        <w:rPr>
          <w:rFonts w:eastAsia="+mn-ea"/>
          <w:b/>
          <w:bCs/>
          <w:color w:val="767171" w:themeColor="background2" w:themeShade="80"/>
          <w:kern w:val="24"/>
          <w:sz w:val="32"/>
          <w:szCs w:val="32"/>
        </w:rPr>
        <w:lastRenderedPageBreak/>
        <w:t xml:space="preserve">5. </w:t>
      </w:r>
      <w:bookmarkStart w:id="33" w:name="_Hlk173921889"/>
      <w:r w:rsidR="00165ADA" w:rsidRPr="00B60ED2">
        <w:rPr>
          <w:rFonts w:eastAsia="+mn-ea"/>
          <w:b/>
          <w:bCs/>
          <w:color w:val="767171" w:themeColor="background2" w:themeShade="80"/>
          <w:kern w:val="24"/>
          <w:sz w:val="32"/>
          <w:szCs w:val="32"/>
        </w:rPr>
        <w:t>Pilsonība, migrācija, iedzīvotāju uzskaite un personu apliecinoši dokumenti</w:t>
      </w:r>
      <w:bookmarkEnd w:id="33"/>
    </w:p>
    <w:tbl>
      <w:tblPr>
        <w:tblStyle w:val="GridTable4-Accent5"/>
        <w:tblW w:w="14029" w:type="dxa"/>
        <w:tblLook w:val="04A0" w:firstRow="1" w:lastRow="0" w:firstColumn="1" w:lastColumn="0" w:noHBand="0" w:noVBand="1"/>
      </w:tblPr>
      <w:tblGrid>
        <w:gridCol w:w="1725"/>
        <w:gridCol w:w="4464"/>
        <w:gridCol w:w="1295"/>
        <w:gridCol w:w="1378"/>
        <w:gridCol w:w="1291"/>
        <w:gridCol w:w="1293"/>
        <w:gridCol w:w="1291"/>
        <w:gridCol w:w="1292"/>
      </w:tblGrid>
      <w:tr w:rsidR="00326E29" w:rsidRPr="007205C4" w14:paraId="72BDC787" w14:textId="77777777" w:rsidTr="00556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29E32301" w14:textId="77777777" w:rsidR="00326E29" w:rsidRPr="007205C4" w:rsidRDefault="00326E29" w:rsidP="00F25486">
            <w:pPr>
              <w:jc w:val="center"/>
              <w:rPr>
                <w:rFonts w:ascii="Times New Roman" w:hAnsi="Times New Roman" w:cs="Times New Roman"/>
                <w:b w:val="0"/>
                <w:iCs/>
                <w:sz w:val="22"/>
                <w:szCs w:val="22"/>
                <w:lang w:eastAsia="lv-LV"/>
              </w:rPr>
            </w:pPr>
            <w:r w:rsidRPr="007205C4">
              <w:rPr>
                <w:rFonts w:ascii="Times New Roman" w:hAnsi="Times New Roman" w:cs="Times New Roman"/>
                <w:b w:val="0"/>
                <w:iCs/>
                <w:sz w:val="22"/>
                <w:szCs w:val="22"/>
                <w:lang w:eastAsia="lv-LV"/>
              </w:rPr>
              <w:t>Prioritārais politikas mērķis</w:t>
            </w:r>
          </w:p>
        </w:tc>
        <w:tc>
          <w:tcPr>
            <w:tcW w:w="4505" w:type="dxa"/>
            <w:vMerge w:val="restart"/>
            <w:vAlign w:val="center"/>
          </w:tcPr>
          <w:p w14:paraId="09C2B961" w14:textId="77777777" w:rsidR="00326E29" w:rsidRPr="007205C4" w:rsidRDefault="00326E29"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2"/>
                <w:szCs w:val="22"/>
                <w:lang w:eastAsia="lv-LV"/>
              </w:rPr>
            </w:pPr>
            <w:r w:rsidRPr="007205C4">
              <w:rPr>
                <w:rFonts w:ascii="Times New Roman" w:hAnsi="Times New Roman" w:cs="Times New Roman"/>
                <w:b w:val="0"/>
                <w:iCs/>
                <w:sz w:val="22"/>
                <w:szCs w:val="22"/>
                <w:lang w:eastAsia="lv-LV"/>
              </w:rPr>
              <w:t>Galvenais rezultatīvais rādītājs</w:t>
            </w:r>
          </w:p>
        </w:tc>
        <w:tc>
          <w:tcPr>
            <w:tcW w:w="7797" w:type="dxa"/>
            <w:gridSpan w:val="6"/>
          </w:tcPr>
          <w:p w14:paraId="0E4E73D1" w14:textId="48915F02" w:rsidR="00326E29" w:rsidRPr="007205C4" w:rsidRDefault="00326E29"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2"/>
                <w:szCs w:val="22"/>
                <w:lang w:eastAsia="lv-LV"/>
              </w:rPr>
            </w:pPr>
            <w:r w:rsidRPr="007205C4">
              <w:rPr>
                <w:rFonts w:ascii="Times New Roman" w:hAnsi="Times New Roman" w:cs="Times New Roman"/>
                <w:b w:val="0"/>
                <w:iCs/>
                <w:sz w:val="22"/>
                <w:szCs w:val="22"/>
                <w:lang w:eastAsia="lv-LV"/>
              </w:rPr>
              <w:t>Rādītāju vērtības (prognoze)</w:t>
            </w:r>
          </w:p>
        </w:tc>
      </w:tr>
      <w:tr w:rsidR="007205C4" w:rsidRPr="007205C4" w14:paraId="5892E367" w14:textId="77777777" w:rsidTr="0055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759C857E" w14:textId="77777777" w:rsidR="005A3DF1" w:rsidRPr="007205C4" w:rsidRDefault="005A3DF1" w:rsidP="00F25486">
            <w:pPr>
              <w:jc w:val="center"/>
              <w:rPr>
                <w:rFonts w:ascii="Times New Roman" w:hAnsi="Times New Roman" w:cs="Times New Roman"/>
                <w:b w:val="0"/>
                <w:iCs/>
                <w:sz w:val="22"/>
                <w:szCs w:val="22"/>
                <w:lang w:eastAsia="lv-LV"/>
              </w:rPr>
            </w:pPr>
          </w:p>
        </w:tc>
        <w:tc>
          <w:tcPr>
            <w:tcW w:w="4505" w:type="dxa"/>
            <w:vMerge/>
            <w:vAlign w:val="center"/>
          </w:tcPr>
          <w:p w14:paraId="10BA31EE"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p>
        </w:tc>
        <w:tc>
          <w:tcPr>
            <w:tcW w:w="1299" w:type="dxa"/>
          </w:tcPr>
          <w:p w14:paraId="7C9EDFA0" w14:textId="2424AE4E"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2021</w:t>
            </w:r>
            <w:r w:rsidR="00281630" w:rsidRPr="007205C4">
              <w:rPr>
                <w:rFonts w:ascii="Times New Roman" w:hAnsi="Times New Roman" w:cs="Times New Roman"/>
                <w:b/>
                <w:iCs/>
                <w:sz w:val="22"/>
                <w:szCs w:val="22"/>
                <w:lang w:eastAsia="lv-LV"/>
              </w:rPr>
              <w:t xml:space="preserve"> (izpilde)</w:t>
            </w:r>
          </w:p>
        </w:tc>
        <w:tc>
          <w:tcPr>
            <w:tcW w:w="1300" w:type="dxa"/>
            <w:vAlign w:val="center"/>
          </w:tcPr>
          <w:p w14:paraId="521A3460" w14:textId="10F0B00F"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2023</w:t>
            </w:r>
          </w:p>
        </w:tc>
        <w:tc>
          <w:tcPr>
            <w:tcW w:w="1299" w:type="dxa"/>
            <w:vAlign w:val="center"/>
          </w:tcPr>
          <w:p w14:paraId="52583A90"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2024</w:t>
            </w:r>
          </w:p>
        </w:tc>
        <w:tc>
          <w:tcPr>
            <w:tcW w:w="1300" w:type="dxa"/>
            <w:vAlign w:val="center"/>
          </w:tcPr>
          <w:p w14:paraId="1DCB918A"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2025</w:t>
            </w:r>
          </w:p>
        </w:tc>
        <w:tc>
          <w:tcPr>
            <w:tcW w:w="1299" w:type="dxa"/>
            <w:vAlign w:val="center"/>
          </w:tcPr>
          <w:p w14:paraId="259B0BD7"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2026</w:t>
            </w:r>
          </w:p>
        </w:tc>
        <w:tc>
          <w:tcPr>
            <w:tcW w:w="1300" w:type="dxa"/>
            <w:vAlign w:val="center"/>
          </w:tcPr>
          <w:p w14:paraId="4821ED21"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2027</w:t>
            </w:r>
          </w:p>
        </w:tc>
      </w:tr>
      <w:tr w:rsidR="007205C4" w:rsidRPr="007205C4" w14:paraId="4F5F81A0" w14:textId="77777777" w:rsidTr="00556B0C">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162ACD26" w14:textId="77777777" w:rsidR="00FC725A" w:rsidRPr="007205C4" w:rsidRDefault="00FC725A" w:rsidP="00FC725A">
            <w:pPr>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Nodrošināt ērtus, ātrus un kvalitatīvus pakalpojumus</w:t>
            </w:r>
          </w:p>
        </w:tc>
        <w:tc>
          <w:tcPr>
            <w:tcW w:w="4505" w:type="dxa"/>
          </w:tcPr>
          <w:p w14:paraId="65ADAE43" w14:textId="77777777" w:rsidR="00FC725A" w:rsidRPr="007205C4" w:rsidRDefault="00FC725A" w:rsidP="00FC72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Apmierināto klientu īpatsvars (%)</w:t>
            </w:r>
          </w:p>
          <w:p w14:paraId="030CDF69" w14:textId="34F993F3" w:rsidR="00556B0C" w:rsidRPr="007205C4" w:rsidRDefault="00556B0C" w:rsidP="00FC72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p>
        </w:tc>
        <w:tc>
          <w:tcPr>
            <w:tcW w:w="1299" w:type="dxa"/>
            <w:vAlign w:val="center"/>
          </w:tcPr>
          <w:p w14:paraId="77D67EEA" w14:textId="62629D70"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p>
        </w:tc>
        <w:tc>
          <w:tcPr>
            <w:tcW w:w="1300" w:type="dxa"/>
            <w:vAlign w:val="center"/>
          </w:tcPr>
          <w:p w14:paraId="1FE35FE4" w14:textId="53E87E76"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r w:rsidR="004E14A4" w:rsidRPr="007205C4">
              <w:rPr>
                <w:rFonts w:ascii="Times New Roman" w:hAnsi="Times New Roman" w:cs="Times New Roman"/>
                <w:iCs/>
                <w:sz w:val="22"/>
                <w:szCs w:val="22"/>
                <w:lang w:eastAsia="lv-LV"/>
              </w:rPr>
              <w:t>/77%</w:t>
            </w:r>
          </w:p>
        </w:tc>
        <w:tc>
          <w:tcPr>
            <w:tcW w:w="1299" w:type="dxa"/>
            <w:vAlign w:val="center"/>
          </w:tcPr>
          <w:p w14:paraId="70E26FC4" w14:textId="2C036FA3"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p>
        </w:tc>
        <w:tc>
          <w:tcPr>
            <w:tcW w:w="1300" w:type="dxa"/>
            <w:vAlign w:val="center"/>
          </w:tcPr>
          <w:p w14:paraId="39E69D0D" w14:textId="63FA941B"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92.5%</w:t>
            </w:r>
          </w:p>
        </w:tc>
        <w:tc>
          <w:tcPr>
            <w:tcW w:w="1299" w:type="dxa"/>
            <w:vAlign w:val="center"/>
          </w:tcPr>
          <w:p w14:paraId="5F23D676" w14:textId="62D51716"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93%</w:t>
            </w:r>
          </w:p>
        </w:tc>
        <w:tc>
          <w:tcPr>
            <w:tcW w:w="1300" w:type="dxa"/>
            <w:vAlign w:val="center"/>
          </w:tcPr>
          <w:p w14:paraId="7CE7456E" w14:textId="6F1F0002"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93%</w:t>
            </w:r>
          </w:p>
        </w:tc>
      </w:tr>
      <w:tr w:rsidR="007205C4" w:rsidRPr="007205C4" w14:paraId="3DA15AEB" w14:textId="77777777" w:rsidTr="0055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1DFCA9EC" w14:textId="77777777" w:rsidR="00FC725A" w:rsidRPr="007205C4" w:rsidRDefault="00FC725A" w:rsidP="00FC725A">
            <w:pPr>
              <w:rPr>
                <w:rFonts w:ascii="Times New Roman" w:hAnsi="Times New Roman" w:cs="Times New Roman"/>
                <w:iCs/>
                <w:sz w:val="22"/>
                <w:szCs w:val="22"/>
                <w:lang w:eastAsia="lv-LV"/>
              </w:rPr>
            </w:pPr>
          </w:p>
        </w:tc>
        <w:tc>
          <w:tcPr>
            <w:tcW w:w="4505" w:type="dxa"/>
          </w:tcPr>
          <w:p w14:paraId="010F9190" w14:textId="6404603C" w:rsidR="00556B0C" w:rsidRPr="007205C4" w:rsidRDefault="00FC725A" w:rsidP="00FC72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E-vidē nodrošināto pakalpojumu īpatsvars pret visiem sniegtajiem pakalpojumiem (%)</w:t>
            </w:r>
          </w:p>
        </w:tc>
        <w:tc>
          <w:tcPr>
            <w:tcW w:w="1299" w:type="dxa"/>
            <w:vAlign w:val="center"/>
          </w:tcPr>
          <w:p w14:paraId="10639CAE" w14:textId="4B10F380"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57%</w:t>
            </w:r>
          </w:p>
        </w:tc>
        <w:tc>
          <w:tcPr>
            <w:tcW w:w="1300" w:type="dxa"/>
            <w:vAlign w:val="center"/>
          </w:tcPr>
          <w:p w14:paraId="4D4FF816" w14:textId="7DD65A7A"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60%</w:t>
            </w:r>
            <w:r w:rsidR="004E14A4" w:rsidRPr="007205C4">
              <w:rPr>
                <w:rFonts w:ascii="Times New Roman" w:hAnsi="Times New Roman" w:cs="Times New Roman"/>
                <w:iCs/>
                <w:sz w:val="22"/>
                <w:szCs w:val="22"/>
                <w:lang w:eastAsia="lv-LV"/>
              </w:rPr>
              <w:t>/60%</w:t>
            </w:r>
          </w:p>
        </w:tc>
        <w:tc>
          <w:tcPr>
            <w:tcW w:w="1299" w:type="dxa"/>
            <w:vAlign w:val="center"/>
          </w:tcPr>
          <w:p w14:paraId="0FED355E" w14:textId="4F80A8E9"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64%</w:t>
            </w:r>
          </w:p>
        </w:tc>
        <w:tc>
          <w:tcPr>
            <w:tcW w:w="1300" w:type="dxa"/>
            <w:vAlign w:val="center"/>
          </w:tcPr>
          <w:p w14:paraId="1A252022" w14:textId="52052992"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66%</w:t>
            </w:r>
          </w:p>
        </w:tc>
        <w:tc>
          <w:tcPr>
            <w:tcW w:w="1299" w:type="dxa"/>
            <w:vAlign w:val="center"/>
          </w:tcPr>
          <w:p w14:paraId="1D4E68AF" w14:textId="6EA57F46"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68%</w:t>
            </w:r>
          </w:p>
        </w:tc>
        <w:tc>
          <w:tcPr>
            <w:tcW w:w="1300" w:type="dxa"/>
            <w:vAlign w:val="center"/>
          </w:tcPr>
          <w:p w14:paraId="6412BB1E" w14:textId="76648DF4"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70%</w:t>
            </w:r>
            <w:r w:rsidRPr="007205C4">
              <w:rPr>
                <w:rStyle w:val="FootnoteReference"/>
                <w:rFonts w:ascii="Times New Roman" w:hAnsi="Times New Roman" w:cs="Times New Roman"/>
                <w:iCs/>
                <w:sz w:val="22"/>
                <w:szCs w:val="22"/>
                <w:lang w:eastAsia="lv-LV"/>
              </w:rPr>
              <w:footnoteReference w:id="15"/>
            </w:r>
          </w:p>
        </w:tc>
      </w:tr>
      <w:tr w:rsidR="007205C4" w:rsidRPr="007205C4" w14:paraId="3E07292E" w14:textId="77777777" w:rsidTr="00556B0C">
        <w:trPr>
          <w:trHeight w:val="663"/>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7229CE39" w14:textId="77777777" w:rsidR="00FC725A" w:rsidRPr="007205C4" w:rsidRDefault="00FC725A" w:rsidP="00FC725A">
            <w:pPr>
              <w:rPr>
                <w:rFonts w:ascii="Times New Roman" w:hAnsi="Times New Roman" w:cs="Times New Roman"/>
                <w:iCs/>
                <w:sz w:val="22"/>
                <w:szCs w:val="22"/>
                <w:lang w:eastAsia="lv-LV"/>
              </w:rPr>
            </w:pPr>
          </w:p>
        </w:tc>
        <w:tc>
          <w:tcPr>
            <w:tcW w:w="4505" w:type="dxa"/>
          </w:tcPr>
          <w:p w14:paraId="48D94D47" w14:textId="76C398CC" w:rsidR="00556B0C" w:rsidRPr="007205C4" w:rsidRDefault="00FC725A" w:rsidP="00FC72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Vidējais gaidīšanas laiks līdz pieteikuma iesniegšanai par personu apliecinoša dokumenta saņemšanu (darba dienu skaits)</w:t>
            </w:r>
          </w:p>
        </w:tc>
        <w:tc>
          <w:tcPr>
            <w:tcW w:w="1299" w:type="dxa"/>
            <w:vAlign w:val="center"/>
          </w:tcPr>
          <w:p w14:paraId="081F034D" w14:textId="37D1128E"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11</w:t>
            </w:r>
          </w:p>
        </w:tc>
        <w:tc>
          <w:tcPr>
            <w:tcW w:w="1300" w:type="dxa"/>
            <w:vAlign w:val="center"/>
          </w:tcPr>
          <w:p w14:paraId="53767E46" w14:textId="4E5FB341"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10</w:t>
            </w:r>
            <w:r w:rsidR="004E14A4" w:rsidRPr="007205C4">
              <w:rPr>
                <w:rFonts w:ascii="Times New Roman" w:hAnsi="Times New Roman" w:cs="Times New Roman"/>
                <w:iCs/>
                <w:sz w:val="22"/>
                <w:szCs w:val="22"/>
                <w:lang w:eastAsia="lv-LV"/>
              </w:rPr>
              <w:t>/7</w:t>
            </w:r>
          </w:p>
        </w:tc>
        <w:tc>
          <w:tcPr>
            <w:tcW w:w="1299" w:type="dxa"/>
            <w:vAlign w:val="center"/>
          </w:tcPr>
          <w:p w14:paraId="03D72956" w14:textId="4460F70D"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8</w:t>
            </w:r>
          </w:p>
        </w:tc>
        <w:tc>
          <w:tcPr>
            <w:tcW w:w="1300" w:type="dxa"/>
            <w:vAlign w:val="center"/>
          </w:tcPr>
          <w:p w14:paraId="70597CEA" w14:textId="32726389"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7</w:t>
            </w:r>
          </w:p>
        </w:tc>
        <w:tc>
          <w:tcPr>
            <w:tcW w:w="1299" w:type="dxa"/>
            <w:vAlign w:val="center"/>
          </w:tcPr>
          <w:p w14:paraId="341A1173" w14:textId="5582F680"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w:t>
            </w:r>
          </w:p>
        </w:tc>
        <w:tc>
          <w:tcPr>
            <w:tcW w:w="1300" w:type="dxa"/>
            <w:vAlign w:val="center"/>
          </w:tcPr>
          <w:p w14:paraId="671C26BE" w14:textId="14DC6397"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5</w:t>
            </w:r>
          </w:p>
        </w:tc>
      </w:tr>
      <w:tr w:rsidR="00326E29" w:rsidRPr="007205C4" w14:paraId="7E3B4E6C" w14:textId="77777777" w:rsidTr="00556B0C">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727" w:type="dxa"/>
            <w:vAlign w:val="center"/>
          </w:tcPr>
          <w:p w14:paraId="33C3A19A" w14:textId="77777777" w:rsidR="00326E29" w:rsidRPr="007205C4" w:rsidRDefault="00326E29" w:rsidP="00F25486">
            <w:pPr>
              <w:rPr>
                <w:rFonts w:ascii="Times New Roman" w:hAnsi="Times New Roman" w:cs="Times New Roman"/>
                <w:iCs/>
                <w:sz w:val="22"/>
                <w:szCs w:val="22"/>
                <w:lang w:eastAsia="lv-LV"/>
              </w:rPr>
            </w:pPr>
            <w:r w:rsidRPr="007205C4">
              <w:rPr>
                <w:rFonts w:ascii="Times New Roman" w:hAnsi="Times New Roman" w:cs="Times New Roman"/>
                <w:b w:val="0"/>
                <w:iCs/>
                <w:sz w:val="22"/>
                <w:szCs w:val="22"/>
                <w:lang w:eastAsia="lv-LV"/>
              </w:rPr>
              <w:t>Iesaistītās iestādes</w:t>
            </w:r>
          </w:p>
        </w:tc>
        <w:tc>
          <w:tcPr>
            <w:tcW w:w="12302" w:type="dxa"/>
            <w:gridSpan w:val="7"/>
            <w:vAlign w:val="center"/>
          </w:tcPr>
          <w:p w14:paraId="731B6D41" w14:textId="28CE4C82" w:rsidR="00326E29" w:rsidRPr="007205C4" w:rsidRDefault="00326E29" w:rsidP="00326E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b/>
                <w:iCs/>
                <w:sz w:val="22"/>
                <w:szCs w:val="22"/>
                <w:lang w:eastAsia="lv-LV"/>
              </w:rPr>
              <w:t>Pilsonības un migrācijas lietu pārvalde</w:t>
            </w:r>
          </w:p>
        </w:tc>
      </w:tr>
      <w:tr w:rsidR="007205C4" w:rsidRPr="007205C4" w14:paraId="32950498" w14:textId="77777777" w:rsidTr="00556B0C">
        <w:trPr>
          <w:trHeight w:val="373"/>
        </w:trPr>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443C7028" w14:textId="77777777" w:rsidR="005A3DF1" w:rsidRPr="007205C4" w:rsidRDefault="005A3DF1" w:rsidP="00F25486">
            <w:pPr>
              <w:rPr>
                <w:rFonts w:ascii="Times New Roman" w:hAnsi="Times New Roman" w:cs="Times New Roman"/>
                <w:iCs/>
                <w:sz w:val="22"/>
                <w:szCs w:val="22"/>
                <w:lang w:eastAsia="lv-LV"/>
              </w:rPr>
            </w:pPr>
            <w:bookmarkStart w:id="34" w:name="_Hlk173921920"/>
            <w:r w:rsidRPr="007205C4">
              <w:rPr>
                <w:rFonts w:ascii="Times New Roman" w:hAnsi="Times New Roman" w:cs="Times New Roman"/>
                <w:iCs/>
                <w:sz w:val="22"/>
                <w:szCs w:val="22"/>
                <w:lang w:eastAsia="lv-LV"/>
              </w:rPr>
              <w:t>Nodrošināt efektīvu migrācijas politikas īstenošanu</w:t>
            </w:r>
            <w:bookmarkEnd w:id="34"/>
          </w:p>
        </w:tc>
        <w:tc>
          <w:tcPr>
            <w:tcW w:w="4505" w:type="dxa"/>
          </w:tcPr>
          <w:p w14:paraId="5DA79029" w14:textId="721353F7" w:rsidR="00556B0C" w:rsidRPr="007205C4" w:rsidRDefault="002305FE" w:rsidP="002305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bookmarkStart w:id="35" w:name="_Hlk160440769"/>
            <w:bookmarkStart w:id="36" w:name="_Hlk173921983"/>
            <w:r w:rsidRPr="007205C4">
              <w:rPr>
                <w:rFonts w:ascii="Times New Roman" w:hAnsi="Times New Roman" w:cs="Times New Roman"/>
                <w:iCs/>
                <w:sz w:val="22"/>
                <w:szCs w:val="22"/>
                <w:lang w:eastAsia="lv-LV"/>
              </w:rPr>
              <w:t>Pirmreizēji izsniegto uzturēšanās atļauju</w:t>
            </w:r>
            <w:r w:rsidR="005A3DF1" w:rsidRPr="007205C4">
              <w:rPr>
                <w:rFonts w:ascii="Times New Roman" w:hAnsi="Times New Roman" w:cs="Times New Roman"/>
                <w:iCs/>
                <w:sz w:val="22"/>
                <w:szCs w:val="22"/>
                <w:lang w:eastAsia="lv-LV"/>
              </w:rPr>
              <w:t xml:space="preserve"> skaita izmaiņas attiecībā pret iepriekšē</w:t>
            </w:r>
            <w:r w:rsidR="00472687" w:rsidRPr="007205C4">
              <w:rPr>
                <w:rFonts w:ascii="Times New Roman" w:hAnsi="Times New Roman" w:cs="Times New Roman"/>
                <w:iCs/>
                <w:sz w:val="22"/>
                <w:szCs w:val="22"/>
                <w:lang w:eastAsia="lv-LV"/>
              </w:rPr>
              <w:t xml:space="preserve">jā </w:t>
            </w:r>
            <w:r w:rsidR="005A3DF1" w:rsidRPr="007205C4">
              <w:rPr>
                <w:rFonts w:ascii="Times New Roman" w:hAnsi="Times New Roman" w:cs="Times New Roman"/>
                <w:iCs/>
                <w:sz w:val="22"/>
                <w:szCs w:val="22"/>
                <w:lang w:eastAsia="lv-LV"/>
              </w:rPr>
              <w:t xml:space="preserve"> gad</w:t>
            </w:r>
            <w:r w:rsidR="00472687" w:rsidRPr="007205C4">
              <w:rPr>
                <w:rFonts w:ascii="Times New Roman" w:hAnsi="Times New Roman" w:cs="Times New Roman"/>
                <w:iCs/>
                <w:sz w:val="22"/>
                <w:szCs w:val="22"/>
                <w:lang w:eastAsia="lv-LV"/>
              </w:rPr>
              <w:t>a plānu</w:t>
            </w:r>
            <w:r w:rsidR="005A3DF1" w:rsidRPr="007205C4">
              <w:rPr>
                <w:rFonts w:ascii="Times New Roman" w:hAnsi="Times New Roman" w:cs="Times New Roman"/>
                <w:iCs/>
                <w:sz w:val="22"/>
                <w:szCs w:val="22"/>
                <w:lang w:eastAsia="lv-LV"/>
              </w:rPr>
              <w:t xml:space="preserve"> </w:t>
            </w:r>
            <w:r w:rsidR="00FD5284" w:rsidRPr="007205C4">
              <w:rPr>
                <w:rFonts w:ascii="Times New Roman" w:hAnsi="Times New Roman" w:cs="Times New Roman"/>
                <w:iCs/>
                <w:sz w:val="22"/>
                <w:szCs w:val="22"/>
                <w:lang w:eastAsia="lv-LV"/>
              </w:rPr>
              <w:t>(skaits</w:t>
            </w:r>
            <w:r w:rsidR="005A3DF1" w:rsidRPr="007205C4">
              <w:rPr>
                <w:rFonts w:ascii="Times New Roman" w:hAnsi="Times New Roman" w:cs="Times New Roman"/>
                <w:iCs/>
                <w:sz w:val="22"/>
                <w:szCs w:val="22"/>
                <w:lang w:eastAsia="lv-LV"/>
              </w:rPr>
              <w:t>)</w:t>
            </w:r>
            <w:bookmarkEnd w:id="35"/>
            <w:bookmarkEnd w:id="36"/>
          </w:p>
        </w:tc>
        <w:tc>
          <w:tcPr>
            <w:tcW w:w="1299" w:type="dxa"/>
            <w:vAlign w:val="center"/>
          </w:tcPr>
          <w:p w14:paraId="755E845A" w14:textId="4FAED10D" w:rsidR="005A3DF1" w:rsidRPr="007205C4" w:rsidRDefault="00326E29" w:rsidP="00326E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+32%</w:t>
            </w:r>
          </w:p>
        </w:tc>
        <w:tc>
          <w:tcPr>
            <w:tcW w:w="1300" w:type="dxa"/>
            <w:vAlign w:val="center"/>
          </w:tcPr>
          <w:p w14:paraId="005268BD" w14:textId="4A267DA5" w:rsidR="00472687" w:rsidRPr="007205C4" w:rsidRDefault="0047268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16484/28052</w:t>
            </w:r>
          </w:p>
        </w:tc>
        <w:tc>
          <w:tcPr>
            <w:tcW w:w="1299" w:type="dxa"/>
            <w:vAlign w:val="center"/>
          </w:tcPr>
          <w:p w14:paraId="7488C717" w14:textId="2AE578FB" w:rsidR="00472687" w:rsidRPr="007205C4" w:rsidRDefault="0022495A"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iCs/>
                <w:sz w:val="22"/>
                <w:szCs w:val="22"/>
                <w:lang w:eastAsia="lv-LV"/>
              </w:rPr>
              <w:t>18132</w:t>
            </w:r>
          </w:p>
        </w:tc>
        <w:tc>
          <w:tcPr>
            <w:tcW w:w="1300" w:type="dxa"/>
            <w:vAlign w:val="center"/>
          </w:tcPr>
          <w:p w14:paraId="3E4AB28C" w14:textId="15E2181E" w:rsidR="00472687" w:rsidRPr="007205C4" w:rsidRDefault="0022495A"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iCs/>
                <w:sz w:val="22"/>
                <w:szCs w:val="22"/>
                <w:lang w:eastAsia="lv-LV"/>
              </w:rPr>
              <w:t>19945</w:t>
            </w:r>
          </w:p>
        </w:tc>
        <w:tc>
          <w:tcPr>
            <w:tcW w:w="1299" w:type="dxa"/>
            <w:vAlign w:val="center"/>
          </w:tcPr>
          <w:p w14:paraId="52B06A04" w14:textId="50F0D7D0" w:rsidR="00472687" w:rsidRPr="007205C4" w:rsidRDefault="0022495A"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iCs/>
                <w:sz w:val="22"/>
                <w:szCs w:val="22"/>
                <w:lang w:eastAsia="lv-LV"/>
              </w:rPr>
              <w:t>21940</w:t>
            </w:r>
          </w:p>
        </w:tc>
        <w:tc>
          <w:tcPr>
            <w:tcW w:w="1300" w:type="dxa"/>
            <w:vAlign w:val="center"/>
          </w:tcPr>
          <w:p w14:paraId="54E00E64" w14:textId="1DF7425D" w:rsidR="00472687" w:rsidRPr="007205C4" w:rsidRDefault="0047268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24134</w:t>
            </w:r>
          </w:p>
        </w:tc>
      </w:tr>
      <w:tr w:rsidR="007205C4" w:rsidRPr="007205C4" w14:paraId="4878E44C" w14:textId="77777777" w:rsidTr="00556B0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19DE1523" w14:textId="77777777" w:rsidR="00326E29" w:rsidRPr="007205C4" w:rsidRDefault="00326E29" w:rsidP="00326E29">
            <w:pPr>
              <w:rPr>
                <w:rFonts w:ascii="Times New Roman" w:hAnsi="Times New Roman" w:cs="Times New Roman"/>
                <w:iCs/>
                <w:sz w:val="22"/>
                <w:szCs w:val="22"/>
                <w:lang w:eastAsia="lv-LV"/>
              </w:rPr>
            </w:pPr>
          </w:p>
        </w:tc>
        <w:tc>
          <w:tcPr>
            <w:tcW w:w="4505" w:type="dxa"/>
          </w:tcPr>
          <w:p w14:paraId="77DD91FD" w14:textId="0366674B" w:rsidR="00556B0C" w:rsidRPr="007205C4" w:rsidRDefault="00326E29" w:rsidP="00326E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bookmarkStart w:id="37" w:name="_Hlk160440842"/>
            <w:r w:rsidRPr="007205C4">
              <w:rPr>
                <w:rFonts w:ascii="Times New Roman" w:hAnsi="Times New Roman" w:cs="Times New Roman"/>
                <w:iCs/>
                <w:sz w:val="22"/>
                <w:szCs w:val="22"/>
                <w:lang w:eastAsia="lv-LV"/>
              </w:rPr>
              <w:t>Uz no</w:t>
            </w:r>
            <w:r w:rsidR="002305FE" w:rsidRPr="007205C4">
              <w:rPr>
                <w:rFonts w:ascii="Times New Roman" w:hAnsi="Times New Roman" w:cs="Times New Roman"/>
                <w:iCs/>
                <w:sz w:val="22"/>
                <w:szCs w:val="22"/>
                <w:lang w:eastAsia="lv-LV"/>
              </w:rPr>
              <w:t>darbinātības pamata izsniegto uzturēšanās atļauju</w:t>
            </w:r>
            <w:r w:rsidRPr="007205C4">
              <w:rPr>
                <w:rFonts w:ascii="Times New Roman" w:hAnsi="Times New Roman" w:cs="Times New Roman"/>
                <w:iCs/>
                <w:sz w:val="22"/>
                <w:szCs w:val="22"/>
                <w:lang w:eastAsia="lv-LV"/>
              </w:rPr>
              <w:t xml:space="preserve"> un vīzu skaita izmaiņas attiecībā pret </w:t>
            </w:r>
            <w:r w:rsidR="00472687" w:rsidRPr="007205C4">
              <w:rPr>
                <w:rFonts w:ascii="Times New Roman" w:hAnsi="Times New Roman" w:cs="Times New Roman"/>
                <w:iCs/>
                <w:sz w:val="22"/>
                <w:szCs w:val="22"/>
                <w:lang w:eastAsia="lv-LV"/>
              </w:rPr>
              <w:t xml:space="preserve">iepriekšējā gada plānu </w:t>
            </w:r>
            <w:r w:rsidRPr="007205C4">
              <w:rPr>
                <w:rFonts w:ascii="Times New Roman" w:hAnsi="Times New Roman" w:cs="Times New Roman"/>
                <w:iCs/>
                <w:sz w:val="22"/>
                <w:szCs w:val="22"/>
                <w:lang w:eastAsia="lv-LV"/>
              </w:rPr>
              <w:t xml:space="preserve"> (</w:t>
            </w:r>
            <w:r w:rsidR="00FD5284" w:rsidRPr="007205C4">
              <w:rPr>
                <w:rFonts w:ascii="Times New Roman" w:hAnsi="Times New Roman" w:cs="Times New Roman"/>
                <w:iCs/>
                <w:sz w:val="22"/>
                <w:szCs w:val="22"/>
                <w:lang w:eastAsia="lv-LV"/>
              </w:rPr>
              <w:t>skaits</w:t>
            </w:r>
            <w:r w:rsidRPr="007205C4">
              <w:rPr>
                <w:rFonts w:ascii="Times New Roman" w:hAnsi="Times New Roman" w:cs="Times New Roman"/>
                <w:iCs/>
                <w:sz w:val="22"/>
                <w:szCs w:val="22"/>
                <w:lang w:eastAsia="lv-LV"/>
              </w:rPr>
              <w:t>)</w:t>
            </w:r>
            <w:bookmarkEnd w:id="37"/>
          </w:p>
        </w:tc>
        <w:tc>
          <w:tcPr>
            <w:tcW w:w="1299" w:type="dxa"/>
            <w:vAlign w:val="center"/>
          </w:tcPr>
          <w:p w14:paraId="4936E376" w14:textId="2266908A" w:rsidR="00326E29" w:rsidRPr="007205C4" w:rsidRDefault="00326E29"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+34%</w:t>
            </w:r>
          </w:p>
        </w:tc>
        <w:tc>
          <w:tcPr>
            <w:tcW w:w="1300" w:type="dxa"/>
            <w:vAlign w:val="center"/>
          </w:tcPr>
          <w:p w14:paraId="0A36928C" w14:textId="41AEF391" w:rsidR="00472687" w:rsidRPr="007205C4" w:rsidRDefault="00472687" w:rsidP="007205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Pr>
                <w:rFonts w:ascii="Times New Roman" w:hAnsi="Times New Roman" w:cs="Times New Roman"/>
                <w:sz w:val="22"/>
                <w:szCs w:val="22"/>
              </w:rPr>
              <w:t>14014/11640</w:t>
            </w:r>
          </w:p>
        </w:tc>
        <w:tc>
          <w:tcPr>
            <w:tcW w:w="1299" w:type="dxa"/>
            <w:vAlign w:val="center"/>
          </w:tcPr>
          <w:p w14:paraId="6AA0AD3E" w14:textId="5C4651B4" w:rsidR="00472687" w:rsidRPr="007205C4" w:rsidRDefault="0022495A"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sz w:val="22"/>
                <w:szCs w:val="22"/>
              </w:rPr>
              <w:t>14715</w:t>
            </w:r>
          </w:p>
        </w:tc>
        <w:tc>
          <w:tcPr>
            <w:tcW w:w="1300" w:type="dxa"/>
            <w:vAlign w:val="center"/>
          </w:tcPr>
          <w:p w14:paraId="3123200E" w14:textId="328233D3" w:rsidR="00472687" w:rsidRPr="007205C4" w:rsidRDefault="0022495A"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sz w:val="22"/>
                <w:szCs w:val="22"/>
              </w:rPr>
              <w:t>15451</w:t>
            </w:r>
          </w:p>
        </w:tc>
        <w:tc>
          <w:tcPr>
            <w:tcW w:w="1299" w:type="dxa"/>
            <w:vAlign w:val="center"/>
          </w:tcPr>
          <w:p w14:paraId="2B918E95" w14:textId="676BA84A" w:rsidR="00472687" w:rsidRPr="007205C4" w:rsidRDefault="0022495A"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sz w:val="22"/>
                <w:szCs w:val="22"/>
              </w:rPr>
              <w:t>16224</w:t>
            </w:r>
          </w:p>
        </w:tc>
        <w:tc>
          <w:tcPr>
            <w:tcW w:w="1300" w:type="dxa"/>
            <w:vAlign w:val="center"/>
          </w:tcPr>
          <w:p w14:paraId="0A17A746" w14:textId="0BB56D15" w:rsidR="00472687" w:rsidRPr="007205C4" w:rsidRDefault="0022495A"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sz w:val="22"/>
                <w:szCs w:val="22"/>
              </w:rPr>
              <w:t>17035</w:t>
            </w:r>
          </w:p>
        </w:tc>
      </w:tr>
      <w:tr w:rsidR="007205C4" w:rsidRPr="007205C4" w14:paraId="3357D30F" w14:textId="77777777" w:rsidTr="00556B0C">
        <w:trPr>
          <w:trHeight w:val="373"/>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60DB1678" w14:textId="77777777" w:rsidR="00FC725A" w:rsidRPr="007205C4" w:rsidRDefault="00FC725A" w:rsidP="00FC725A">
            <w:pPr>
              <w:rPr>
                <w:rFonts w:ascii="Times New Roman" w:hAnsi="Times New Roman" w:cs="Times New Roman"/>
                <w:iCs/>
                <w:sz w:val="22"/>
                <w:szCs w:val="22"/>
                <w:lang w:eastAsia="lv-LV"/>
              </w:rPr>
            </w:pPr>
          </w:p>
        </w:tc>
        <w:tc>
          <w:tcPr>
            <w:tcW w:w="4505" w:type="dxa"/>
          </w:tcPr>
          <w:p w14:paraId="4FF9D1C9" w14:textId="4DB0C56C" w:rsidR="00FC725A" w:rsidRPr="007205C4" w:rsidRDefault="002305FE" w:rsidP="00FC72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bookmarkStart w:id="38" w:name="_Hlk173933405"/>
            <w:r w:rsidRPr="007205C4">
              <w:rPr>
                <w:rFonts w:ascii="Times New Roman" w:hAnsi="Times New Roman" w:cs="Times New Roman"/>
                <w:iCs/>
                <w:sz w:val="22"/>
                <w:szCs w:val="22"/>
                <w:lang w:eastAsia="lv-LV"/>
              </w:rPr>
              <w:t>Pilsonības un migrācijas lietu pārvaldes</w:t>
            </w:r>
            <w:r w:rsidR="00FC725A" w:rsidRPr="007205C4">
              <w:rPr>
                <w:rFonts w:ascii="Times New Roman" w:hAnsi="Times New Roman" w:cs="Times New Roman"/>
                <w:iCs/>
                <w:sz w:val="22"/>
                <w:szCs w:val="22"/>
                <w:lang w:eastAsia="lv-LV"/>
              </w:rPr>
              <w:t xml:space="preserve"> struktūrvienībās migrācijas jomā pēcpārbaudes rezultātā optimālo novērtējumu saņēmušo pieņemto lēmumu un faktiskās rīcības īpatsvars (%)</w:t>
            </w:r>
            <w:bookmarkEnd w:id="38"/>
          </w:p>
        </w:tc>
        <w:tc>
          <w:tcPr>
            <w:tcW w:w="1299" w:type="dxa"/>
            <w:vAlign w:val="center"/>
          </w:tcPr>
          <w:p w14:paraId="5D3567E1" w14:textId="038809DE"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p>
        </w:tc>
        <w:tc>
          <w:tcPr>
            <w:tcW w:w="1300" w:type="dxa"/>
            <w:vAlign w:val="center"/>
          </w:tcPr>
          <w:p w14:paraId="3DF1DDD7" w14:textId="19D4C2FE"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r w:rsidR="004E14A4" w:rsidRPr="007205C4">
              <w:rPr>
                <w:rFonts w:ascii="Times New Roman" w:hAnsi="Times New Roman" w:cs="Times New Roman"/>
                <w:iCs/>
                <w:sz w:val="22"/>
                <w:szCs w:val="22"/>
                <w:lang w:eastAsia="lv-LV"/>
              </w:rPr>
              <w:t>/96%</w:t>
            </w:r>
          </w:p>
        </w:tc>
        <w:tc>
          <w:tcPr>
            <w:tcW w:w="1299" w:type="dxa"/>
            <w:vAlign w:val="center"/>
          </w:tcPr>
          <w:p w14:paraId="02D86870" w14:textId="37842EAF" w:rsidR="00FC725A" w:rsidRPr="007205C4" w:rsidRDefault="002249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95%</w:t>
            </w:r>
          </w:p>
        </w:tc>
        <w:tc>
          <w:tcPr>
            <w:tcW w:w="1300" w:type="dxa"/>
            <w:vAlign w:val="center"/>
          </w:tcPr>
          <w:p w14:paraId="432B304F" w14:textId="7994CA56" w:rsidR="00FC725A" w:rsidRPr="007205C4" w:rsidRDefault="002249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95%</w:t>
            </w:r>
          </w:p>
        </w:tc>
        <w:tc>
          <w:tcPr>
            <w:tcW w:w="1299" w:type="dxa"/>
            <w:vAlign w:val="center"/>
          </w:tcPr>
          <w:p w14:paraId="6AE91333" w14:textId="340F6C61" w:rsidR="00FC725A" w:rsidRPr="007205C4" w:rsidRDefault="002249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95%</w:t>
            </w:r>
          </w:p>
        </w:tc>
        <w:tc>
          <w:tcPr>
            <w:tcW w:w="1300" w:type="dxa"/>
            <w:vAlign w:val="center"/>
          </w:tcPr>
          <w:p w14:paraId="0A928DD5" w14:textId="0051E62B" w:rsidR="00FC725A" w:rsidRPr="007205C4" w:rsidRDefault="002249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95%</w:t>
            </w:r>
          </w:p>
        </w:tc>
      </w:tr>
      <w:tr w:rsidR="00326E29" w:rsidRPr="007205C4" w14:paraId="51F47DE6" w14:textId="77777777" w:rsidTr="00556B0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27" w:type="dxa"/>
            <w:vAlign w:val="center"/>
          </w:tcPr>
          <w:p w14:paraId="4B48C682" w14:textId="77777777" w:rsidR="00326E29" w:rsidRPr="007205C4" w:rsidRDefault="00326E29" w:rsidP="00326E29">
            <w:pPr>
              <w:rPr>
                <w:rFonts w:ascii="Times New Roman" w:hAnsi="Times New Roman" w:cs="Times New Roman"/>
                <w:iCs/>
                <w:sz w:val="22"/>
                <w:szCs w:val="22"/>
                <w:lang w:eastAsia="lv-LV"/>
              </w:rPr>
            </w:pPr>
            <w:r w:rsidRPr="007205C4">
              <w:rPr>
                <w:rFonts w:ascii="Times New Roman" w:hAnsi="Times New Roman" w:cs="Times New Roman"/>
                <w:b w:val="0"/>
                <w:iCs/>
                <w:sz w:val="22"/>
                <w:szCs w:val="22"/>
                <w:lang w:eastAsia="lv-LV"/>
              </w:rPr>
              <w:t>Iesaistītās iestādes</w:t>
            </w:r>
          </w:p>
        </w:tc>
        <w:tc>
          <w:tcPr>
            <w:tcW w:w="12302" w:type="dxa"/>
            <w:gridSpan w:val="7"/>
            <w:vAlign w:val="center"/>
          </w:tcPr>
          <w:p w14:paraId="41F43DD2" w14:textId="64DF1261" w:rsidR="00326E29" w:rsidRPr="007205C4" w:rsidRDefault="00326E29" w:rsidP="00326E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b/>
                <w:iCs/>
                <w:sz w:val="22"/>
                <w:szCs w:val="22"/>
                <w:lang w:eastAsia="lv-LV"/>
              </w:rPr>
              <w:t>Pilsonības un migrācijas lietu pārvalde</w:t>
            </w:r>
          </w:p>
        </w:tc>
      </w:tr>
    </w:tbl>
    <w:p w14:paraId="2B8ECDE0" w14:textId="77777777" w:rsidR="00165ADA" w:rsidRPr="00B60ED2" w:rsidRDefault="00165ADA" w:rsidP="00165ADA">
      <w:pPr>
        <w:rPr>
          <w:rFonts w:ascii="Times New Roman" w:hAnsi="Times New Roman" w:cs="Times New Roman"/>
          <w:iCs/>
          <w:lang w:eastAsia="lv-LV"/>
        </w:rPr>
      </w:pPr>
    </w:p>
    <w:p w14:paraId="71C402FF" w14:textId="77777777" w:rsidR="00AC4B30" w:rsidRPr="00B60ED2" w:rsidRDefault="00AC4B30"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p>
    <w:p w14:paraId="207CE4BE" w14:textId="45087D84"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Ērtākas un plašākas e-vides pieejamība un izmantošana.</w:t>
      </w:r>
    </w:p>
    <w:p w14:paraId="726002BF" w14:textId="5F57DEEF"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lastRenderedPageBreak/>
        <w:t xml:space="preserve">Galvenie </w:t>
      </w:r>
      <w:r w:rsidR="0031440A" w:rsidRPr="00B60ED2">
        <w:rPr>
          <w:rFonts w:ascii="Times New Roman" w:hAnsi="Times New Roman" w:cs="Times New Roman"/>
          <w:b/>
          <w:sz w:val="24"/>
          <w:szCs w:val="24"/>
          <w:lang w:eastAsia="lv-LV"/>
        </w:rPr>
        <w:t>uzdevum</w:t>
      </w:r>
      <w:r w:rsidRPr="00B60ED2">
        <w:rPr>
          <w:rFonts w:ascii="Times New Roman" w:hAnsi="Times New Roman" w:cs="Times New Roman"/>
          <w:b/>
          <w:sz w:val="24"/>
          <w:szCs w:val="24"/>
          <w:lang w:eastAsia="lv-LV"/>
        </w:rPr>
        <w:t>i:</w:t>
      </w:r>
    </w:p>
    <w:p w14:paraId="6F6B23C5" w14:textId="2586C892" w:rsidR="00FC725A" w:rsidRPr="00B60ED2" w:rsidRDefault="00FC725A" w:rsidP="00CA3424">
      <w:pPr>
        <w:pStyle w:val="ListParagraph"/>
        <w:numPr>
          <w:ilvl w:val="0"/>
          <w:numId w:val="50"/>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Paplašināt P</w:t>
      </w:r>
      <w:r w:rsidR="002305FE" w:rsidRPr="00B60ED2">
        <w:rPr>
          <w:rFonts w:ascii="Times New Roman" w:hAnsi="Times New Roman" w:cs="Times New Roman"/>
          <w:sz w:val="24"/>
          <w:szCs w:val="24"/>
          <w:lang w:eastAsia="lv-LV"/>
        </w:rPr>
        <w:t>ilsonības un migrāciju lietu pārvaldes</w:t>
      </w:r>
      <w:r w:rsidRPr="00B60ED2">
        <w:rPr>
          <w:rFonts w:ascii="Times New Roman" w:hAnsi="Times New Roman" w:cs="Times New Roman"/>
          <w:sz w:val="24"/>
          <w:szCs w:val="24"/>
          <w:lang w:eastAsia="lv-LV"/>
        </w:rPr>
        <w:t xml:space="preserve"> funkcijas, paredzot personu sagatavošanu digitālo iespēju lietošanai (</w:t>
      </w:r>
      <w:proofErr w:type="spellStart"/>
      <w:r w:rsidRPr="00B60ED2">
        <w:rPr>
          <w:rFonts w:ascii="Times New Roman" w:hAnsi="Times New Roman" w:cs="Times New Roman"/>
          <w:sz w:val="24"/>
          <w:szCs w:val="24"/>
          <w:lang w:eastAsia="lv-LV"/>
        </w:rPr>
        <w:t>eID</w:t>
      </w:r>
      <w:proofErr w:type="spellEnd"/>
      <w:r w:rsidRPr="00B60ED2">
        <w:rPr>
          <w:rFonts w:ascii="Times New Roman" w:hAnsi="Times New Roman" w:cs="Times New Roman"/>
          <w:sz w:val="24"/>
          <w:szCs w:val="24"/>
          <w:lang w:eastAsia="lv-LV"/>
        </w:rPr>
        <w:t xml:space="preserve"> izsniegšana, e-paraksts </w:t>
      </w:r>
      <w:proofErr w:type="spellStart"/>
      <w:r w:rsidRPr="007205C4">
        <w:rPr>
          <w:rFonts w:ascii="Times New Roman" w:hAnsi="Times New Roman" w:cs="Times New Roman"/>
          <w:i/>
          <w:sz w:val="24"/>
          <w:szCs w:val="24"/>
          <w:lang w:eastAsia="lv-LV"/>
        </w:rPr>
        <w:t>mobile</w:t>
      </w:r>
      <w:proofErr w:type="spellEnd"/>
      <w:r w:rsidRPr="00B60ED2">
        <w:rPr>
          <w:rFonts w:ascii="Times New Roman" w:hAnsi="Times New Roman" w:cs="Times New Roman"/>
          <w:sz w:val="24"/>
          <w:szCs w:val="24"/>
          <w:lang w:eastAsia="lv-LV"/>
        </w:rPr>
        <w:t xml:space="preserve"> izsniegšana un e-adreses aktivizēšana).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653B16B2" w14:textId="77777777" w:rsidR="00FC725A" w:rsidRPr="00B60ED2" w:rsidRDefault="00FC725A" w:rsidP="00CA3424">
      <w:pPr>
        <w:pStyle w:val="ListParagraph"/>
        <w:numPr>
          <w:ilvl w:val="0"/>
          <w:numId w:val="50"/>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ērtāku pakalpojumu elektronisku pieteikšanu migrācijas jomā.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5F294B0E" w14:textId="77777777" w:rsidR="00FC725A" w:rsidRPr="00B60ED2" w:rsidRDefault="00FC725A" w:rsidP="00CA3424">
      <w:pPr>
        <w:pStyle w:val="ListParagraph"/>
        <w:numPr>
          <w:ilvl w:val="0"/>
          <w:numId w:val="50"/>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iespēju pilsonības iegūšanas pārbaudes un ārvalstīs dzimušu bērnu reģistrāciju veikt elektroniski.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5EE2A42E" w14:textId="37A20F14" w:rsidR="00165ADA" w:rsidRPr="00B60ED2" w:rsidRDefault="00FC725A" w:rsidP="00CA3424">
      <w:pPr>
        <w:pStyle w:val="ListParagraph"/>
        <w:numPr>
          <w:ilvl w:val="0"/>
          <w:numId w:val="50"/>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Pilnveidot elektroniskos pakalpojumus fizisko personu uzskaites jomā.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37C17445"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39" w:name="_Hlk173934128"/>
      <w:r w:rsidRPr="00B60ED2">
        <w:rPr>
          <w:rFonts w:ascii="Times New Roman" w:eastAsia="+mn-ea" w:hAnsi="Times New Roman" w:cs="Times New Roman"/>
          <w:b/>
          <w:bCs/>
          <w:color w:val="767171" w:themeColor="background2" w:themeShade="80"/>
          <w:kern w:val="24"/>
          <w:sz w:val="28"/>
          <w:szCs w:val="28"/>
          <w:lang w:eastAsia="lv-LV"/>
        </w:rPr>
        <w:t>Rīcības virziens: Resursu efektīvas izmantošanas pilnveide, lai nodrošinātu ātru personu apliecinošu dokumentu saņemšanu.</w:t>
      </w:r>
    </w:p>
    <w:bookmarkEnd w:id="39"/>
    <w:p w14:paraId="67CDFB99" w14:textId="3D0D40DD" w:rsidR="00165ADA" w:rsidRPr="00B60ED2" w:rsidRDefault="00165ADA" w:rsidP="00FC725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31440A"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3622BAF8" w14:textId="77777777" w:rsidR="00FC725A" w:rsidRPr="00B60ED2" w:rsidRDefault="00FC725A" w:rsidP="00FC725A">
      <w:pPr>
        <w:pStyle w:val="ListParagraph"/>
        <w:numPr>
          <w:ilvl w:val="0"/>
          <w:numId w:val="21"/>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personu apliecinošu dokumentu noformēšanas un izsniegšanas apstrādes darbavietas ar jaunu un modernu tehnisko aprīkojumu, tai skaitā paredzot iespēju, ka daļa pakalpojuma saņemšanas tiek veikta klientu pašapkalpošanās režīmā.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 IeM IC)</w:t>
      </w:r>
    </w:p>
    <w:p w14:paraId="6D6B9794" w14:textId="77777777" w:rsidR="00FC725A" w:rsidRPr="00B60ED2" w:rsidRDefault="00FC725A" w:rsidP="00FC725A">
      <w:pPr>
        <w:pStyle w:val="ListParagraph"/>
        <w:numPr>
          <w:ilvl w:val="0"/>
          <w:numId w:val="21"/>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Pilnveidot personu apliecinošu dokumentu izsniegšanas procesā izmantoto informācijas tehnoloģisko risinājumu darbību (jauna Personu apliecinošu dokumentu informācijas sistēma un jauns personalizācijas centrs).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 xml:space="preserve">, IeM IC) </w:t>
      </w:r>
    </w:p>
    <w:p w14:paraId="643A02DB" w14:textId="75CFCC58" w:rsidR="00165ADA" w:rsidRPr="00B60ED2" w:rsidRDefault="00FC725A" w:rsidP="00531790">
      <w:pPr>
        <w:pStyle w:val="ListParagraph"/>
        <w:numPr>
          <w:ilvl w:val="0"/>
          <w:numId w:val="21"/>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Veikt </w:t>
      </w:r>
      <w:r w:rsidR="00531790" w:rsidRPr="00B60ED2">
        <w:rPr>
          <w:rFonts w:ascii="Times New Roman" w:hAnsi="Times New Roman" w:cs="Times New Roman"/>
          <w:sz w:val="24"/>
          <w:szCs w:val="24"/>
          <w:lang w:eastAsia="lv-LV"/>
        </w:rPr>
        <w:t>Pilsonības un migrācijas lietu pārvaldes</w:t>
      </w:r>
      <w:r w:rsidRPr="00B60ED2">
        <w:rPr>
          <w:rFonts w:ascii="Times New Roman" w:hAnsi="Times New Roman" w:cs="Times New Roman"/>
          <w:sz w:val="24"/>
          <w:szCs w:val="24"/>
          <w:lang w:eastAsia="lv-LV"/>
        </w:rPr>
        <w:t xml:space="preserve"> teritoriālo nodaļu darbības reorganizāciju, lai nodrošinātu cilvēkresursu pieejamību atbilstoši pieprasījumam.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38AAC7C6" w14:textId="7B730945" w:rsidR="00FC725A" w:rsidRPr="00B60ED2" w:rsidRDefault="00FC725A" w:rsidP="00FC725A">
      <w:pPr>
        <w:spacing w:line="240" w:lineRule="auto"/>
        <w:jc w:val="both"/>
        <w:rPr>
          <w:rFonts w:ascii="Times New Roman" w:hAnsi="Times New Roman" w:cs="Times New Roman"/>
          <w:sz w:val="24"/>
          <w:szCs w:val="24"/>
          <w:lang w:eastAsia="lv-LV"/>
        </w:rPr>
      </w:pPr>
    </w:p>
    <w:p w14:paraId="208C8971" w14:textId="77777777" w:rsidR="00165ADA" w:rsidRPr="00B60ED2" w:rsidRDefault="00165ADA" w:rsidP="00CA3424">
      <w:pPr>
        <w:jc w:val="both"/>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Ārzemnieku ieceļošanas un uzturēšanās sistēmas pilnveidošana.</w:t>
      </w:r>
    </w:p>
    <w:p w14:paraId="4A816D85" w14:textId="35B5F7F2"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31440A"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7CB54563" w14:textId="77777777" w:rsidR="00FC725A" w:rsidRPr="00B60ED2" w:rsidRDefault="00FC725A" w:rsidP="00FC725A">
      <w:pPr>
        <w:pStyle w:val="ListParagraph"/>
        <w:numPr>
          <w:ilvl w:val="0"/>
          <w:numId w:val="22"/>
        </w:numPr>
        <w:spacing w:line="240" w:lineRule="auto"/>
        <w:jc w:val="both"/>
        <w:rPr>
          <w:rFonts w:ascii="Times New Roman" w:hAnsi="Times New Roman" w:cs="Times New Roman"/>
          <w:sz w:val="24"/>
          <w:szCs w:val="24"/>
        </w:rPr>
      </w:pPr>
      <w:r w:rsidRPr="00B60ED2">
        <w:rPr>
          <w:rFonts w:ascii="Times New Roman" w:hAnsi="Times New Roman" w:cs="Times New Roman"/>
          <w:sz w:val="24"/>
          <w:szCs w:val="24"/>
        </w:rPr>
        <w:t>Nodrošināt efektīvu jaunā Imigrācijas likuma ieviešanu. (</w:t>
      </w:r>
      <w:r w:rsidRPr="00B60ED2">
        <w:rPr>
          <w:rFonts w:ascii="Times New Roman" w:hAnsi="Times New Roman" w:cs="Times New Roman"/>
          <w:b/>
          <w:sz w:val="24"/>
          <w:szCs w:val="24"/>
        </w:rPr>
        <w:t>PMLP</w:t>
      </w:r>
      <w:r w:rsidRPr="00B60ED2">
        <w:rPr>
          <w:rFonts w:ascii="Times New Roman" w:hAnsi="Times New Roman" w:cs="Times New Roman"/>
          <w:sz w:val="24"/>
          <w:szCs w:val="24"/>
        </w:rPr>
        <w:t>, IeM, VP, VRS, VDD)</w:t>
      </w:r>
    </w:p>
    <w:p w14:paraId="5073B610" w14:textId="77777777" w:rsidR="008C5F20" w:rsidRPr="00AA310C" w:rsidRDefault="00FC725A" w:rsidP="008C5F20">
      <w:pPr>
        <w:pStyle w:val="ListParagraph"/>
        <w:numPr>
          <w:ilvl w:val="0"/>
          <w:numId w:val="22"/>
        </w:numPr>
        <w:spacing w:line="240" w:lineRule="auto"/>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Nodrošināt vīzu pieteikumu apstrādes darbavietas ar atbilstošu tehnisko aprīkojumu. (</w:t>
      </w:r>
      <w:r w:rsidRPr="00AA310C">
        <w:rPr>
          <w:rFonts w:ascii="Times New Roman" w:hAnsi="Times New Roman" w:cs="Times New Roman"/>
          <w:b/>
          <w:sz w:val="24"/>
          <w:szCs w:val="24"/>
          <w:lang w:eastAsia="lv-LV"/>
        </w:rPr>
        <w:t>IeM IC</w:t>
      </w:r>
      <w:r w:rsidRPr="00AA310C">
        <w:rPr>
          <w:rFonts w:ascii="Times New Roman" w:hAnsi="Times New Roman" w:cs="Times New Roman"/>
          <w:sz w:val="24"/>
          <w:szCs w:val="24"/>
          <w:lang w:eastAsia="lv-LV"/>
        </w:rPr>
        <w:t>, PMLP)</w:t>
      </w:r>
    </w:p>
    <w:p w14:paraId="13A74806" w14:textId="13455000" w:rsidR="008C5F20" w:rsidRPr="00B60ED2" w:rsidRDefault="008C5F20" w:rsidP="008C5F20">
      <w:pPr>
        <w:pStyle w:val="ListParagraph"/>
        <w:numPr>
          <w:ilvl w:val="0"/>
          <w:numId w:val="22"/>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Pilnveidot vīzu apstrādes procesā izmantoto informāciju sistēmu risinājumu funkcionalitāti atbilstoši ES prasībām, tai skaitā nosacījumiem, kas izriet no ES Regulas 2021/1134, ES Regulas 2019/817, ES Regulas 2017/2226 par ieceļošanas/izceļošanas sistēmas izveidi un </w:t>
      </w:r>
      <w:proofErr w:type="spellStart"/>
      <w:r w:rsidRPr="00B60ED2">
        <w:rPr>
          <w:rFonts w:ascii="Times New Roman" w:hAnsi="Times New Roman" w:cs="Times New Roman"/>
          <w:sz w:val="24"/>
          <w:szCs w:val="24"/>
          <w:lang w:eastAsia="lv-LV"/>
        </w:rPr>
        <w:t>eu-LISA</w:t>
      </w:r>
      <w:proofErr w:type="spellEnd"/>
      <w:r w:rsidRPr="00B60ED2">
        <w:rPr>
          <w:rFonts w:ascii="Times New Roman" w:hAnsi="Times New Roman" w:cs="Times New Roman"/>
          <w:sz w:val="24"/>
          <w:szCs w:val="24"/>
          <w:lang w:eastAsia="lv-LV"/>
        </w:rPr>
        <w:t xml:space="preserve">  sagatav</w:t>
      </w:r>
      <w:r w:rsidR="00531790" w:rsidRPr="00B60ED2">
        <w:rPr>
          <w:rFonts w:ascii="Times New Roman" w:hAnsi="Times New Roman" w:cs="Times New Roman"/>
          <w:sz w:val="24"/>
          <w:szCs w:val="24"/>
          <w:lang w:eastAsia="lv-LV"/>
        </w:rPr>
        <w:t>otās saskarnes kontroldokumentu</w:t>
      </w:r>
      <w:r w:rsidRPr="00B60ED2">
        <w:rPr>
          <w:rFonts w:ascii="Times New Roman" w:hAnsi="Times New Roman" w:cs="Times New Roman"/>
          <w:sz w:val="24"/>
          <w:szCs w:val="24"/>
          <w:lang w:eastAsia="lv-LV"/>
        </w:rPr>
        <w:t xml:space="preserve"> (</w:t>
      </w:r>
      <w:proofErr w:type="spellStart"/>
      <w:r w:rsidRPr="00B60ED2">
        <w:rPr>
          <w:rFonts w:ascii="Times New Roman" w:hAnsi="Times New Roman" w:cs="Times New Roman"/>
          <w:i/>
          <w:sz w:val="24"/>
          <w:szCs w:val="24"/>
          <w:lang w:eastAsia="lv-LV"/>
        </w:rPr>
        <w:t>Interface</w:t>
      </w:r>
      <w:proofErr w:type="spellEnd"/>
      <w:r w:rsidRPr="00B60ED2">
        <w:rPr>
          <w:rFonts w:ascii="Times New Roman" w:hAnsi="Times New Roman" w:cs="Times New Roman"/>
          <w:i/>
          <w:sz w:val="24"/>
          <w:szCs w:val="24"/>
          <w:lang w:eastAsia="lv-LV"/>
        </w:rPr>
        <w:t xml:space="preserve"> </w:t>
      </w:r>
      <w:proofErr w:type="spellStart"/>
      <w:r w:rsidRPr="00B60ED2">
        <w:rPr>
          <w:rFonts w:ascii="Times New Roman" w:hAnsi="Times New Roman" w:cs="Times New Roman"/>
          <w:i/>
          <w:sz w:val="24"/>
          <w:szCs w:val="24"/>
          <w:lang w:eastAsia="lv-LV"/>
        </w:rPr>
        <w:t>Control</w:t>
      </w:r>
      <w:proofErr w:type="spellEnd"/>
      <w:r w:rsidRPr="00B60ED2">
        <w:rPr>
          <w:rFonts w:ascii="Times New Roman" w:hAnsi="Times New Roman" w:cs="Times New Roman"/>
          <w:i/>
          <w:sz w:val="24"/>
          <w:szCs w:val="24"/>
          <w:lang w:eastAsia="lv-LV"/>
        </w:rPr>
        <w:t xml:space="preserve"> </w:t>
      </w:r>
      <w:proofErr w:type="spellStart"/>
      <w:r w:rsidRPr="00B60ED2">
        <w:rPr>
          <w:rFonts w:ascii="Times New Roman" w:hAnsi="Times New Roman" w:cs="Times New Roman"/>
          <w:i/>
          <w:sz w:val="24"/>
          <w:szCs w:val="24"/>
          <w:lang w:eastAsia="lv-LV"/>
        </w:rPr>
        <w:t>Documentation</w:t>
      </w:r>
      <w:proofErr w:type="spellEnd"/>
      <w:r w:rsidRPr="00B60ED2">
        <w:rPr>
          <w:rFonts w:ascii="Times New Roman" w:hAnsi="Times New Roman" w:cs="Times New Roman"/>
          <w:sz w:val="24"/>
          <w:szCs w:val="24"/>
          <w:lang w:eastAsia="lv-LV"/>
        </w:rPr>
        <w:t>).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 IeM IC)</w:t>
      </w:r>
    </w:p>
    <w:p w14:paraId="23E6D981" w14:textId="77777777" w:rsidR="00165ADA" w:rsidRPr="00B60ED2" w:rsidRDefault="00165ADA" w:rsidP="00165ADA">
      <w:pPr>
        <w:rPr>
          <w:rFonts w:ascii="Times New Roman" w:hAnsi="Times New Roman" w:cs="Times New Roman"/>
        </w:rPr>
      </w:pPr>
    </w:p>
    <w:p w14:paraId="6A32E0EF" w14:textId="77777777" w:rsidR="00165ADA" w:rsidRPr="00B60ED2" w:rsidRDefault="00165ADA" w:rsidP="00165ADA">
      <w:pPr>
        <w:rPr>
          <w:rFonts w:ascii="Times New Roman" w:hAnsi="Times New Roman" w:cs="Times New Roman"/>
        </w:rPr>
      </w:pPr>
      <w:r w:rsidRPr="00B60ED2">
        <w:rPr>
          <w:rFonts w:ascii="Times New Roman" w:hAnsi="Times New Roman" w:cs="Times New Roman"/>
        </w:rPr>
        <w:br w:type="page"/>
      </w:r>
    </w:p>
    <w:p w14:paraId="4B0013BD" w14:textId="6B30D643" w:rsidR="00BE3F22" w:rsidRPr="00B60ED2" w:rsidRDefault="002E0E1F" w:rsidP="00AC4B30">
      <w:pPr>
        <w:pStyle w:val="NormalWeb"/>
        <w:spacing w:before="0" w:beforeAutospacing="0" w:after="240" w:afterAutospacing="0"/>
        <w:jc w:val="center"/>
        <w:rPr>
          <w:rFonts w:eastAsia="+mn-ea"/>
          <w:b/>
          <w:bCs/>
          <w:kern w:val="24"/>
          <w:sz w:val="32"/>
          <w:szCs w:val="32"/>
        </w:rPr>
      </w:pPr>
      <w:bookmarkStart w:id="40" w:name="_Hlk174006163"/>
      <w:r w:rsidRPr="00B60ED2">
        <w:rPr>
          <w:rFonts w:eastAsia="+mn-ea"/>
          <w:b/>
          <w:bCs/>
          <w:kern w:val="24"/>
          <w:sz w:val="32"/>
          <w:szCs w:val="32"/>
        </w:rPr>
        <w:lastRenderedPageBreak/>
        <w:t>Nozares stratēģijas prioritārie horizontālie mērķi</w:t>
      </w:r>
    </w:p>
    <w:p w14:paraId="6675700C" w14:textId="57BB5E7B" w:rsidR="00BE3F22" w:rsidRPr="00B60ED2" w:rsidRDefault="004B3A18" w:rsidP="00BE3F22">
      <w:pPr>
        <w:pStyle w:val="NormalWeb"/>
        <w:spacing w:before="0" w:beforeAutospacing="0" w:after="240" w:afterAutospacing="0"/>
        <w:jc w:val="center"/>
        <w:rPr>
          <w:rFonts w:eastAsia="+mn-ea"/>
          <w:b/>
          <w:bCs/>
          <w:color w:val="767171" w:themeColor="background2" w:themeShade="80"/>
          <w:kern w:val="24"/>
          <w:sz w:val="32"/>
          <w:szCs w:val="32"/>
        </w:rPr>
      </w:pPr>
      <w:bookmarkStart w:id="41" w:name="_Hlk160441017"/>
      <w:r w:rsidRPr="00B60ED2">
        <w:rPr>
          <w:rFonts w:eastAsia="+mn-ea"/>
          <w:b/>
          <w:bCs/>
          <w:color w:val="767171" w:themeColor="background2" w:themeShade="80"/>
          <w:kern w:val="24"/>
          <w:sz w:val="32"/>
          <w:szCs w:val="32"/>
        </w:rPr>
        <w:t>Prioritārais horizontālais mērķis: Profesionāli, motivēti un uz attīstību orientēti nodarbinātie</w:t>
      </w:r>
    </w:p>
    <w:bookmarkEnd w:id="40"/>
    <w:bookmarkEnd w:id="41"/>
    <w:tbl>
      <w:tblPr>
        <w:tblStyle w:val="GridTable4-Accent5"/>
        <w:tblW w:w="13603" w:type="dxa"/>
        <w:tblLayout w:type="fixed"/>
        <w:tblLook w:val="04A0" w:firstRow="1" w:lastRow="0" w:firstColumn="1" w:lastColumn="0" w:noHBand="0" w:noVBand="1"/>
      </w:tblPr>
      <w:tblGrid>
        <w:gridCol w:w="2972"/>
        <w:gridCol w:w="2008"/>
        <w:gridCol w:w="1725"/>
        <w:gridCol w:w="1724"/>
        <w:gridCol w:w="1725"/>
        <w:gridCol w:w="1724"/>
        <w:gridCol w:w="1725"/>
      </w:tblGrid>
      <w:tr w:rsidR="00326E29" w:rsidRPr="00B60ED2" w14:paraId="44B85D28" w14:textId="77777777" w:rsidTr="00CE5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320C4880" w14:textId="77777777" w:rsidR="00BE3F22" w:rsidRPr="00B60ED2" w:rsidRDefault="00BE3F22" w:rsidP="004B3A18">
            <w:pPr>
              <w:jc w:val="both"/>
              <w:rPr>
                <w:rFonts w:ascii="Times New Roman" w:hAnsi="Times New Roman" w:cs="Times New Roman"/>
                <w:b w:val="0"/>
                <w:iCs/>
                <w:sz w:val="24"/>
                <w:szCs w:val="24"/>
                <w:lang w:eastAsia="lv-LV"/>
              </w:rPr>
            </w:pPr>
          </w:p>
          <w:p w14:paraId="07716571" w14:textId="35DE73C6" w:rsidR="00326E29" w:rsidRPr="00B60ED2" w:rsidRDefault="00326E29" w:rsidP="00165ADA">
            <w:pPr>
              <w:jc w:val="center"/>
              <w:rPr>
                <w:rFonts w:ascii="Times New Roman" w:hAnsi="Times New Roman" w:cs="Times New Roman"/>
                <w:b w:val="0"/>
                <w:iCs/>
                <w:sz w:val="24"/>
                <w:szCs w:val="24"/>
                <w:lang w:eastAsia="lv-LV"/>
              </w:rPr>
            </w:pPr>
          </w:p>
        </w:tc>
        <w:tc>
          <w:tcPr>
            <w:tcW w:w="10631" w:type="dxa"/>
            <w:gridSpan w:val="6"/>
          </w:tcPr>
          <w:p w14:paraId="244D4E0F" w14:textId="11952258" w:rsidR="00326E29" w:rsidRPr="00B60ED2" w:rsidRDefault="00326E29" w:rsidP="00165A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Rādītāju vērtības (prognoze)</w:t>
            </w:r>
          </w:p>
        </w:tc>
      </w:tr>
      <w:tr w:rsidR="00326E29" w:rsidRPr="00B60ED2" w14:paraId="2B3E39CC" w14:textId="77777777" w:rsidTr="00CE5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30737670" w14:textId="77777777" w:rsidR="00326E29" w:rsidRPr="00B60ED2" w:rsidRDefault="00326E29" w:rsidP="00165ADA">
            <w:pPr>
              <w:jc w:val="center"/>
              <w:rPr>
                <w:rFonts w:ascii="Times New Roman" w:hAnsi="Times New Roman" w:cs="Times New Roman"/>
                <w:b w:val="0"/>
                <w:iCs/>
                <w:sz w:val="24"/>
                <w:szCs w:val="24"/>
                <w:lang w:eastAsia="lv-LV"/>
              </w:rPr>
            </w:pPr>
          </w:p>
        </w:tc>
        <w:tc>
          <w:tcPr>
            <w:tcW w:w="2008" w:type="dxa"/>
          </w:tcPr>
          <w:p w14:paraId="2FE1EAE6" w14:textId="77A4F9F8"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2021</w:t>
            </w:r>
            <w:r w:rsidR="00281630" w:rsidRPr="00B60ED2">
              <w:rPr>
                <w:rFonts w:ascii="Times New Roman" w:hAnsi="Times New Roman" w:cs="Times New Roman"/>
                <w:b/>
                <w:iCs/>
                <w:sz w:val="24"/>
                <w:szCs w:val="24"/>
                <w:lang w:eastAsia="lv-LV"/>
              </w:rPr>
              <w:t xml:space="preserve"> (izpilde)</w:t>
            </w:r>
          </w:p>
        </w:tc>
        <w:tc>
          <w:tcPr>
            <w:tcW w:w="1725" w:type="dxa"/>
          </w:tcPr>
          <w:p w14:paraId="5893670D" w14:textId="11DEEAC9"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2023</w:t>
            </w:r>
          </w:p>
        </w:tc>
        <w:tc>
          <w:tcPr>
            <w:tcW w:w="1724" w:type="dxa"/>
          </w:tcPr>
          <w:p w14:paraId="29E538B0" w14:textId="77777777"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2024</w:t>
            </w:r>
          </w:p>
        </w:tc>
        <w:tc>
          <w:tcPr>
            <w:tcW w:w="1725" w:type="dxa"/>
          </w:tcPr>
          <w:p w14:paraId="59BC7F0B" w14:textId="77777777"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2025</w:t>
            </w:r>
          </w:p>
        </w:tc>
        <w:tc>
          <w:tcPr>
            <w:tcW w:w="1724" w:type="dxa"/>
          </w:tcPr>
          <w:p w14:paraId="2F62B14C" w14:textId="77777777"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2026</w:t>
            </w:r>
          </w:p>
        </w:tc>
        <w:tc>
          <w:tcPr>
            <w:tcW w:w="1725" w:type="dxa"/>
          </w:tcPr>
          <w:p w14:paraId="78388473" w14:textId="77777777"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2027</w:t>
            </w:r>
          </w:p>
        </w:tc>
      </w:tr>
      <w:tr w:rsidR="009C09DE" w:rsidRPr="00B60ED2" w14:paraId="398EC1A5" w14:textId="77777777" w:rsidTr="00CE5FD1">
        <w:trPr>
          <w:trHeight w:val="108"/>
        </w:trPr>
        <w:tc>
          <w:tcPr>
            <w:cnfStyle w:val="001000000000" w:firstRow="0" w:lastRow="0" w:firstColumn="1" w:lastColumn="0" w:oddVBand="0" w:evenVBand="0" w:oddHBand="0" w:evenHBand="0" w:firstRowFirstColumn="0" w:firstRowLastColumn="0" w:lastRowFirstColumn="0" w:lastRowLastColumn="0"/>
            <w:tcW w:w="2972" w:type="dxa"/>
            <w:vMerge w:val="restart"/>
            <w:vAlign w:val="center"/>
          </w:tcPr>
          <w:p w14:paraId="5467775E" w14:textId="6A20F720" w:rsidR="009C09DE" w:rsidRPr="00B60ED2" w:rsidRDefault="009C09DE" w:rsidP="00EB7C35">
            <w:pPr>
              <w:rPr>
                <w:rFonts w:ascii="Times New Roman" w:hAnsi="Times New Roman" w:cs="Times New Roman"/>
                <w:b w:val="0"/>
                <w:iCs/>
                <w:sz w:val="24"/>
                <w:szCs w:val="24"/>
                <w:lang w:eastAsia="lv-LV"/>
              </w:rPr>
            </w:pPr>
            <w:bookmarkStart w:id="42" w:name="_Hlk160441043"/>
            <w:r w:rsidRPr="00B60ED2">
              <w:rPr>
                <w:rFonts w:ascii="Times New Roman" w:hAnsi="Times New Roman" w:cs="Times New Roman"/>
                <w:b w:val="0"/>
                <w:iCs/>
                <w:sz w:val="24"/>
                <w:szCs w:val="24"/>
                <w:lang w:eastAsia="lv-LV"/>
              </w:rPr>
              <w:t>Iekšlietu ministrijas un padotībā esošo iestāžu aizpildīto amata vietu īpatsvars no kopējā amata vietu skaita (%)</w:t>
            </w:r>
            <w:bookmarkEnd w:id="42"/>
          </w:p>
        </w:tc>
        <w:tc>
          <w:tcPr>
            <w:tcW w:w="2008" w:type="dxa"/>
            <w:vAlign w:val="center"/>
          </w:tcPr>
          <w:p w14:paraId="7A04D4E5" w14:textId="5E75AF06" w:rsidR="009C09DE" w:rsidRPr="00B60ED2" w:rsidRDefault="009C09DE"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92,1</w:t>
            </w:r>
          </w:p>
        </w:tc>
        <w:tc>
          <w:tcPr>
            <w:tcW w:w="1725" w:type="dxa"/>
            <w:vAlign w:val="center"/>
          </w:tcPr>
          <w:p w14:paraId="205B21D9" w14:textId="6BB38978" w:rsidR="009C09DE" w:rsidRPr="00B60ED2" w:rsidRDefault="007C3ECC"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92,5%</w:t>
            </w:r>
            <w:r w:rsidR="001F763D">
              <w:rPr>
                <w:rFonts w:ascii="Times New Roman" w:hAnsi="Times New Roman" w:cs="Times New Roman"/>
                <w:iCs/>
                <w:sz w:val="24"/>
                <w:szCs w:val="24"/>
                <w:lang w:eastAsia="lv-LV"/>
              </w:rPr>
              <w:t>/</w:t>
            </w:r>
            <w:r w:rsidR="00B82FE3">
              <w:rPr>
                <w:rFonts w:ascii="Times New Roman" w:hAnsi="Times New Roman" w:cs="Times New Roman"/>
                <w:iCs/>
                <w:sz w:val="24"/>
                <w:szCs w:val="24"/>
                <w:lang w:eastAsia="lv-LV"/>
              </w:rPr>
              <w:t>92,4%</w:t>
            </w:r>
          </w:p>
        </w:tc>
        <w:tc>
          <w:tcPr>
            <w:tcW w:w="1724" w:type="dxa"/>
            <w:vAlign w:val="center"/>
          </w:tcPr>
          <w:p w14:paraId="632E4D5C" w14:textId="645996D4" w:rsidR="009C09DE" w:rsidRPr="00B60ED2" w:rsidRDefault="007C3ECC"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93%</w:t>
            </w:r>
          </w:p>
        </w:tc>
        <w:tc>
          <w:tcPr>
            <w:tcW w:w="1725" w:type="dxa"/>
            <w:vAlign w:val="center"/>
          </w:tcPr>
          <w:p w14:paraId="025A9FDD" w14:textId="4AFFDD09" w:rsidR="009C09DE" w:rsidRPr="00B60ED2" w:rsidRDefault="007C3ECC"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93,5%</w:t>
            </w:r>
          </w:p>
        </w:tc>
        <w:tc>
          <w:tcPr>
            <w:tcW w:w="1724" w:type="dxa"/>
            <w:vAlign w:val="center"/>
          </w:tcPr>
          <w:p w14:paraId="69B381CD" w14:textId="4A16ABEF" w:rsidR="009C09DE" w:rsidRPr="00B60ED2" w:rsidRDefault="007C3ECC"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94%</w:t>
            </w:r>
          </w:p>
        </w:tc>
        <w:tc>
          <w:tcPr>
            <w:tcW w:w="1725" w:type="dxa"/>
            <w:vAlign w:val="center"/>
          </w:tcPr>
          <w:p w14:paraId="26878F3C" w14:textId="50DB1E52" w:rsidR="009C09DE" w:rsidRPr="00B60ED2" w:rsidRDefault="007C3ECC"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94,5%</w:t>
            </w:r>
          </w:p>
        </w:tc>
      </w:tr>
      <w:tr w:rsidR="00EB7C35" w:rsidRPr="00B60ED2" w14:paraId="20B7E4D9" w14:textId="77777777" w:rsidTr="00CE5FD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972" w:type="dxa"/>
            <w:vMerge/>
          </w:tcPr>
          <w:p w14:paraId="5F12AEC7" w14:textId="77777777" w:rsidR="00EB7C35" w:rsidRPr="00B60ED2" w:rsidRDefault="00EB7C35" w:rsidP="00EB7C35">
            <w:pPr>
              <w:jc w:val="both"/>
              <w:rPr>
                <w:rFonts w:ascii="Times New Roman" w:hAnsi="Times New Roman" w:cs="Times New Roman"/>
                <w:b w:val="0"/>
                <w:iCs/>
                <w:sz w:val="24"/>
                <w:szCs w:val="24"/>
                <w:lang w:eastAsia="lv-LV"/>
              </w:rPr>
            </w:pPr>
          </w:p>
        </w:tc>
        <w:tc>
          <w:tcPr>
            <w:tcW w:w="2008" w:type="dxa"/>
            <w:vAlign w:val="center"/>
          </w:tcPr>
          <w:p w14:paraId="6AC7E9D9" w14:textId="55C16118" w:rsidR="00EB7C35" w:rsidRPr="00B60ED2" w:rsidRDefault="00EB7C35"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VP: 81,6%</w:t>
            </w:r>
          </w:p>
        </w:tc>
        <w:tc>
          <w:tcPr>
            <w:tcW w:w="1725" w:type="dxa"/>
            <w:shd w:val="clear" w:color="auto" w:fill="DEEAF6" w:themeFill="accent1" w:themeFillTint="33"/>
            <w:vAlign w:val="center"/>
          </w:tcPr>
          <w:p w14:paraId="126316B5" w14:textId="0A700C85"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80,5%</w:t>
            </w:r>
            <w:r w:rsidR="00B82FE3">
              <w:rPr>
                <w:rFonts w:ascii="Times New Roman" w:hAnsi="Times New Roman" w:cs="Times New Roman"/>
                <w:iCs/>
                <w:sz w:val="24"/>
                <w:szCs w:val="24"/>
                <w:lang w:eastAsia="lv-LV"/>
              </w:rPr>
              <w:t>/75,6%</w:t>
            </w:r>
          </w:p>
        </w:tc>
        <w:tc>
          <w:tcPr>
            <w:tcW w:w="1724" w:type="dxa"/>
            <w:shd w:val="clear" w:color="auto" w:fill="DEEAF6" w:themeFill="accent1" w:themeFillTint="33"/>
            <w:vAlign w:val="center"/>
          </w:tcPr>
          <w:p w14:paraId="7E6ACE61" w14:textId="621C4FCB" w:rsidR="00EB7C35" w:rsidRPr="00B60ED2" w:rsidRDefault="00E1624F"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81%</w:t>
            </w:r>
          </w:p>
        </w:tc>
        <w:tc>
          <w:tcPr>
            <w:tcW w:w="1725" w:type="dxa"/>
            <w:shd w:val="clear" w:color="auto" w:fill="DEEAF6" w:themeFill="accent1" w:themeFillTint="33"/>
            <w:vAlign w:val="center"/>
          </w:tcPr>
          <w:p w14:paraId="627C5B05" w14:textId="57F8B9C5"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81,5%</w:t>
            </w:r>
          </w:p>
        </w:tc>
        <w:tc>
          <w:tcPr>
            <w:tcW w:w="1724" w:type="dxa"/>
            <w:shd w:val="clear" w:color="auto" w:fill="DEEAF6" w:themeFill="accent1" w:themeFillTint="33"/>
            <w:vAlign w:val="center"/>
          </w:tcPr>
          <w:p w14:paraId="57BCAB5A" w14:textId="13253E61" w:rsidR="00EB7C35" w:rsidRPr="00B60ED2" w:rsidRDefault="00E1624F"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82%</w:t>
            </w:r>
          </w:p>
        </w:tc>
        <w:tc>
          <w:tcPr>
            <w:tcW w:w="1725" w:type="dxa"/>
            <w:shd w:val="clear" w:color="auto" w:fill="DEEAF6" w:themeFill="accent1" w:themeFillTint="33"/>
            <w:vAlign w:val="center"/>
          </w:tcPr>
          <w:p w14:paraId="7C06820B" w14:textId="0E0A3424"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82,5%</w:t>
            </w:r>
          </w:p>
        </w:tc>
      </w:tr>
      <w:tr w:rsidR="00EB7C35" w:rsidRPr="00B60ED2" w14:paraId="772420F5" w14:textId="77777777" w:rsidTr="00CE5FD1">
        <w:trPr>
          <w:trHeight w:val="101"/>
        </w:trPr>
        <w:tc>
          <w:tcPr>
            <w:cnfStyle w:val="001000000000" w:firstRow="0" w:lastRow="0" w:firstColumn="1" w:lastColumn="0" w:oddVBand="0" w:evenVBand="0" w:oddHBand="0" w:evenHBand="0" w:firstRowFirstColumn="0" w:firstRowLastColumn="0" w:lastRowFirstColumn="0" w:lastRowLastColumn="0"/>
            <w:tcW w:w="2972" w:type="dxa"/>
            <w:vMerge/>
          </w:tcPr>
          <w:p w14:paraId="49D30E41" w14:textId="77777777" w:rsidR="00EB7C35" w:rsidRPr="00B60ED2" w:rsidRDefault="00EB7C35" w:rsidP="00EB7C35">
            <w:pPr>
              <w:jc w:val="both"/>
              <w:rPr>
                <w:rFonts w:ascii="Times New Roman" w:hAnsi="Times New Roman" w:cs="Times New Roman"/>
                <w:b w:val="0"/>
                <w:iCs/>
                <w:sz w:val="24"/>
                <w:szCs w:val="24"/>
                <w:lang w:eastAsia="lv-LV"/>
              </w:rPr>
            </w:pPr>
          </w:p>
        </w:tc>
        <w:tc>
          <w:tcPr>
            <w:tcW w:w="2008" w:type="dxa"/>
            <w:vAlign w:val="center"/>
          </w:tcPr>
          <w:p w14:paraId="40D6C102" w14:textId="37580172"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VRS: 90%</w:t>
            </w:r>
          </w:p>
        </w:tc>
        <w:tc>
          <w:tcPr>
            <w:tcW w:w="1725" w:type="dxa"/>
            <w:vAlign w:val="center"/>
          </w:tcPr>
          <w:p w14:paraId="09B74B10" w14:textId="123ED8A7"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VRS: </w:t>
            </w:r>
            <w:r w:rsidR="004A147A" w:rsidRPr="00B60ED2">
              <w:rPr>
                <w:rFonts w:ascii="Times New Roman" w:hAnsi="Times New Roman" w:cs="Times New Roman"/>
                <w:iCs/>
                <w:sz w:val="24"/>
                <w:szCs w:val="24"/>
                <w:lang w:eastAsia="lv-LV"/>
              </w:rPr>
              <w:t>90%</w:t>
            </w:r>
            <w:r w:rsidR="00B82FE3">
              <w:rPr>
                <w:rFonts w:ascii="Times New Roman" w:hAnsi="Times New Roman" w:cs="Times New Roman"/>
                <w:iCs/>
                <w:sz w:val="24"/>
                <w:szCs w:val="24"/>
                <w:lang w:eastAsia="lv-LV"/>
              </w:rPr>
              <w:t>/84,6%</w:t>
            </w:r>
          </w:p>
        </w:tc>
        <w:tc>
          <w:tcPr>
            <w:tcW w:w="1724" w:type="dxa"/>
            <w:vAlign w:val="center"/>
          </w:tcPr>
          <w:p w14:paraId="57C7566A" w14:textId="583FC900"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VRS:</w:t>
            </w:r>
            <w:r w:rsidR="004A147A" w:rsidRPr="00B60ED2">
              <w:rPr>
                <w:rFonts w:ascii="Times New Roman" w:hAnsi="Times New Roman" w:cs="Times New Roman"/>
                <w:iCs/>
                <w:sz w:val="24"/>
                <w:szCs w:val="24"/>
                <w:lang w:eastAsia="lv-LV"/>
              </w:rPr>
              <w:t xml:space="preserve"> 90,25%</w:t>
            </w:r>
          </w:p>
        </w:tc>
        <w:tc>
          <w:tcPr>
            <w:tcW w:w="1725" w:type="dxa"/>
            <w:vAlign w:val="center"/>
          </w:tcPr>
          <w:p w14:paraId="154B03CA" w14:textId="5EFC8EB0"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VRS: </w:t>
            </w:r>
            <w:r w:rsidR="004A147A" w:rsidRPr="00B60ED2">
              <w:rPr>
                <w:rFonts w:ascii="Times New Roman" w:hAnsi="Times New Roman" w:cs="Times New Roman"/>
                <w:iCs/>
                <w:sz w:val="24"/>
                <w:szCs w:val="24"/>
                <w:lang w:eastAsia="lv-LV"/>
              </w:rPr>
              <w:t>90,5%</w:t>
            </w:r>
          </w:p>
        </w:tc>
        <w:tc>
          <w:tcPr>
            <w:tcW w:w="1724" w:type="dxa"/>
            <w:vAlign w:val="center"/>
          </w:tcPr>
          <w:p w14:paraId="79DD29B5" w14:textId="0F087061"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VRS: </w:t>
            </w:r>
            <w:r w:rsidR="004A147A" w:rsidRPr="00B60ED2">
              <w:rPr>
                <w:rFonts w:ascii="Times New Roman" w:hAnsi="Times New Roman" w:cs="Times New Roman"/>
                <w:iCs/>
                <w:sz w:val="24"/>
                <w:szCs w:val="24"/>
                <w:lang w:eastAsia="lv-LV"/>
              </w:rPr>
              <w:t>90,75%</w:t>
            </w:r>
          </w:p>
        </w:tc>
        <w:tc>
          <w:tcPr>
            <w:tcW w:w="1725" w:type="dxa"/>
            <w:vAlign w:val="center"/>
          </w:tcPr>
          <w:p w14:paraId="3495EFFA" w14:textId="6548549D"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VRS: </w:t>
            </w:r>
            <w:r w:rsidR="004A147A" w:rsidRPr="00B60ED2">
              <w:rPr>
                <w:rFonts w:ascii="Times New Roman" w:hAnsi="Times New Roman" w:cs="Times New Roman"/>
                <w:iCs/>
                <w:sz w:val="24"/>
                <w:szCs w:val="24"/>
                <w:lang w:eastAsia="lv-LV"/>
              </w:rPr>
              <w:t>91%</w:t>
            </w:r>
          </w:p>
        </w:tc>
      </w:tr>
      <w:tr w:rsidR="00B9108C" w:rsidRPr="00B60ED2" w14:paraId="29847BF8" w14:textId="77777777" w:rsidTr="00CE5FD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972" w:type="dxa"/>
            <w:vMerge/>
          </w:tcPr>
          <w:p w14:paraId="401160B9" w14:textId="77777777" w:rsidR="00B9108C" w:rsidRPr="00B60ED2" w:rsidRDefault="00B9108C" w:rsidP="00B9108C">
            <w:pPr>
              <w:jc w:val="both"/>
              <w:rPr>
                <w:rFonts w:ascii="Times New Roman" w:hAnsi="Times New Roman" w:cs="Times New Roman"/>
                <w:b w:val="0"/>
                <w:iCs/>
                <w:sz w:val="24"/>
                <w:szCs w:val="24"/>
                <w:lang w:eastAsia="lv-LV"/>
              </w:rPr>
            </w:pPr>
          </w:p>
        </w:tc>
        <w:tc>
          <w:tcPr>
            <w:tcW w:w="2008" w:type="dxa"/>
            <w:vAlign w:val="center"/>
          </w:tcPr>
          <w:p w14:paraId="75B86DA6" w14:textId="745B8A83"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92,3%</w:t>
            </w:r>
          </w:p>
        </w:tc>
        <w:tc>
          <w:tcPr>
            <w:tcW w:w="1725" w:type="dxa"/>
            <w:shd w:val="clear" w:color="auto" w:fill="DEEAF6" w:themeFill="accent1" w:themeFillTint="33"/>
            <w:vAlign w:val="center"/>
          </w:tcPr>
          <w:p w14:paraId="3F536E58" w14:textId="56108D40"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91,7%</w:t>
            </w:r>
            <w:r w:rsidR="00B82FE3">
              <w:rPr>
                <w:rFonts w:ascii="Times New Roman" w:hAnsi="Times New Roman" w:cs="Times New Roman"/>
                <w:iCs/>
                <w:sz w:val="24"/>
                <w:szCs w:val="24"/>
                <w:lang w:eastAsia="lv-LV"/>
              </w:rPr>
              <w:t>/</w:t>
            </w:r>
            <w:r w:rsidR="00B63CAD">
              <w:rPr>
                <w:rFonts w:ascii="Times New Roman" w:hAnsi="Times New Roman" w:cs="Times New Roman"/>
                <w:iCs/>
                <w:sz w:val="24"/>
                <w:szCs w:val="24"/>
                <w:lang w:eastAsia="lv-LV"/>
              </w:rPr>
              <w:t>88,8%</w:t>
            </w:r>
          </w:p>
        </w:tc>
        <w:tc>
          <w:tcPr>
            <w:tcW w:w="1724" w:type="dxa"/>
            <w:shd w:val="clear" w:color="auto" w:fill="DEEAF6" w:themeFill="accent1" w:themeFillTint="33"/>
            <w:vAlign w:val="center"/>
          </w:tcPr>
          <w:p w14:paraId="7EBCF550" w14:textId="7DB62912"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92%</w:t>
            </w:r>
          </w:p>
        </w:tc>
        <w:tc>
          <w:tcPr>
            <w:tcW w:w="1725" w:type="dxa"/>
            <w:shd w:val="clear" w:color="auto" w:fill="DEEAF6" w:themeFill="accent1" w:themeFillTint="33"/>
            <w:vAlign w:val="center"/>
          </w:tcPr>
          <w:p w14:paraId="321C0BFA" w14:textId="38FD9D63"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92</w:t>
            </w:r>
            <w:r w:rsidR="004E57A0">
              <w:rPr>
                <w:rFonts w:ascii="Times New Roman" w:hAnsi="Times New Roman" w:cs="Times New Roman"/>
                <w:iCs/>
                <w:sz w:val="24"/>
                <w:szCs w:val="24"/>
                <w:lang w:eastAsia="lv-LV"/>
              </w:rPr>
              <w:t>,5</w:t>
            </w:r>
            <w:r w:rsidRPr="00B60ED2">
              <w:rPr>
                <w:rFonts w:ascii="Times New Roman" w:hAnsi="Times New Roman" w:cs="Times New Roman"/>
                <w:iCs/>
                <w:sz w:val="24"/>
                <w:szCs w:val="24"/>
                <w:lang w:eastAsia="lv-LV"/>
              </w:rPr>
              <w:t>%</w:t>
            </w:r>
          </w:p>
        </w:tc>
        <w:tc>
          <w:tcPr>
            <w:tcW w:w="1724" w:type="dxa"/>
            <w:shd w:val="clear" w:color="auto" w:fill="DEEAF6" w:themeFill="accent1" w:themeFillTint="33"/>
            <w:vAlign w:val="center"/>
          </w:tcPr>
          <w:p w14:paraId="790450DB" w14:textId="02930ECB"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w:t>
            </w:r>
            <w:r w:rsidR="004E57A0">
              <w:rPr>
                <w:rFonts w:ascii="Times New Roman" w:hAnsi="Times New Roman" w:cs="Times New Roman"/>
                <w:iCs/>
                <w:sz w:val="24"/>
                <w:szCs w:val="24"/>
                <w:lang w:eastAsia="lv-LV"/>
              </w:rPr>
              <w:t>3</w:t>
            </w:r>
            <w:r w:rsidRPr="00B60ED2">
              <w:rPr>
                <w:rFonts w:ascii="Times New Roman" w:hAnsi="Times New Roman" w:cs="Times New Roman"/>
                <w:iCs/>
                <w:sz w:val="24"/>
                <w:szCs w:val="24"/>
                <w:lang w:eastAsia="lv-LV"/>
              </w:rPr>
              <w:t>%</w:t>
            </w:r>
          </w:p>
        </w:tc>
        <w:tc>
          <w:tcPr>
            <w:tcW w:w="1725" w:type="dxa"/>
            <w:shd w:val="clear" w:color="auto" w:fill="DEEAF6" w:themeFill="accent1" w:themeFillTint="33"/>
            <w:vAlign w:val="center"/>
          </w:tcPr>
          <w:p w14:paraId="359ED600" w14:textId="5EAB3B4A"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w:t>
            </w:r>
            <w:r w:rsidR="004E57A0">
              <w:rPr>
                <w:rFonts w:ascii="Times New Roman" w:hAnsi="Times New Roman" w:cs="Times New Roman"/>
                <w:iCs/>
                <w:sz w:val="24"/>
                <w:szCs w:val="24"/>
                <w:lang w:eastAsia="lv-LV"/>
              </w:rPr>
              <w:t>3,5</w:t>
            </w:r>
            <w:r w:rsidRPr="00B60ED2">
              <w:rPr>
                <w:rFonts w:ascii="Times New Roman" w:hAnsi="Times New Roman" w:cs="Times New Roman"/>
                <w:iCs/>
                <w:sz w:val="24"/>
                <w:szCs w:val="24"/>
                <w:lang w:eastAsia="lv-LV"/>
              </w:rPr>
              <w:t>%</w:t>
            </w:r>
          </w:p>
        </w:tc>
      </w:tr>
      <w:tr w:rsidR="00EB7C35" w:rsidRPr="00B60ED2" w14:paraId="564CBDD9" w14:textId="77777777" w:rsidTr="00CE5FD1">
        <w:trPr>
          <w:trHeight w:val="101"/>
        </w:trPr>
        <w:tc>
          <w:tcPr>
            <w:cnfStyle w:val="001000000000" w:firstRow="0" w:lastRow="0" w:firstColumn="1" w:lastColumn="0" w:oddVBand="0" w:evenVBand="0" w:oddHBand="0" w:evenHBand="0" w:firstRowFirstColumn="0" w:firstRowLastColumn="0" w:lastRowFirstColumn="0" w:lastRowLastColumn="0"/>
            <w:tcW w:w="2972" w:type="dxa"/>
            <w:vMerge/>
          </w:tcPr>
          <w:p w14:paraId="5A9494E3" w14:textId="77777777" w:rsidR="00EB7C35" w:rsidRPr="00B60ED2" w:rsidRDefault="00EB7C35" w:rsidP="00EB7C35">
            <w:pPr>
              <w:jc w:val="both"/>
              <w:rPr>
                <w:rFonts w:ascii="Times New Roman" w:hAnsi="Times New Roman" w:cs="Times New Roman"/>
                <w:b w:val="0"/>
                <w:iCs/>
                <w:sz w:val="24"/>
                <w:szCs w:val="24"/>
                <w:lang w:eastAsia="lv-LV"/>
              </w:rPr>
            </w:pPr>
          </w:p>
        </w:tc>
        <w:tc>
          <w:tcPr>
            <w:tcW w:w="2008" w:type="dxa"/>
            <w:vAlign w:val="center"/>
          </w:tcPr>
          <w:p w14:paraId="1120A05C" w14:textId="5FFC870D"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88,9%</w:t>
            </w:r>
          </w:p>
        </w:tc>
        <w:tc>
          <w:tcPr>
            <w:tcW w:w="1725" w:type="dxa"/>
            <w:vAlign w:val="center"/>
          </w:tcPr>
          <w:p w14:paraId="2BB49F5F" w14:textId="43D59D9E" w:rsidR="00EB7C35" w:rsidRPr="00B60ED2" w:rsidRDefault="00EB7C35"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91%</w:t>
            </w:r>
            <w:r w:rsidR="00B63CAD">
              <w:rPr>
                <w:rFonts w:ascii="Times New Roman" w:hAnsi="Times New Roman" w:cs="Times New Roman"/>
                <w:iCs/>
                <w:sz w:val="24"/>
                <w:szCs w:val="24"/>
                <w:lang w:eastAsia="lv-LV"/>
              </w:rPr>
              <w:t>/90,5%</w:t>
            </w:r>
          </w:p>
        </w:tc>
        <w:tc>
          <w:tcPr>
            <w:tcW w:w="1724" w:type="dxa"/>
            <w:vAlign w:val="center"/>
          </w:tcPr>
          <w:p w14:paraId="4B52D0F5" w14:textId="139AE198" w:rsidR="00EB7C35" w:rsidRPr="00B60ED2" w:rsidRDefault="00CE5FD1"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IDB: </w:t>
            </w:r>
            <w:r w:rsidR="00EB7C35" w:rsidRPr="00B60ED2">
              <w:rPr>
                <w:rFonts w:ascii="Times New Roman" w:hAnsi="Times New Roman" w:cs="Times New Roman"/>
                <w:iCs/>
                <w:sz w:val="24"/>
                <w:szCs w:val="24"/>
                <w:lang w:eastAsia="lv-LV"/>
              </w:rPr>
              <w:t>92%</w:t>
            </w:r>
          </w:p>
        </w:tc>
        <w:tc>
          <w:tcPr>
            <w:tcW w:w="1725" w:type="dxa"/>
            <w:vAlign w:val="center"/>
          </w:tcPr>
          <w:p w14:paraId="432731DA" w14:textId="0DFBD8D7" w:rsidR="00EB7C35" w:rsidRPr="00B60ED2" w:rsidRDefault="00EB7C35"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93%</w:t>
            </w:r>
          </w:p>
        </w:tc>
        <w:tc>
          <w:tcPr>
            <w:tcW w:w="1724" w:type="dxa"/>
            <w:vAlign w:val="center"/>
          </w:tcPr>
          <w:p w14:paraId="51B052C8" w14:textId="24DF6331" w:rsidR="00EB7C35" w:rsidRPr="00B60ED2" w:rsidRDefault="00EB7C35"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94%</w:t>
            </w:r>
          </w:p>
        </w:tc>
        <w:tc>
          <w:tcPr>
            <w:tcW w:w="1725" w:type="dxa"/>
            <w:vAlign w:val="center"/>
          </w:tcPr>
          <w:p w14:paraId="7464B3A5" w14:textId="753BB2BC" w:rsidR="00EB7C35" w:rsidRPr="00B60ED2" w:rsidRDefault="00EB7C35"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95%</w:t>
            </w:r>
          </w:p>
        </w:tc>
      </w:tr>
      <w:tr w:rsidR="00472687" w:rsidRPr="00B60ED2" w14:paraId="333CA297" w14:textId="77777777" w:rsidTr="00CE5FD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972" w:type="dxa"/>
            <w:vMerge/>
          </w:tcPr>
          <w:p w14:paraId="591BFFE1" w14:textId="77777777" w:rsidR="00472687" w:rsidRPr="00B60ED2" w:rsidRDefault="00472687" w:rsidP="00472687">
            <w:pPr>
              <w:jc w:val="both"/>
              <w:rPr>
                <w:rFonts w:ascii="Times New Roman" w:hAnsi="Times New Roman" w:cs="Times New Roman"/>
                <w:b w:val="0"/>
                <w:iCs/>
                <w:sz w:val="24"/>
                <w:szCs w:val="24"/>
                <w:lang w:eastAsia="lv-LV"/>
              </w:rPr>
            </w:pPr>
          </w:p>
        </w:tc>
        <w:tc>
          <w:tcPr>
            <w:tcW w:w="2008" w:type="dxa"/>
            <w:vAlign w:val="center"/>
          </w:tcPr>
          <w:p w14:paraId="2234309C" w14:textId="19734990"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96,8% </w:t>
            </w:r>
          </w:p>
        </w:tc>
        <w:tc>
          <w:tcPr>
            <w:tcW w:w="1725" w:type="dxa"/>
            <w:shd w:val="clear" w:color="auto" w:fill="DEEAF6" w:themeFill="accent1" w:themeFillTint="33"/>
            <w:vAlign w:val="center"/>
          </w:tcPr>
          <w:p w14:paraId="47398A4B" w14:textId="22E24ABB"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 96,5%</w:t>
            </w:r>
            <w:r>
              <w:rPr>
                <w:rFonts w:ascii="Times New Roman" w:hAnsi="Times New Roman" w:cs="Times New Roman"/>
                <w:iCs/>
                <w:sz w:val="24"/>
                <w:szCs w:val="24"/>
                <w:lang w:eastAsia="lv-LV"/>
              </w:rPr>
              <w:t>/92,8%</w:t>
            </w:r>
            <w:r w:rsidRPr="00B60ED2">
              <w:rPr>
                <w:rFonts w:ascii="Times New Roman" w:hAnsi="Times New Roman" w:cs="Times New Roman"/>
                <w:iCs/>
                <w:sz w:val="24"/>
                <w:szCs w:val="24"/>
                <w:lang w:eastAsia="lv-LV"/>
              </w:rPr>
              <w:t xml:space="preserve"> </w:t>
            </w:r>
          </w:p>
        </w:tc>
        <w:tc>
          <w:tcPr>
            <w:tcW w:w="1724" w:type="dxa"/>
            <w:shd w:val="clear" w:color="auto" w:fill="DEEAF6" w:themeFill="accent1" w:themeFillTint="33"/>
            <w:vAlign w:val="center"/>
          </w:tcPr>
          <w:p w14:paraId="057B2CE0" w14:textId="576F1DAF"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97% </w:t>
            </w:r>
          </w:p>
        </w:tc>
        <w:tc>
          <w:tcPr>
            <w:tcW w:w="1725" w:type="dxa"/>
            <w:shd w:val="clear" w:color="auto" w:fill="DEEAF6" w:themeFill="accent1" w:themeFillTint="33"/>
            <w:vAlign w:val="center"/>
          </w:tcPr>
          <w:p w14:paraId="617547BE" w14:textId="5CD2B357"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97,5% </w:t>
            </w:r>
          </w:p>
        </w:tc>
        <w:tc>
          <w:tcPr>
            <w:tcW w:w="1724" w:type="dxa"/>
            <w:shd w:val="clear" w:color="auto" w:fill="DEEAF6" w:themeFill="accent1" w:themeFillTint="33"/>
            <w:vAlign w:val="center"/>
          </w:tcPr>
          <w:p w14:paraId="6B4E30F8" w14:textId="59CE7431"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98,0% </w:t>
            </w:r>
          </w:p>
        </w:tc>
        <w:tc>
          <w:tcPr>
            <w:tcW w:w="1725" w:type="dxa"/>
            <w:shd w:val="clear" w:color="auto" w:fill="DEEAF6" w:themeFill="accent1" w:themeFillTint="33"/>
            <w:vAlign w:val="center"/>
          </w:tcPr>
          <w:p w14:paraId="31B977FB" w14:textId="0D7BB5E2"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98,5% </w:t>
            </w:r>
          </w:p>
        </w:tc>
      </w:tr>
      <w:tr w:rsidR="00EB7C35" w:rsidRPr="00B60ED2" w14:paraId="60C0DFD8" w14:textId="77777777" w:rsidTr="00CE5FD1">
        <w:trPr>
          <w:trHeight w:val="101"/>
        </w:trPr>
        <w:tc>
          <w:tcPr>
            <w:cnfStyle w:val="001000000000" w:firstRow="0" w:lastRow="0" w:firstColumn="1" w:lastColumn="0" w:oddVBand="0" w:evenVBand="0" w:oddHBand="0" w:evenHBand="0" w:firstRowFirstColumn="0" w:firstRowLastColumn="0" w:lastRowFirstColumn="0" w:lastRowLastColumn="0"/>
            <w:tcW w:w="2972" w:type="dxa"/>
            <w:vMerge/>
          </w:tcPr>
          <w:p w14:paraId="38363C7E" w14:textId="77777777" w:rsidR="00EB7C35" w:rsidRPr="00B60ED2" w:rsidRDefault="00EB7C35" w:rsidP="00EB7C35">
            <w:pPr>
              <w:jc w:val="both"/>
              <w:rPr>
                <w:rFonts w:ascii="Times New Roman" w:hAnsi="Times New Roman" w:cs="Times New Roman"/>
                <w:b w:val="0"/>
                <w:iCs/>
                <w:sz w:val="24"/>
                <w:szCs w:val="24"/>
                <w:lang w:eastAsia="lv-LV"/>
              </w:rPr>
            </w:pPr>
          </w:p>
        </w:tc>
        <w:tc>
          <w:tcPr>
            <w:tcW w:w="2008" w:type="dxa"/>
            <w:vAlign w:val="center"/>
          </w:tcPr>
          <w:p w14:paraId="13BB8C1C" w14:textId="28254640"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90,6%</w:t>
            </w:r>
          </w:p>
        </w:tc>
        <w:tc>
          <w:tcPr>
            <w:tcW w:w="1725" w:type="dxa"/>
            <w:vAlign w:val="center"/>
          </w:tcPr>
          <w:p w14:paraId="1CFADBF3" w14:textId="4CF0D768"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w:t>
            </w:r>
            <w:r w:rsidR="00E463D3" w:rsidRPr="00B60ED2">
              <w:rPr>
                <w:rFonts w:ascii="Times New Roman" w:hAnsi="Times New Roman" w:cs="Times New Roman"/>
                <w:iCs/>
                <w:sz w:val="24"/>
                <w:szCs w:val="24"/>
                <w:lang w:eastAsia="lv-LV"/>
              </w:rPr>
              <w:t>90%</w:t>
            </w:r>
            <w:r w:rsidR="00DA1B89">
              <w:rPr>
                <w:rFonts w:ascii="Times New Roman" w:hAnsi="Times New Roman" w:cs="Times New Roman"/>
                <w:iCs/>
                <w:sz w:val="24"/>
                <w:szCs w:val="24"/>
                <w:lang w:eastAsia="lv-LV"/>
              </w:rPr>
              <w:t>/89%</w:t>
            </w:r>
          </w:p>
        </w:tc>
        <w:tc>
          <w:tcPr>
            <w:tcW w:w="1724" w:type="dxa"/>
            <w:vAlign w:val="center"/>
          </w:tcPr>
          <w:p w14:paraId="5ED4C195" w14:textId="264D9AE8"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w:t>
            </w:r>
            <w:r w:rsidR="00E463D3" w:rsidRPr="00B60ED2">
              <w:rPr>
                <w:rFonts w:ascii="Times New Roman" w:hAnsi="Times New Roman" w:cs="Times New Roman"/>
                <w:iCs/>
                <w:sz w:val="24"/>
                <w:szCs w:val="24"/>
                <w:lang w:eastAsia="lv-LV"/>
              </w:rPr>
              <w:t xml:space="preserve"> 90,5%</w:t>
            </w:r>
            <w:r w:rsidRPr="00B60ED2">
              <w:rPr>
                <w:rFonts w:ascii="Times New Roman" w:hAnsi="Times New Roman" w:cs="Times New Roman"/>
                <w:iCs/>
                <w:sz w:val="24"/>
                <w:szCs w:val="24"/>
                <w:lang w:eastAsia="lv-LV"/>
              </w:rPr>
              <w:t xml:space="preserve"> </w:t>
            </w:r>
          </w:p>
        </w:tc>
        <w:tc>
          <w:tcPr>
            <w:tcW w:w="1725" w:type="dxa"/>
            <w:vAlign w:val="center"/>
          </w:tcPr>
          <w:p w14:paraId="231355D6" w14:textId="6E156C40"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w:t>
            </w:r>
            <w:r w:rsidR="00E463D3" w:rsidRPr="00B60ED2">
              <w:rPr>
                <w:rFonts w:ascii="Times New Roman" w:hAnsi="Times New Roman" w:cs="Times New Roman"/>
                <w:iCs/>
                <w:sz w:val="24"/>
                <w:szCs w:val="24"/>
                <w:lang w:eastAsia="lv-LV"/>
              </w:rPr>
              <w:t>90,5%</w:t>
            </w:r>
          </w:p>
        </w:tc>
        <w:tc>
          <w:tcPr>
            <w:tcW w:w="1724" w:type="dxa"/>
            <w:vAlign w:val="center"/>
          </w:tcPr>
          <w:p w14:paraId="37D0AB04" w14:textId="14491FDA"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w:t>
            </w:r>
            <w:r w:rsidR="00E463D3" w:rsidRPr="00B60ED2">
              <w:rPr>
                <w:rFonts w:ascii="Times New Roman" w:hAnsi="Times New Roman" w:cs="Times New Roman"/>
                <w:iCs/>
                <w:sz w:val="24"/>
                <w:szCs w:val="24"/>
                <w:lang w:eastAsia="lv-LV"/>
              </w:rPr>
              <w:t>91%</w:t>
            </w:r>
          </w:p>
        </w:tc>
        <w:tc>
          <w:tcPr>
            <w:tcW w:w="1725" w:type="dxa"/>
            <w:vAlign w:val="center"/>
          </w:tcPr>
          <w:p w14:paraId="5B3D7BBD" w14:textId="7CCA8242"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w:t>
            </w:r>
            <w:r w:rsidR="00E463D3" w:rsidRPr="00B60ED2">
              <w:rPr>
                <w:rFonts w:ascii="Times New Roman" w:hAnsi="Times New Roman" w:cs="Times New Roman"/>
                <w:iCs/>
                <w:sz w:val="24"/>
                <w:szCs w:val="24"/>
                <w:lang w:eastAsia="lv-LV"/>
              </w:rPr>
              <w:t>91%</w:t>
            </w:r>
          </w:p>
        </w:tc>
      </w:tr>
      <w:tr w:rsidR="00EB7C35" w:rsidRPr="00B60ED2" w14:paraId="62568EEF" w14:textId="77777777" w:rsidTr="00CE5FD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972" w:type="dxa"/>
            <w:vMerge/>
          </w:tcPr>
          <w:p w14:paraId="625847AB" w14:textId="77777777" w:rsidR="00EB7C35" w:rsidRPr="00B60ED2" w:rsidRDefault="00EB7C35" w:rsidP="00EB7C35">
            <w:pPr>
              <w:jc w:val="both"/>
              <w:rPr>
                <w:rFonts w:ascii="Times New Roman" w:hAnsi="Times New Roman" w:cs="Times New Roman"/>
                <w:b w:val="0"/>
                <w:iCs/>
                <w:sz w:val="24"/>
                <w:szCs w:val="24"/>
                <w:lang w:eastAsia="lv-LV"/>
              </w:rPr>
            </w:pPr>
          </w:p>
        </w:tc>
        <w:tc>
          <w:tcPr>
            <w:tcW w:w="2008" w:type="dxa"/>
            <w:shd w:val="clear" w:color="auto" w:fill="DEEAF6" w:themeFill="accent1" w:themeFillTint="33"/>
            <w:vAlign w:val="center"/>
          </w:tcPr>
          <w:p w14:paraId="6FC26208" w14:textId="3EA5F935" w:rsidR="00EB7C35" w:rsidRPr="00B60ED2" w:rsidRDefault="00EB7C35"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92%</w:t>
            </w:r>
          </w:p>
        </w:tc>
        <w:tc>
          <w:tcPr>
            <w:tcW w:w="1725" w:type="dxa"/>
            <w:shd w:val="clear" w:color="auto" w:fill="DEEAF6" w:themeFill="accent1" w:themeFillTint="33"/>
            <w:vAlign w:val="center"/>
          </w:tcPr>
          <w:p w14:paraId="0F37B0DD" w14:textId="74A9A340" w:rsidR="008068CD" w:rsidRPr="00B60ED2" w:rsidRDefault="00E1624F" w:rsidP="008068CD">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94%</w:t>
            </w:r>
            <w:r w:rsidR="00DA1B89">
              <w:rPr>
                <w:rFonts w:ascii="Times New Roman" w:hAnsi="Times New Roman" w:cs="Times New Roman"/>
                <w:iCs/>
                <w:sz w:val="24"/>
                <w:szCs w:val="24"/>
                <w:lang w:eastAsia="lv-LV"/>
              </w:rPr>
              <w:t>/86,5%</w:t>
            </w:r>
          </w:p>
        </w:tc>
        <w:tc>
          <w:tcPr>
            <w:tcW w:w="1724" w:type="dxa"/>
            <w:shd w:val="clear" w:color="auto" w:fill="DEEAF6" w:themeFill="accent1" w:themeFillTint="33"/>
            <w:vAlign w:val="center"/>
          </w:tcPr>
          <w:p w14:paraId="6688CDBF" w14:textId="4F3DA85A"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94,5%</w:t>
            </w:r>
          </w:p>
        </w:tc>
        <w:tc>
          <w:tcPr>
            <w:tcW w:w="1725" w:type="dxa"/>
            <w:shd w:val="clear" w:color="auto" w:fill="DEEAF6" w:themeFill="accent1" w:themeFillTint="33"/>
            <w:vAlign w:val="center"/>
          </w:tcPr>
          <w:p w14:paraId="294A12D2" w14:textId="6E731F15"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95%</w:t>
            </w:r>
          </w:p>
        </w:tc>
        <w:tc>
          <w:tcPr>
            <w:tcW w:w="1724" w:type="dxa"/>
            <w:shd w:val="clear" w:color="auto" w:fill="DEEAF6" w:themeFill="accent1" w:themeFillTint="33"/>
            <w:vAlign w:val="center"/>
          </w:tcPr>
          <w:p w14:paraId="19C0D47D" w14:textId="662B4002"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95,5%</w:t>
            </w:r>
          </w:p>
        </w:tc>
        <w:tc>
          <w:tcPr>
            <w:tcW w:w="1725" w:type="dxa"/>
            <w:shd w:val="clear" w:color="auto" w:fill="DEEAF6" w:themeFill="accent1" w:themeFillTint="33"/>
            <w:vAlign w:val="center"/>
          </w:tcPr>
          <w:p w14:paraId="15A47CDB" w14:textId="3C857CFF"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96%</w:t>
            </w:r>
          </w:p>
        </w:tc>
      </w:tr>
      <w:tr w:rsidR="00EB7C35" w:rsidRPr="00B60ED2" w14:paraId="2EDA6D08" w14:textId="77777777" w:rsidTr="00CE5FD1">
        <w:trPr>
          <w:trHeight w:val="101"/>
        </w:trPr>
        <w:tc>
          <w:tcPr>
            <w:cnfStyle w:val="001000000000" w:firstRow="0" w:lastRow="0" w:firstColumn="1" w:lastColumn="0" w:oddVBand="0" w:evenVBand="0" w:oddHBand="0" w:evenHBand="0" w:firstRowFirstColumn="0" w:firstRowLastColumn="0" w:lastRowFirstColumn="0" w:lastRowLastColumn="0"/>
            <w:tcW w:w="2972" w:type="dxa"/>
            <w:vMerge/>
            <w:tcBorders>
              <w:bottom w:val="single" w:sz="24" w:space="0" w:color="9CC2E5" w:themeColor="accent1" w:themeTint="99"/>
            </w:tcBorders>
          </w:tcPr>
          <w:p w14:paraId="2DB65B90" w14:textId="77777777" w:rsidR="00EB7C35" w:rsidRPr="00B60ED2" w:rsidRDefault="00EB7C35" w:rsidP="00EB7C35">
            <w:pPr>
              <w:jc w:val="both"/>
              <w:rPr>
                <w:rFonts w:ascii="Times New Roman" w:hAnsi="Times New Roman" w:cs="Times New Roman"/>
                <w:b w:val="0"/>
                <w:iCs/>
                <w:sz w:val="24"/>
                <w:szCs w:val="24"/>
                <w:lang w:eastAsia="lv-LV"/>
              </w:rPr>
            </w:pPr>
          </w:p>
        </w:tc>
        <w:tc>
          <w:tcPr>
            <w:tcW w:w="2008" w:type="dxa"/>
            <w:tcBorders>
              <w:bottom w:val="single" w:sz="24" w:space="0" w:color="9CC2E5" w:themeColor="accent1" w:themeTint="99"/>
            </w:tcBorders>
            <w:vAlign w:val="center"/>
          </w:tcPr>
          <w:p w14:paraId="47E37D00" w14:textId="04570935" w:rsidR="00EB7C35" w:rsidRPr="00B60ED2" w:rsidRDefault="00CE5FD1"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VSC: </w:t>
            </w:r>
            <w:r w:rsidR="00EB7C35" w:rsidRPr="00B60ED2">
              <w:rPr>
                <w:rFonts w:ascii="Times New Roman" w:hAnsi="Times New Roman" w:cs="Times New Roman"/>
                <w:iCs/>
                <w:sz w:val="24"/>
                <w:szCs w:val="24"/>
                <w:lang w:eastAsia="lv-LV"/>
              </w:rPr>
              <w:t>91,1%</w:t>
            </w:r>
          </w:p>
        </w:tc>
        <w:tc>
          <w:tcPr>
            <w:tcW w:w="1725" w:type="dxa"/>
            <w:tcBorders>
              <w:bottom w:val="single" w:sz="24" w:space="0" w:color="9CC2E5" w:themeColor="accent1" w:themeTint="99"/>
            </w:tcBorders>
            <w:vAlign w:val="center"/>
          </w:tcPr>
          <w:p w14:paraId="7D3F5318" w14:textId="25F23911"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w:t>
            </w:r>
            <w:r w:rsidR="00B2159A" w:rsidRPr="00B60ED2">
              <w:rPr>
                <w:rFonts w:ascii="Times New Roman" w:hAnsi="Times New Roman" w:cs="Times New Roman"/>
                <w:iCs/>
                <w:sz w:val="24"/>
                <w:szCs w:val="24"/>
                <w:lang w:eastAsia="lv-LV"/>
              </w:rPr>
              <w:t xml:space="preserve"> 93%</w:t>
            </w:r>
            <w:r w:rsidR="00DA1B89">
              <w:rPr>
                <w:rFonts w:ascii="Times New Roman" w:hAnsi="Times New Roman" w:cs="Times New Roman"/>
                <w:iCs/>
                <w:sz w:val="24"/>
                <w:szCs w:val="24"/>
                <w:lang w:eastAsia="lv-LV"/>
              </w:rPr>
              <w:t>/93,4%</w:t>
            </w:r>
            <w:r w:rsidRPr="00B60ED2">
              <w:rPr>
                <w:rFonts w:ascii="Times New Roman" w:hAnsi="Times New Roman" w:cs="Times New Roman"/>
                <w:iCs/>
                <w:sz w:val="24"/>
                <w:szCs w:val="24"/>
                <w:lang w:eastAsia="lv-LV"/>
              </w:rPr>
              <w:t xml:space="preserve"> </w:t>
            </w:r>
          </w:p>
        </w:tc>
        <w:tc>
          <w:tcPr>
            <w:tcW w:w="1724" w:type="dxa"/>
            <w:tcBorders>
              <w:bottom w:val="single" w:sz="24" w:space="0" w:color="9CC2E5" w:themeColor="accent1" w:themeTint="99"/>
            </w:tcBorders>
            <w:vAlign w:val="center"/>
          </w:tcPr>
          <w:p w14:paraId="0163C7B8" w14:textId="748D0CA4"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w:t>
            </w:r>
            <w:r w:rsidR="00B2159A" w:rsidRPr="00B60ED2">
              <w:rPr>
                <w:rFonts w:ascii="Times New Roman" w:hAnsi="Times New Roman" w:cs="Times New Roman"/>
                <w:iCs/>
                <w:sz w:val="24"/>
                <w:szCs w:val="24"/>
                <w:lang w:eastAsia="lv-LV"/>
              </w:rPr>
              <w:t xml:space="preserve"> 93%</w:t>
            </w:r>
            <w:r w:rsidRPr="00B60ED2">
              <w:rPr>
                <w:rFonts w:ascii="Times New Roman" w:hAnsi="Times New Roman" w:cs="Times New Roman"/>
                <w:iCs/>
                <w:sz w:val="24"/>
                <w:szCs w:val="24"/>
                <w:lang w:eastAsia="lv-LV"/>
              </w:rPr>
              <w:t xml:space="preserve"> </w:t>
            </w:r>
          </w:p>
        </w:tc>
        <w:tc>
          <w:tcPr>
            <w:tcW w:w="1725" w:type="dxa"/>
            <w:tcBorders>
              <w:bottom w:val="single" w:sz="24" w:space="0" w:color="9CC2E5" w:themeColor="accent1" w:themeTint="99"/>
            </w:tcBorders>
            <w:vAlign w:val="center"/>
          </w:tcPr>
          <w:p w14:paraId="6BF18507" w14:textId="3C4EB86D"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w:t>
            </w:r>
            <w:r w:rsidR="00B2159A" w:rsidRPr="00B60ED2">
              <w:rPr>
                <w:rFonts w:ascii="Times New Roman" w:hAnsi="Times New Roman" w:cs="Times New Roman"/>
                <w:iCs/>
                <w:sz w:val="24"/>
                <w:szCs w:val="24"/>
                <w:lang w:eastAsia="lv-LV"/>
              </w:rPr>
              <w:t xml:space="preserve"> 94%</w:t>
            </w:r>
            <w:r w:rsidRPr="00B60ED2">
              <w:rPr>
                <w:rFonts w:ascii="Times New Roman" w:hAnsi="Times New Roman" w:cs="Times New Roman"/>
                <w:iCs/>
                <w:sz w:val="24"/>
                <w:szCs w:val="24"/>
                <w:lang w:eastAsia="lv-LV"/>
              </w:rPr>
              <w:t xml:space="preserve"> </w:t>
            </w:r>
          </w:p>
        </w:tc>
        <w:tc>
          <w:tcPr>
            <w:tcW w:w="1724" w:type="dxa"/>
            <w:tcBorders>
              <w:bottom w:val="single" w:sz="24" w:space="0" w:color="9CC2E5" w:themeColor="accent1" w:themeTint="99"/>
            </w:tcBorders>
            <w:vAlign w:val="center"/>
          </w:tcPr>
          <w:p w14:paraId="2B895DAC" w14:textId="1E1A9A02"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VSC: </w:t>
            </w:r>
            <w:r w:rsidR="00B2159A" w:rsidRPr="00B60ED2">
              <w:rPr>
                <w:rFonts w:ascii="Times New Roman" w:hAnsi="Times New Roman" w:cs="Times New Roman"/>
                <w:iCs/>
                <w:sz w:val="24"/>
                <w:szCs w:val="24"/>
                <w:lang w:eastAsia="lv-LV"/>
              </w:rPr>
              <w:t>95%</w:t>
            </w:r>
          </w:p>
        </w:tc>
        <w:tc>
          <w:tcPr>
            <w:tcW w:w="1725" w:type="dxa"/>
            <w:tcBorders>
              <w:bottom w:val="single" w:sz="24" w:space="0" w:color="9CC2E5" w:themeColor="accent1" w:themeTint="99"/>
            </w:tcBorders>
            <w:vAlign w:val="center"/>
          </w:tcPr>
          <w:p w14:paraId="4FDB65BA" w14:textId="2A9E1BA2"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w:t>
            </w:r>
            <w:r w:rsidR="00B2159A" w:rsidRPr="00B60ED2">
              <w:rPr>
                <w:rFonts w:ascii="Times New Roman" w:hAnsi="Times New Roman" w:cs="Times New Roman"/>
                <w:iCs/>
                <w:sz w:val="24"/>
                <w:szCs w:val="24"/>
                <w:lang w:eastAsia="lv-LV"/>
              </w:rPr>
              <w:t xml:space="preserve"> 96%</w:t>
            </w:r>
            <w:r w:rsidRPr="00B60ED2">
              <w:rPr>
                <w:rFonts w:ascii="Times New Roman" w:hAnsi="Times New Roman" w:cs="Times New Roman"/>
                <w:iCs/>
                <w:sz w:val="24"/>
                <w:szCs w:val="24"/>
                <w:lang w:eastAsia="lv-LV"/>
              </w:rPr>
              <w:t xml:space="preserve"> </w:t>
            </w:r>
          </w:p>
        </w:tc>
      </w:tr>
      <w:tr w:rsidR="00BF3CD2" w:rsidRPr="00B60ED2" w14:paraId="460A67BD" w14:textId="77777777" w:rsidTr="00CE5FD1">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972" w:type="dxa"/>
            <w:vMerge w:val="restart"/>
            <w:tcBorders>
              <w:top w:val="single" w:sz="24" w:space="0" w:color="9CC2E5" w:themeColor="accent1" w:themeTint="99"/>
            </w:tcBorders>
            <w:vAlign w:val="center"/>
          </w:tcPr>
          <w:p w14:paraId="1F3DD150" w14:textId="768F3444" w:rsidR="00BF3CD2" w:rsidRPr="00B60ED2" w:rsidRDefault="00BF3CD2" w:rsidP="00882223">
            <w:pPr>
              <w:jc w:val="both"/>
              <w:rPr>
                <w:rFonts w:ascii="Times New Roman" w:hAnsi="Times New Roman" w:cs="Times New Roman"/>
                <w:b w:val="0"/>
                <w:iCs/>
                <w:sz w:val="24"/>
                <w:szCs w:val="24"/>
                <w:lang w:eastAsia="lv-LV"/>
              </w:rPr>
            </w:pPr>
            <w:bookmarkStart w:id="43" w:name="_Hlk160441809"/>
            <w:r w:rsidRPr="00B60ED2">
              <w:rPr>
                <w:rFonts w:ascii="Times New Roman" w:hAnsi="Times New Roman" w:cs="Times New Roman"/>
                <w:b w:val="0"/>
                <w:iCs/>
                <w:sz w:val="24"/>
                <w:szCs w:val="24"/>
                <w:lang w:eastAsia="lv-LV"/>
              </w:rPr>
              <w:lastRenderedPageBreak/>
              <w:t>Iekšlietu ministrijas un padotībā  nodarbināto, kas gada ietvaros ir paaugstinājuši profesionālo kvalifikāciju, īpatsvars (%)</w:t>
            </w:r>
            <w:r w:rsidR="00CC2308" w:rsidRPr="00B60ED2">
              <w:rPr>
                <w:rStyle w:val="FootnoteReference"/>
                <w:rFonts w:ascii="Times New Roman" w:hAnsi="Times New Roman" w:cs="Times New Roman"/>
                <w:b w:val="0"/>
                <w:iCs/>
                <w:sz w:val="24"/>
                <w:szCs w:val="24"/>
                <w:lang w:eastAsia="lv-LV"/>
              </w:rPr>
              <w:footnoteReference w:id="16"/>
            </w:r>
            <w:bookmarkEnd w:id="43"/>
          </w:p>
        </w:tc>
        <w:tc>
          <w:tcPr>
            <w:tcW w:w="2008" w:type="dxa"/>
            <w:tcBorders>
              <w:top w:val="single" w:sz="24" w:space="0" w:color="9CC2E5" w:themeColor="accent1" w:themeTint="99"/>
              <w:bottom w:val="single" w:sz="4" w:space="0" w:color="9CC2E5" w:themeColor="accent1" w:themeTint="99"/>
            </w:tcBorders>
            <w:vAlign w:val="center"/>
          </w:tcPr>
          <w:p w14:paraId="2193B657" w14:textId="64FCF60F" w:rsidR="00BF3CD2" w:rsidRPr="00B60ED2" w:rsidRDefault="00BF3CD2" w:rsidP="00DB3EBA">
            <w:pPr>
              <w:spacing w:beforeLines="60" w:before="144"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w:t>
            </w:r>
            <w:r w:rsidR="00DD3D10" w:rsidRPr="00B60ED2">
              <w:rPr>
                <w:rFonts w:ascii="Times New Roman" w:hAnsi="Times New Roman" w:cs="Times New Roman"/>
                <w:iCs/>
                <w:sz w:val="24"/>
                <w:szCs w:val="24"/>
                <w:lang w:eastAsia="lv-LV"/>
              </w:rPr>
              <w:t xml:space="preserve"> 60,7%</w:t>
            </w:r>
            <w:r w:rsidR="00DB3EBA" w:rsidRPr="00B60ED2">
              <w:rPr>
                <w:rFonts w:ascii="Times New Roman" w:hAnsi="Times New Roman" w:cs="Times New Roman"/>
                <w:iCs/>
                <w:sz w:val="24"/>
                <w:szCs w:val="24"/>
                <w:lang w:eastAsia="lv-LV"/>
              </w:rPr>
              <w:t xml:space="preserve"> </w:t>
            </w:r>
          </w:p>
        </w:tc>
        <w:tc>
          <w:tcPr>
            <w:tcW w:w="1725" w:type="dxa"/>
            <w:tcBorders>
              <w:top w:val="single" w:sz="24" w:space="0" w:color="9CC2E5" w:themeColor="accent1" w:themeTint="99"/>
            </w:tcBorders>
            <w:vAlign w:val="center"/>
          </w:tcPr>
          <w:p w14:paraId="3AC6FE00" w14:textId="69408823"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DD3D10" w:rsidRPr="00B60ED2">
              <w:rPr>
                <w:rFonts w:ascii="Times New Roman" w:hAnsi="Times New Roman" w:cs="Times New Roman"/>
                <w:iCs/>
                <w:sz w:val="24"/>
                <w:szCs w:val="24"/>
                <w:lang w:eastAsia="lv-LV"/>
              </w:rPr>
              <w:t>62%</w:t>
            </w:r>
            <w:r w:rsidR="00B82FE3">
              <w:rPr>
                <w:rFonts w:ascii="Times New Roman" w:hAnsi="Times New Roman" w:cs="Times New Roman"/>
                <w:iCs/>
                <w:sz w:val="24"/>
                <w:szCs w:val="24"/>
                <w:lang w:eastAsia="lv-LV"/>
              </w:rPr>
              <w:t>/61%</w:t>
            </w:r>
          </w:p>
        </w:tc>
        <w:tc>
          <w:tcPr>
            <w:tcW w:w="1724" w:type="dxa"/>
            <w:tcBorders>
              <w:top w:val="single" w:sz="24" w:space="0" w:color="9CC2E5" w:themeColor="accent1" w:themeTint="99"/>
            </w:tcBorders>
            <w:vAlign w:val="center"/>
          </w:tcPr>
          <w:p w14:paraId="7F0B0A08" w14:textId="13930CD2"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DD3D10" w:rsidRPr="00B60ED2">
              <w:rPr>
                <w:rFonts w:ascii="Times New Roman" w:hAnsi="Times New Roman" w:cs="Times New Roman"/>
                <w:iCs/>
                <w:sz w:val="24"/>
                <w:szCs w:val="24"/>
                <w:lang w:eastAsia="lv-LV"/>
              </w:rPr>
              <w:t>64%</w:t>
            </w:r>
          </w:p>
        </w:tc>
        <w:tc>
          <w:tcPr>
            <w:tcW w:w="1725" w:type="dxa"/>
            <w:tcBorders>
              <w:top w:val="single" w:sz="24" w:space="0" w:color="9CC2E5" w:themeColor="accent1" w:themeTint="99"/>
            </w:tcBorders>
            <w:vAlign w:val="center"/>
          </w:tcPr>
          <w:p w14:paraId="658CD269" w14:textId="3A5E7509"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DD3D10" w:rsidRPr="00B60ED2">
              <w:rPr>
                <w:rFonts w:ascii="Times New Roman" w:hAnsi="Times New Roman" w:cs="Times New Roman"/>
                <w:iCs/>
                <w:sz w:val="24"/>
                <w:szCs w:val="24"/>
                <w:lang w:eastAsia="lv-LV"/>
              </w:rPr>
              <w:t>66%</w:t>
            </w:r>
          </w:p>
        </w:tc>
        <w:tc>
          <w:tcPr>
            <w:tcW w:w="1724" w:type="dxa"/>
            <w:tcBorders>
              <w:top w:val="single" w:sz="24" w:space="0" w:color="9CC2E5" w:themeColor="accent1" w:themeTint="99"/>
            </w:tcBorders>
            <w:vAlign w:val="center"/>
          </w:tcPr>
          <w:p w14:paraId="6670E993" w14:textId="5FB8C2DB"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w:t>
            </w:r>
            <w:r w:rsidR="00DD3D10" w:rsidRPr="00B60ED2">
              <w:rPr>
                <w:rFonts w:ascii="Times New Roman" w:hAnsi="Times New Roman" w:cs="Times New Roman"/>
                <w:iCs/>
                <w:sz w:val="24"/>
                <w:szCs w:val="24"/>
                <w:lang w:eastAsia="lv-LV"/>
              </w:rPr>
              <w:t xml:space="preserve"> 68%</w:t>
            </w:r>
          </w:p>
        </w:tc>
        <w:tc>
          <w:tcPr>
            <w:tcW w:w="1725" w:type="dxa"/>
            <w:tcBorders>
              <w:top w:val="single" w:sz="24" w:space="0" w:color="9CC2E5" w:themeColor="accent1" w:themeTint="99"/>
            </w:tcBorders>
            <w:vAlign w:val="center"/>
          </w:tcPr>
          <w:p w14:paraId="14BD87AB" w14:textId="22C9D12C"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DD3D10" w:rsidRPr="00B60ED2">
              <w:rPr>
                <w:rFonts w:ascii="Times New Roman" w:hAnsi="Times New Roman" w:cs="Times New Roman"/>
                <w:iCs/>
                <w:sz w:val="24"/>
                <w:szCs w:val="24"/>
                <w:lang w:eastAsia="lv-LV"/>
              </w:rPr>
              <w:t>70%</w:t>
            </w:r>
          </w:p>
        </w:tc>
      </w:tr>
      <w:tr w:rsidR="00BF3CD2" w:rsidRPr="00B60ED2" w14:paraId="2D4B31B7" w14:textId="77777777" w:rsidTr="00CE5FD1">
        <w:trPr>
          <w:trHeight w:val="20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9E2F3" w:themeFill="accent5" w:themeFillTint="33"/>
          </w:tcPr>
          <w:p w14:paraId="52FD3243" w14:textId="77777777" w:rsidR="00BF3CD2" w:rsidRPr="00B60ED2" w:rsidRDefault="00BF3CD2" w:rsidP="00BF3CD2">
            <w:pPr>
              <w:jc w:val="both"/>
              <w:rPr>
                <w:rFonts w:ascii="Times New Roman" w:hAnsi="Times New Roman" w:cs="Times New Roman"/>
                <w:b w:val="0"/>
                <w:iCs/>
                <w:sz w:val="24"/>
                <w:szCs w:val="24"/>
                <w:lang w:eastAsia="lv-LV"/>
              </w:rPr>
            </w:pPr>
          </w:p>
        </w:tc>
        <w:tc>
          <w:tcPr>
            <w:tcW w:w="2008" w:type="dxa"/>
            <w:tcBorders>
              <w:top w:val="single" w:sz="4" w:space="0" w:color="9CC2E5" w:themeColor="accent1" w:themeTint="99"/>
              <w:bottom w:val="single" w:sz="4" w:space="0" w:color="9CC2E5" w:themeColor="accent1" w:themeTint="99"/>
            </w:tcBorders>
            <w:shd w:val="clear" w:color="auto" w:fill="FFFFFF" w:themeFill="background1"/>
            <w:vAlign w:val="center"/>
          </w:tcPr>
          <w:p w14:paraId="567E11A0" w14:textId="49084C3C" w:rsidR="00BF3CD2" w:rsidRPr="00B60ED2" w:rsidRDefault="00BF3CD2" w:rsidP="00CE5FD1">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VP: 43%</w:t>
            </w:r>
          </w:p>
        </w:tc>
        <w:tc>
          <w:tcPr>
            <w:tcW w:w="1725" w:type="dxa"/>
            <w:shd w:val="clear" w:color="auto" w:fill="FFFFFF" w:themeFill="background1"/>
            <w:vAlign w:val="center"/>
          </w:tcPr>
          <w:p w14:paraId="3D77066F" w14:textId="290D4C79"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5</w:t>
            </w:r>
            <w:r w:rsidRPr="00B60ED2">
              <w:rPr>
                <w:rFonts w:ascii="Times New Roman" w:hAnsi="Times New Roman" w:cs="Times New Roman"/>
                <w:iCs/>
                <w:sz w:val="24"/>
                <w:szCs w:val="24"/>
                <w:lang w:eastAsia="lv-LV"/>
              </w:rPr>
              <w:t>5%</w:t>
            </w:r>
            <w:r w:rsidR="00B82FE3">
              <w:rPr>
                <w:rFonts w:ascii="Times New Roman" w:hAnsi="Times New Roman" w:cs="Times New Roman"/>
                <w:iCs/>
                <w:sz w:val="24"/>
                <w:szCs w:val="24"/>
                <w:lang w:eastAsia="lv-LV"/>
              </w:rPr>
              <w:t>/55,3%</w:t>
            </w:r>
          </w:p>
        </w:tc>
        <w:tc>
          <w:tcPr>
            <w:tcW w:w="1724" w:type="dxa"/>
            <w:shd w:val="clear" w:color="auto" w:fill="FFFFFF" w:themeFill="background1"/>
            <w:vAlign w:val="center"/>
          </w:tcPr>
          <w:p w14:paraId="1A3EABF7" w14:textId="05520074"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56</w:t>
            </w:r>
            <w:r w:rsidRPr="00B60ED2">
              <w:rPr>
                <w:rFonts w:ascii="Times New Roman" w:hAnsi="Times New Roman" w:cs="Times New Roman"/>
                <w:iCs/>
                <w:sz w:val="24"/>
                <w:szCs w:val="24"/>
                <w:lang w:eastAsia="lv-LV"/>
              </w:rPr>
              <w:t xml:space="preserve">% </w:t>
            </w:r>
          </w:p>
        </w:tc>
        <w:tc>
          <w:tcPr>
            <w:tcW w:w="1725" w:type="dxa"/>
            <w:shd w:val="clear" w:color="auto" w:fill="FFFFFF" w:themeFill="background1"/>
            <w:vAlign w:val="center"/>
          </w:tcPr>
          <w:p w14:paraId="7157DBD3" w14:textId="7C50064B"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57</w:t>
            </w:r>
            <w:r w:rsidRPr="00B60ED2">
              <w:rPr>
                <w:rFonts w:ascii="Times New Roman" w:hAnsi="Times New Roman" w:cs="Times New Roman"/>
                <w:iCs/>
                <w:sz w:val="24"/>
                <w:szCs w:val="24"/>
                <w:lang w:eastAsia="lv-LV"/>
              </w:rPr>
              <w:t xml:space="preserve">% </w:t>
            </w:r>
          </w:p>
        </w:tc>
        <w:tc>
          <w:tcPr>
            <w:tcW w:w="1724" w:type="dxa"/>
            <w:shd w:val="clear" w:color="auto" w:fill="FFFFFF" w:themeFill="background1"/>
            <w:vAlign w:val="center"/>
          </w:tcPr>
          <w:p w14:paraId="5299173A" w14:textId="2B7BD2CB"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58</w:t>
            </w:r>
            <w:r w:rsidRPr="00B60ED2">
              <w:rPr>
                <w:rFonts w:ascii="Times New Roman" w:hAnsi="Times New Roman" w:cs="Times New Roman"/>
                <w:iCs/>
                <w:sz w:val="24"/>
                <w:szCs w:val="24"/>
                <w:lang w:eastAsia="lv-LV"/>
              </w:rPr>
              <w:t>%</w:t>
            </w:r>
          </w:p>
        </w:tc>
        <w:tc>
          <w:tcPr>
            <w:tcW w:w="1725" w:type="dxa"/>
            <w:shd w:val="clear" w:color="auto" w:fill="FFFFFF" w:themeFill="background1"/>
            <w:vAlign w:val="center"/>
          </w:tcPr>
          <w:p w14:paraId="561CE35C" w14:textId="2EFF283A"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6</w:t>
            </w:r>
            <w:r w:rsidRPr="00B60ED2">
              <w:rPr>
                <w:rFonts w:ascii="Times New Roman" w:hAnsi="Times New Roman" w:cs="Times New Roman"/>
                <w:iCs/>
                <w:sz w:val="24"/>
                <w:szCs w:val="24"/>
                <w:lang w:eastAsia="lv-LV"/>
              </w:rPr>
              <w:t>0%</w:t>
            </w:r>
          </w:p>
        </w:tc>
      </w:tr>
      <w:tr w:rsidR="00B9108C" w:rsidRPr="00B60ED2" w14:paraId="504EC748" w14:textId="77777777" w:rsidTr="00CE5FD1">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972" w:type="dxa"/>
            <w:vMerge/>
          </w:tcPr>
          <w:p w14:paraId="38BF0589" w14:textId="77777777" w:rsidR="00B9108C" w:rsidRPr="00B60ED2" w:rsidRDefault="00B9108C" w:rsidP="00B9108C">
            <w:pPr>
              <w:jc w:val="both"/>
              <w:rPr>
                <w:rFonts w:ascii="Times New Roman" w:hAnsi="Times New Roman" w:cs="Times New Roman"/>
                <w:b w:val="0"/>
                <w:iCs/>
                <w:sz w:val="24"/>
                <w:szCs w:val="24"/>
                <w:lang w:eastAsia="lv-LV"/>
              </w:rPr>
            </w:pPr>
          </w:p>
        </w:tc>
        <w:tc>
          <w:tcPr>
            <w:tcW w:w="2008" w:type="dxa"/>
            <w:tcBorders>
              <w:top w:val="single" w:sz="4" w:space="0" w:color="9CC2E5" w:themeColor="accent1" w:themeTint="99"/>
              <w:bottom w:val="single" w:sz="4" w:space="0" w:color="9CC2E5" w:themeColor="accent1" w:themeTint="99"/>
            </w:tcBorders>
            <w:vAlign w:val="center"/>
          </w:tcPr>
          <w:p w14:paraId="13441A43" w14:textId="5127B64F"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VRS: 73,2%</w:t>
            </w:r>
          </w:p>
        </w:tc>
        <w:tc>
          <w:tcPr>
            <w:tcW w:w="1725" w:type="dxa"/>
            <w:vAlign w:val="center"/>
          </w:tcPr>
          <w:p w14:paraId="36B02660" w14:textId="6D3A0800"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VRS: 70%</w:t>
            </w:r>
            <w:r w:rsidR="00B63CAD">
              <w:rPr>
                <w:rFonts w:ascii="Times New Roman" w:hAnsi="Times New Roman" w:cs="Times New Roman"/>
                <w:iCs/>
                <w:sz w:val="24"/>
                <w:szCs w:val="22"/>
                <w:lang w:eastAsia="lv-LV"/>
              </w:rPr>
              <w:t>/70%</w:t>
            </w:r>
          </w:p>
        </w:tc>
        <w:tc>
          <w:tcPr>
            <w:tcW w:w="1724" w:type="dxa"/>
            <w:vAlign w:val="center"/>
          </w:tcPr>
          <w:p w14:paraId="1EBD06E5" w14:textId="5C20A984"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VRS: 70%</w:t>
            </w:r>
          </w:p>
        </w:tc>
        <w:tc>
          <w:tcPr>
            <w:tcW w:w="1725" w:type="dxa"/>
            <w:vAlign w:val="center"/>
          </w:tcPr>
          <w:p w14:paraId="54BE46BF" w14:textId="5AFA316A"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VRS: 70%</w:t>
            </w:r>
          </w:p>
        </w:tc>
        <w:tc>
          <w:tcPr>
            <w:tcW w:w="1724" w:type="dxa"/>
            <w:vAlign w:val="center"/>
          </w:tcPr>
          <w:p w14:paraId="22ACF923" w14:textId="6C496A6A"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 xml:space="preserve">VRS: 70% </w:t>
            </w:r>
          </w:p>
        </w:tc>
        <w:tc>
          <w:tcPr>
            <w:tcW w:w="1725" w:type="dxa"/>
            <w:vAlign w:val="center"/>
          </w:tcPr>
          <w:p w14:paraId="60DE6ED5" w14:textId="2A60F29C"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VRS: 70%</w:t>
            </w:r>
          </w:p>
        </w:tc>
      </w:tr>
      <w:tr w:rsidR="00BF3CD2" w:rsidRPr="00B60ED2" w14:paraId="25CF6E50" w14:textId="77777777" w:rsidTr="00CE5FD1">
        <w:trPr>
          <w:trHeight w:val="20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9E2F3" w:themeFill="accent5" w:themeFillTint="33"/>
          </w:tcPr>
          <w:p w14:paraId="793FF031" w14:textId="77777777" w:rsidR="00BF3CD2" w:rsidRPr="00B60ED2" w:rsidRDefault="00BF3CD2" w:rsidP="00BF3CD2">
            <w:pPr>
              <w:jc w:val="both"/>
              <w:rPr>
                <w:rFonts w:ascii="Times New Roman" w:hAnsi="Times New Roman" w:cs="Times New Roman"/>
                <w:b w:val="0"/>
                <w:iCs/>
                <w:sz w:val="24"/>
                <w:szCs w:val="24"/>
                <w:lang w:eastAsia="lv-LV"/>
              </w:rPr>
            </w:pPr>
          </w:p>
        </w:tc>
        <w:tc>
          <w:tcPr>
            <w:tcW w:w="2008" w:type="dxa"/>
            <w:tcBorders>
              <w:top w:val="single" w:sz="4" w:space="0" w:color="9CC2E5" w:themeColor="accent1" w:themeTint="99"/>
              <w:bottom w:val="single" w:sz="4" w:space="0" w:color="9CC2E5" w:themeColor="accent1" w:themeTint="99"/>
            </w:tcBorders>
            <w:shd w:val="clear" w:color="auto" w:fill="FFFFFF" w:themeFill="background1"/>
            <w:vAlign w:val="center"/>
          </w:tcPr>
          <w:p w14:paraId="24EE7C3E" w14:textId="34A6BA81"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672F38" w:rsidRPr="00B60ED2">
              <w:rPr>
                <w:rFonts w:ascii="Times New Roman" w:hAnsi="Times New Roman" w:cs="Times New Roman"/>
                <w:iCs/>
                <w:sz w:val="24"/>
                <w:szCs w:val="24"/>
                <w:lang w:eastAsia="lv-LV"/>
              </w:rPr>
              <w:t>39,1</w:t>
            </w:r>
            <w:r w:rsidR="000D2939" w:rsidRPr="00B60ED2">
              <w:rPr>
                <w:rFonts w:ascii="Times New Roman" w:hAnsi="Times New Roman" w:cs="Times New Roman"/>
                <w:iCs/>
                <w:sz w:val="24"/>
                <w:szCs w:val="24"/>
                <w:lang w:eastAsia="lv-LV"/>
              </w:rPr>
              <w:t>%</w:t>
            </w:r>
          </w:p>
        </w:tc>
        <w:tc>
          <w:tcPr>
            <w:tcW w:w="1725" w:type="dxa"/>
            <w:shd w:val="clear" w:color="auto" w:fill="FFFFFF" w:themeFill="background1"/>
            <w:vAlign w:val="center"/>
          </w:tcPr>
          <w:p w14:paraId="6C21147D" w14:textId="5E485025"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672F38" w:rsidRPr="00B60ED2">
              <w:rPr>
                <w:rFonts w:ascii="Times New Roman" w:hAnsi="Times New Roman" w:cs="Times New Roman"/>
                <w:iCs/>
                <w:sz w:val="24"/>
                <w:szCs w:val="24"/>
                <w:lang w:eastAsia="lv-LV"/>
              </w:rPr>
              <w:t>40%</w:t>
            </w:r>
            <w:r w:rsidR="00B63CAD">
              <w:rPr>
                <w:rFonts w:ascii="Times New Roman" w:hAnsi="Times New Roman" w:cs="Times New Roman"/>
                <w:iCs/>
                <w:sz w:val="24"/>
                <w:szCs w:val="24"/>
                <w:lang w:eastAsia="lv-LV"/>
              </w:rPr>
              <w:t>/28,9%</w:t>
            </w:r>
          </w:p>
        </w:tc>
        <w:tc>
          <w:tcPr>
            <w:tcW w:w="1724" w:type="dxa"/>
            <w:shd w:val="clear" w:color="auto" w:fill="FFFFFF" w:themeFill="background1"/>
            <w:vAlign w:val="center"/>
          </w:tcPr>
          <w:p w14:paraId="4C1BE191" w14:textId="1D4B6F1C"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w:t>
            </w:r>
            <w:r w:rsidR="00672F38" w:rsidRPr="00B60ED2">
              <w:rPr>
                <w:rFonts w:ascii="Times New Roman" w:hAnsi="Times New Roman" w:cs="Times New Roman"/>
                <w:iCs/>
                <w:sz w:val="24"/>
                <w:szCs w:val="24"/>
                <w:lang w:eastAsia="lv-LV"/>
              </w:rPr>
              <w:t xml:space="preserve"> 40,5%</w:t>
            </w:r>
            <w:r w:rsidRPr="00B60ED2">
              <w:rPr>
                <w:rFonts w:ascii="Times New Roman" w:hAnsi="Times New Roman" w:cs="Times New Roman"/>
                <w:iCs/>
                <w:sz w:val="24"/>
                <w:szCs w:val="24"/>
                <w:lang w:eastAsia="lv-LV"/>
              </w:rPr>
              <w:t xml:space="preserve"> </w:t>
            </w:r>
          </w:p>
        </w:tc>
        <w:tc>
          <w:tcPr>
            <w:tcW w:w="1725" w:type="dxa"/>
            <w:shd w:val="clear" w:color="auto" w:fill="FFFFFF" w:themeFill="background1"/>
            <w:vAlign w:val="center"/>
          </w:tcPr>
          <w:p w14:paraId="64A94FB7" w14:textId="461FFD04"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672F38" w:rsidRPr="00B60ED2">
              <w:rPr>
                <w:rFonts w:ascii="Times New Roman" w:hAnsi="Times New Roman" w:cs="Times New Roman"/>
                <w:iCs/>
                <w:sz w:val="24"/>
                <w:szCs w:val="24"/>
                <w:lang w:eastAsia="lv-LV"/>
              </w:rPr>
              <w:t>41%</w:t>
            </w:r>
          </w:p>
        </w:tc>
        <w:tc>
          <w:tcPr>
            <w:tcW w:w="1724" w:type="dxa"/>
            <w:shd w:val="clear" w:color="auto" w:fill="FFFFFF" w:themeFill="background1"/>
            <w:vAlign w:val="center"/>
          </w:tcPr>
          <w:p w14:paraId="4E6409BA" w14:textId="4B4CE3D1"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672F38" w:rsidRPr="00B60ED2">
              <w:rPr>
                <w:rFonts w:ascii="Times New Roman" w:hAnsi="Times New Roman" w:cs="Times New Roman"/>
                <w:iCs/>
                <w:sz w:val="24"/>
                <w:szCs w:val="24"/>
                <w:lang w:eastAsia="lv-LV"/>
              </w:rPr>
              <w:t>41,5%</w:t>
            </w:r>
          </w:p>
        </w:tc>
        <w:tc>
          <w:tcPr>
            <w:tcW w:w="1725" w:type="dxa"/>
            <w:shd w:val="clear" w:color="auto" w:fill="FFFFFF" w:themeFill="background1"/>
            <w:vAlign w:val="center"/>
          </w:tcPr>
          <w:p w14:paraId="6ED61423" w14:textId="6DC75C7E"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672F38" w:rsidRPr="00B60ED2">
              <w:rPr>
                <w:rFonts w:ascii="Times New Roman" w:hAnsi="Times New Roman" w:cs="Times New Roman"/>
                <w:iCs/>
                <w:sz w:val="24"/>
                <w:szCs w:val="24"/>
                <w:lang w:eastAsia="lv-LV"/>
              </w:rPr>
              <w:t>42%</w:t>
            </w:r>
          </w:p>
        </w:tc>
      </w:tr>
      <w:tr w:rsidR="00BF3CD2" w:rsidRPr="00B60ED2" w14:paraId="18EA87D1" w14:textId="77777777" w:rsidTr="00CE5FD1">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972" w:type="dxa"/>
            <w:vMerge/>
          </w:tcPr>
          <w:p w14:paraId="21C7C69C" w14:textId="77777777" w:rsidR="00BF3CD2" w:rsidRPr="00B60ED2" w:rsidRDefault="00BF3CD2" w:rsidP="00BF3CD2">
            <w:pPr>
              <w:jc w:val="both"/>
              <w:rPr>
                <w:rFonts w:ascii="Times New Roman" w:hAnsi="Times New Roman" w:cs="Times New Roman"/>
                <w:b w:val="0"/>
                <w:iCs/>
                <w:sz w:val="24"/>
                <w:szCs w:val="24"/>
                <w:lang w:eastAsia="lv-LV"/>
              </w:rPr>
            </w:pPr>
          </w:p>
        </w:tc>
        <w:tc>
          <w:tcPr>
            <w:tcW w:w="2008" w:type="dxa"/>
            <w:tcBorders>
              <w:top w:val="single" w:sz="4" w:space="0" w:color="9CC2E5" w:themeColor="accent1" w:themeTint="99"/>
              <w:bottom w:val="single" w:sz="4" w:space="0" w:color="9CC2E5" w:themeColor="accent1" w:themeTint="99"/>
            </w:tcBorders>
            <w:vAlign w:val="center"/>
          </w:tcPr>
          <w:p w14:paraId="081B1675" w14:textId="3AAFB41C"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73%</w:t>
            </w:r>
          </w:p>
        </w:tc>
        <w:tc>
          <w:tcPr>
            <w:tcW w:w="1725" w:type="dxa"/>
            <w:vAlign w:val="center"/>
          </w:tcPr>
          <w:p w14:paraId="12393A6F" w14:textId="5A861730"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IDB: 75% </w:t>
            </w:r>
            <w:r w:rsidR="00B63CAD">
              <w:rPr>
                <w:rFonts w:ascii="Times New Roman" w:hAnsi="Times New Roman" w:cs="Times New Roman"/>
                <w:iCs/>
                <w:sz w:val="24"/>
                <w:szCs w:val="24"/>
                <w:lang w:eastAsia="lv-LV"/>
              </w:rPr>
              <w:t>/97%</w:t>
            </w:r>
          </w:p>
        </w:tc>
        <w:tc>
          <w:tcPr>
            <w:tcW w:w="1724" w:type="dxa"/>
            <w:vAlign w:val="center"/>
          </w:tcPr>
          <w:p w14:paraId="38836315" w14:textId="707295F5"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76%</w:t>
            </w:r>
          </w:p>
        </w:tc>
        <w:tc>
          <w:tcPr>
            <w:tcW w:w="1725" w:type="dxa"/>
            <w:vAlign w:val="center"/>
          </w:tcPr>
          <w:p w14:paraId="237CDD4B" w14:textId="03D35A94"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77%</w:t>
            </w:r>
          </w:p>
        </w:tc>
        <w:tc>
          <w:tcPr>
            <w:tcW w:w="1724" w:type="dxa"/>
            <w:vAlign w:val="center"/>
          </w:tcPr>
          <w:p w14:paraId="084256B9" w14:textId="66D4100D"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78%</w:t>
            </w:r>
          </w:p>
        </w:tc>
        <w:tc>
          <w:tcPr>
            <w:tcW w:w="1725" w:type="dxa"/>
            <w:vAlign w:val="center"/>
          </w:tcPr>
          <w:p w14:paraId="7405ADD4" w14:textId="2FBC4B8E"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80%</w:t>
            </w:r>
          </w:p>
        </w:tc>
      </w:tr>
      <w:tr w:rsidR="00BF3CD2" w:rsidRPr="00B60ED2" w14:paraId="7B7C7D45" w14:textId="77777777" w:rsidTr="00CE5FD1">
        <w:trPr>
          <w:trHeight w:val="20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9E2F3" w:themeFill="accent5" w:themeFillTint="33"/>
          </w:tcPr>
          <w:p w14:paraId="786922AE" w14:textId="77777777" w:rsidR="00BF3CD2" w:rsidRPr="00B60ED2" w:rsidRDefault="00BF3CD2" w:rsidP="00BF3CD2">
            <w:pPr>
              <w:jc w:val="both"/>
              <w:rPr>
                <w:rFonts w:ascii="Times New Roman" w:hAnsi="Times New Roman" w:cs="Times New Roman"/>
                <w:b w:val="0"/>
                <w:iCs/>
                <w:sz w:val="24"/>
                <w:szCs w:val="24"/>
                <w:lang w:eastAsia="lv-LV"/>
              </w:rPr>
            </w:pPr>
          </w:p>
        </w:tc>
        <w:tc>
          <w:tcPr>
            <w:tcW w:w="2008" w:type="dxa"/>
            <w:tcBorders>
              <w:top w:val="single" w:sz="4" w:space="0" w:color="9CC2E5" w:themeColor="accent1" w:themeTint="99"/>
              <w:bottom w:val="single" w:sz="4" w:space="0" w:color="9CC2E5" w:themeColor="accent1" w:themeTint="99"/>
            </w:tcBorders>
            <w:shd w:val="clear" w:color="auto" w:fill="FFFFFF" w:themeFill="background1"/>
            <w:vAlign w:val="center"/>
          </w:tcPr>
          <w:p w14:paraId="74647188" w14:textId="49321E3E"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w:t>
            </w:r>
            <w:r w:rsidR="00DE1674" w:rsidRPr="00B60ED2">
              <w:rPr>
                <w:rFonts w:ascii="Times New Roman" w:hAnsi="Times New Roman" w:cs="Times New Roman"/>
                <w:iCs/>
                <w:sz w:val="24"/>
                <w:szCs w:val="24"/>
                <w:lang w:eastAsia="lv-LV"/>
              </w:rPr>
              <w:t>93</w:t>
            </w:r>
            <w:r w:rsidRPr="00B60ED2">
              <w:rPr>
                <w:rFonts w:ascii="Times New Roman" w:hAnsi="Times New Roman" w:cs="Times New Roman"/>
                <w:iCs/>
                <w:sz w:val="24"/>
                <w:szCs w:val="24"/>
                <w:lang w:eastAsia="lv-LV"/>
              </w:rPr>
              <w:t xml:space="preserve">% </w:t>
            </w:r>
          </w:p>
        </w:tc>
        <w:tc>
          <w:tcPr>
            <w:tcW w:w="1725" w:type="dxa"/>
            <w:shd w:val="clear" w:color="auto" w:fill="FFFFFF" w:themeFill="background1"/>
            <w:vAlign w:val="center"/>
          </w:tcPr>
          <w:p w14:paraId="4C646637" w14:textId="7D6FE510"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50%</w:t>
            </w:r>
            <w:r w:rsidR="006637E9">
              <w:rPr>
                <w:rFonts w:ascii="Times New Roman" w:hAnsi="Times New Roman" w:cs="Times New Roman"/>
                <w:iCs/>
                <w:sz w:val="24"/>
                <w:szCs w:val="24"/>
                <w:lang w:eastAsia="lv-LV"/>
              </w:rPr>
              <w:t>/103%</w:t>
            </w:r>
          </w:p>
        </w:tc>
        <w:tc>
          <w:tcPr>
            <w:tcW w:w="1724" w:type="dxa"/>
            <w:shd w:val="clear" w:color="auto" w:fill="FFFFFF" w:themeFill="background1"/>
            <w:vAlign w:val="center"/>
          </w:tcPr>
          <w:p w14:paraId="42B236E7" w14:textId="056E157A"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60%</w:t>
            </w:r>
          </w:p>
        </w:tc>
        <w:tc>
          <w:tcPr>
            <w:tcW w:w="1725" w:type="dxa"/>
            <w:shd w:val="clear" w:color="auto" w:fill="FFFFFF" w:themeFill="background1"/>
            <w:vAlign w:val="center"/>
          </w:tcPr>
          <w:p w14:paraId="49F11D79" w14:textId="67B35BE5"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55%</w:t>
            </w:r>
          </w:p>
        </w:tc>
        <w:tc>
          <w:tcPr>
            <w:tcW w:w="1724" w:type="dxa"/>
            <w:shd w:val="clear" w:color="auto" w:fill="FFFFFF" w:themeFill="background1"/>
            <w:vAlign w:val="center"/>
          </w:tcPr>
          <w:p w14:paraId="420497D4" w14:textId="4C1BC370"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55%</w:t>
            </w:r>
          </w:p>
        </w:tc>
        <w:tc>
          <w:tcPr>
            <w:tcW w:w="1725" w:type="dxa"/>
            <w:shd w:val="clear" w:color="auto" w:fill="FFFFFF" w:themeFill="background1"/>
            <w:vAlign w:val="center"/>
          </w:tcPr>
          <w:p w14:paraId="454176EF" w14:textId="47B97663"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90%</w:t>
            </w:r>
          </w:p>
        </w:tc>
      </w:tr>
      <w:tr w:rsidR="00761D6D" w:rsidRPr="00B60ED2" w14:paraId="0B2D794A" w14:textId="77777777" w:rsidTr="00CE5FD1">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972" w:type="dxa"/>
            <w:vMerge/>
          </w:tcPr>
          <w:p w14:paraId="71DEC716" w14:textId="77777777" w:rsidR="00761D6D" w:rsidRPr="00B60ED2" w:rsidRDefault="00761D6D" w:rsidP="00761D6D">
            <w:pPr>
              <w:jc w:val="both"/>
              <w:rPr>
                <w:rFonts w:ascii="Times New Roman" w:hAnsi="Times New Roman" w:cs="Times New Roman"/>
                <w:b w:val="0"/>
                <w:iCs/>
                <w:sz w:val="24"/>
                <w:szCs w:val="24"/>
                <w:lang w:eastAsia="lv-LV"/>
              </w:rPr>
            </w:pPr>
          </w:p>
        </w:tc>
        <w:tc>
          <w:tcPr>
            <w:tcW w:w="2008" w:type="dxa"/>
            <w:tcBorders>
              <w:top w:val="single" w:sz="4" w:space="0" w:color="9CC2E5" w:themeColor="accent1" w:themeTint="99"/>
              <w:bottom w:val="single" w:sz="4" w:space="0" w:color="9CC2E5" w:themeColor="accent1" w:themeTint="99"/>
            </w:tcBorders>
            <w:vAlign w:val="center"/>
          </w:tcPr>
          <w:p w14:paraId="0A887D1F" w14:textId="5975EFC2"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92,07% </w:t>
            </w:r>
          </w:p>
        </w:tc>
        <w:tc>
          <w:tcPr>
            <w:tcW w:w="1725" w:type="dxa"/>
            <w:vAlign w:val="center"/>
          </w:tcPr>
          <w:p w14:paraId="3134D7EB" w14:textId="08873584"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w:t>
            </w:r>
            <w:r w:rsidR="00C07428">
              <w:rPr>
                <w:rFonts w:ascii="Times New Roman" w:hAnsi="Times New Roman" w:cs="Times New Roman"/>
                <w:iCs/>
                <w:sz w:val="24"/>
                <w:szCs w:val="24"/>
                <w:lang w:eastAsia="lv-LV"/>
              </w:rPr>
              <w:t>/51,5%</w:t>
            </w:r>
          </w:p>
        </w:tc>
        <w:tc>
          <w:tcPr>
            <w:tcW w:w="1724" w:type="dxa"/>
            <w:vAlign w:val="center"/>
          </w:tcPr>
          <w:p w14:paraId="534C1B0D" w14:textId="4FC2EED9"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90% </w:t>
            </w:r>
          </w:p>
        </w:tc>
        <w:tc>
          <w:tcPr>
            <w:tcW w:w="1725" w:type="dxa"/>
            <w:vAlign w:val="center"/>
          </w:tcPr>
          <w:p w14:paraId="29B6A2E8" w14:textId="23DAAC59"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w:t>
            </w:r>
          </w:p>
        </w:tc>
        <w:tc>
          <w:tcPr>
            <w:tcW w:w="1724" w:type="dxa"/>
            <w:vAlign w:val="center"/>
          </w:tcPr>
          <w:p w14:paraId="5E94684F" w14:textId="6A6066AE"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w:t>
            </w:r>
          </w:p>
        </w:tc>
        <w:tc>
          <w:tcPr>
            <w:tcW w:w="1725" w:type="dxa"/>
            <w:vAlign w:val="center"/>
          </w:tcPr>
          <w:p w14:paraId="7E728A38" w14:textId="15DE2B02"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IeM IC: 90%</w:t>
            </w:r>
          </w:p>
        </w:tc>
      </w:tr>
      <w:tr w:rsidR="00761D6D" w:rsidRPr="00B60ED2" w14:paraId="57C2FA1A" w14:textId="77777777" w:rsidTr="00CE5FD1">
        <w:trPr>
          <w:trHeight w:val="20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9E2F3" w:themeFill="accent5" w:themeFillTint="33"/>
          </w:tcPr>
          <w:p w14:paraId="6A92B192" w14:textId="77777777" w:rsidR="00761D6D" w:rsidRPr="00B60ED2" w:rsidRDefault="00761D6D" w:rsidP="00761D6D">
            <w:pPr>
              <w:jc w:val="both"/>
              <w:rPr>
                <w:rFonts w:ascii="Times New Roman" w:hAnsi="Times New Roman" w:cs="Times New Roman"/>
                <w:b w:val="0"/>
                <w:iCs/>
                <w:sz w:val="24"/>
                <w:szCs w:val="24"/>
                <w:lang w:eastAsia="lv-LV"/>
              </w:rPr>
            </w:pPr>
          </w:p>
        </w:tc>
        <w:tc>
          <w:tcPr>
            <w:tcW w:w="2008" w:type="dxa"/>
            <w:tcBorders>
              <w:top w:val="single" w:sz="4" w:space="0" w:color="9CC2E5" w:themeColor="accent1" w:themeTint="99"/>
              <w:bottom w:val="single" w:sz="4" w:space="0" w:color="9CC2E5" w:themeColor="accent1" w:themeTint="99"/>
            </w:tcBorders>
            <w:shd w:val="clear" w:color="auto" w:fill="FFFFFF" w:themeFill="background1"/>
            <w:vAlign w:val="center"/>
          </w:tcPr>
          <w:p w14:paraId="18B315E4" w14:textId="41C64FB9"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55%</w:t>
            </w:r>
          </w:p>
        </w:tc>
        <w:tc>
          <w:tcPr>
            <w:tcW w:w="1725" w:type="dxa"/>
            <w:shd w:val="clear" w:color="auto" w:fill="FFFFFF" w:themeFill="background1"/>
            <w:vAlign w:val="center"/>
          </w:tcPr>
          <w:p w14:paraId="295B9C3A" w14:textId="5E44A8E7"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60%</w:t>
            </w:r>
            <w:r w:rsidR="008046C7">
              <w:rPr>
                <w:rFonts w:ascii="Times New Roman" w:hAnsi="Times New Roman" w:cs="Times New Roman"/>
                <w:iCs/>
                <w:sz w:val="24"/>
                <w:szCs w:val="24"/>
                <w:lang w:eastAsia="lv-LV"/>
              </w:rPr>
              <w:t>/73%</w:t>
            </w:r>
          </w:p>
        </w:tc>
        <w:tc>
          <w:tcPr>
            <w:tcW w:w="1724" w:type="dxa"/>
            <w:shd w:val="clear" w:color="auto" w:fill="FFFFFF" w:themeFill="background1"/>
            <w:vAlign w:val="center"/>
          </w:tcPr>
          <w:p w14:paraId="3A853317" w14:textId="2117101F"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60%</w:t>
            </w:r>
          </w:p>
        </w:tc>
        <w:tc>
          <w:tcPr>
            <w:tcW w:w="1725" w:type="dxa"/>
            <w:shd w:val="clear" w:color="auto" w:fill="FFFFFF" w:themeFill="background1"/>
            <w:vAlign w:val="center"/>
          </w:tcPr>
          <w:p w14:paraId="2305C0EA" w14:textId="686F4A23"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65%</w:t>
            </w:r>
          </w:p>
        </w:tc>
        <w:tc>
          <w:tcPr>
            <w:tcW w:w="1724" w:type="dxa"/>
            <w:shd w:val="clear" w:color="auto" w:fill="FFFFFF" w:themeFill="background1"/>
            <w:vAlign w:val="center"/>
          </w:tcPr>
          <w:p w14:paraId="2EC69665" w14:textId="6EABCCCD"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65%</w:t>
            </w:r>
          </w:p>
        </w:tc>
        <w:tc>
          <w:tcPr>
            <w:tcW w:w="1725" w:type="dxa"/>
            <w:shd w:val="clear" w:color="auto" w:fill="FFFFFF" w:themeFill="background1"/>
            <w:vAlign w:val="center"/>
          </w:tcPr>
          <w:p w14:paraId="13845BD0" w14:textId="663ADC2C"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70%</w:t>
            </w:r>
          </w:p>
        </w:tc>
      </w:tr>
      <w:tr w:rsidR="00761D6D" w:rsidRPr="00B60ED2" w14:paraId="732DF3F9" w14:textId="77777777" w:rsidTr="00CE5FD1">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972" w:type="dxa"/>
            <w:vMerge/>
          </w:tcPr>
          <w:p w14:paraId="6E01927B" w14:textId="77777777" w:rsidR="00761D6D" w:rsidRPr="00B60ED2" w:rsidRDefault="00761D6D" w:rsidP="00761D6D">
            <w:pPr>
              <w:jc w:val="both"/>
              <w:rPr>
                <w:rFonts w:ascii="Times New Roman" w:hAnsi="Times New Roman" w:cs="Times New Roman"/>
                <w:b w:val="0"/>
                <w:iCs/>
                <w:sz w:val="24"/>
                <w:szCs w:val="24"/>
                <w:lang w:eastAsia="lv-LV"/>
              </w:rPr>
            </w:pPr>
          </w:p>
        </w:tc>
        <w:tc>
          <w:tcPr>
            <w:tcW w:w="2008" w:type="dxa"/>
            <w:tcBorders>
              <w:top w:val="single" w:sz="4" w:space="0" w:color="9CC2E5" w:themeColor="accent1" w:themeTint="99"/>
              <w:bottom w:val="single" w:sz="4" w:space="0" w:color="9CC2E5" w:themeColor="accent1" w:themeTint="99"/>
            </w:tcBorders>
            <w:vAlign w:val="center"/>
          </w:tcPr>
          <w:p w14:paraId="4D5D6D1F" w14:textId="65C5AACC"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VSC: 75,9% </w:t>
            </w:r>
          </w:p>
        </w:tc>
        <w:tc>
          <w:tcPr>
            <w:tcW w:w="1725" w:type="dxa"/>
            <w:vAlign w:val="center"/>
          </w:tcPr>
          <w:p w14:paraId="14302298" w14:textId="7B065A89"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 75%</w:t>
            </w:r>
            <w:r w:rsidR="008046C7">
              <w:rPr>
                <w:rFonts w:ascii="Times New Roman" w:hAnsi="Times New Roman" w:cs="Times New Roman"/>
                <w:iCs/>
                <w:sz w:val="24"/>
                <w:szCs w:val="24"/>
                <w:lang w:eastAsia="lv-LV"/>
              </w:rPr>
              <w:t>/90,3%</w:t>
            </w:r>
            <w:r w:rsidRPr="00B60ED2">
              <w:rPr>
                <w:rFonts w:ascii="Times New Roman" w:hAnsi="Times New Roman" w:cs="Times New Roman"/>
                <w:iCs/>
                <w:sz w:val="24"/>
                <w:szCs w:val="24"/>
                <w:lang w:eastAsia="lv-LV"/>
              </w:rPr>
              <w:t xml:space="preserve"> </w:t>
            </w:r>
          </w:p>
        </w:tc>
        <w:tc>
          <w:tcPr>
            <w:tcW w:w="1724" w:type="dxa"/>
            <w:vAlign w:val="center"/>
          </w:tcPr>
          <w:p w14:paraId="15ABDD04" w14:textId="3C386222"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VSC: 75% </w:t>
            </w:r>
          </w:p>
        </w:tc>
        <w:tc>
          <w:tcPr>
            <w:tcW w:w="1725" w:type="dxa"/>
            <w:vAlign w:val="center"/>
          </w:tcPr>
          <w:p w14:paraId="7D4A93FA" w14:textId="79A207B8"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 75%</w:t>
            </w:r>
          </w:p>
        </w:tc>
        <w:tc>
          <w:tcPr>
            <w:tcW w:w="1724" w:type="dxa"/>
            <w:vAlign w:val="center"/>
          </w:tcPr>
          <w:p w14:paraId="311BE07F" w14:textId="32BFFBD8"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 75%</w:t>
            </w:r>
          </w:p>
        </w:tc>
        <w:tc>
          <w:tcPr>
            <w:tcW w:w="1725" w:type="dxa"/>
            <w:vAlign w:val="center"/>
          </w:tcPr>
          <w:p w14:paraId="15803996" w14:textId="21CC6FE0"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IeM VSC: 75%</w:t>
            </w:r>
          </w:p>
        </w:tc>
      </w:tr>
      <w:tr w:rsidR="00761D6D" w:rsidRPr="00B60ED2" w14:paraId="4CF7E7D6" w14:textId="77777777" w:rsidTr="00DA0D1A">
        <w:trPr>
          <w:trHeight w:val="365"/>
        </w:trPr>
        <w:tc>
          <w:tcPr>
            <w:cnfStyle w:val="001000000000" w:firstRow="0" w:lastRow="0" w:firstColumn="1" w:lastColumn="0" w:oddVBand="0" w:evenVBand="0" w:oddHBand="0" w:evenHBand="0" w:firstRowFirstColumn="0" w:firstRowLastColumn="0" w:lastRowFirstColumn="0" w:lastRowLastColumn="0"/>
            <w:tcW w:w="13603" w:type="dxa"/>
            <w:gridSpan w:val="7"/>
            <w:vAlign w:val="center"/>
          </w:tcPr>
          <w:p w14:paraId="784367F4" w14:textId="463FF77A" w:rsidR="00761D6D" w:rsidRPr="00B60ED2" w:rsidRDefault="00761D6D" w:rsidP="00761D6D">
            <w:pPr>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Iesaistītās iestādes: Iekšlietu ministrija un tās padotībā esošās iestādes</w:t>
            </w:r>
          </w:p>
        </w:tc>
      </w:tr>
    </w:tbl>
    <w:p w14:paraId="16900083" w14:textId="77777777" w:rsidR="00BE3F22" w:rsidRPr="00B60ED2" w:rsidRDefault="00BE3F22" w:rsidP="00165ADA">
      <w:pPr>
        <w:spacing w:line="240" w:lineRule="auto"/>
        <w:jc w:val="both"/>
        <w:rPr>
          <w:rFonts w:ascii="Times New Roman" w:hAnsi="Times New Roman" w:cs="Times New Roman"/>
          <w:b/>
          <w:sz w:val="28"/>
        </w:rPr>
      </w:pPr>
    </w:p>
    <w:p w14:paraId="1AA09BB8"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44" w:name="_Hlk174007036"/>
      <w:r w:rsidRPr="00B60ED2">
        <w:rPr>
          <w:rFonts w:ascii="Times New Roman" w:eastAsia="+mn-ea" w:hAnsi="Times New Roman" w:cs="Times New Roman"/>
          <w:b/>
          <w:bCs/>
          <w:color w:val="767171" w:themeColor="background2" w:themeShade="80"/>
          <w:kern w:val="24"/>
          <w:sz w:val="28"/>
          <w:szCs w:val="28"/>
          <w:lang w:eastAsia="lv-LV"/>
        </w:rPr>
        <w:t>Rīcības virziens: Profesionālās izglītības, profesionālās pilnveides vai tālākizglītības sistēmu uzlabošana atbilstoši jaunākajām tendencēm.</w:t>
      </w:r>
    </w:p>
    <w:p w14:paraId="1E829878" w14:textId="31ADF526"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w:t>
      </w:r>
      <w:r w:rsidRPr="00B60ED2">
        <w:rPr>
          <w:rFonts w:ascii="Times New Roman" w:hAnsi="Times New Roman" w:cs="Times New Roman"/>
          <w:b/>
          <w:sz w:val="24"/>
          <w:szCs w:val="24"/>
          <w:lang w:eastAsia="lv-LV"/>
        </w:rPr>
        <w:t>i:</w:t>
      </w:r>
    </w:p>
    <w:bookmarkEnd w:id="44"/>
    <w:p w14:paraId="131FF708" w14:textId="77777777" w:rsidR="00165ADA" w:rsidRPr="00B60ED2" w:rsidRDefault="00165ADA" w:rsidP="007312FB">
      <w:pPr>
        <w:pStyle w:val="ListParagraph"/>
        <w:numPr>
          <w:ilvl w:val="0"/>
          <w:numId w:val="23"/>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lastRenderedPageBreak/>
        <w:t>Nodrošināt Iekšlietu ministrijas sistēmas iestāžu amatpersonu ar speciālajām dienesta pakāpēm  profesionālās izglītības attīstības rīcības plāna 2022. – 2025. gadam ieviešanu. (</w:t>
      </w:r>
      <w:r w:rsidRPr="00B60ED2">
        <w:rPr>
          <w:rFonts w:ascii="Times New Roman" w:hAnsi="Times New Roman" w:cs="Times New Roman"/>
          <w:b/>
          <w:sz w:val="24"/>
          <w:szCs w:val="24"/>
          <w:lang w:eastAsia="lv-LV"/>
        </w:rPr>
        <w:t>IeM</w:t>
      </w:r>
      <w:r w:rsidRPr="00B60ED2">
        <w:rPr>
          <w:rFonts w:ascii="Times New Roman" w:hAnsi="Times New Roman" w:cs="Times New Roman"/>
          <w:sz w:val="24"/>
          <w:szCs w:val="24"/>
          <w:lang w:eastAsia="lv-LV"/>
        </w:rPr>
        <w:t>, VP, VPK, VRS, VRK, VUGD, UCAK, IDB, IeM IC)</w:t>
      </w:r>
    </w:p>
    <w:p w14:paraId="4C54B3AA" w14:textId="48DA65BE" w:rsidR="00165ADA" w:rsidRPr="00B60ED2" w:rsidRDefault="00165ADA" w:rsidP="007312FB">
      <w:pPr>
        <w:pStyle w:val="ListParagraph"/>
        <w:numPr>
          <w:ilvl w:val="0"/>
          <w:numId w:val="23"/>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Iekšējās drošības akadēmijas konsorcija izveidošana, otrā līmeņa augstākās izglītības nodrošināšanai </w:t>
      </w:r>
      <w:r w:rsidR="00D423A6" w:rsidRPr="00B60ED2">
        <w:rPr>
          <w:rFonts w:ascii="Times New Roman" w:hAnsi="Times New Roman" w:cs="Times New Roman"/>
          <w:sz w:val="24"/>
          <w:szCs w:val="24"/>
          <w:lang w:eastAsia="lv-LV"/>
        </w:rPr>
        <w:t>tiesībaizsardzības</w:t>
      </w:r>
      <w:r w:rsidRPr="00B60ED2">
        <w:rPr>
          <w:rFonts w:ascii="Times New Roman" w:hAnsi="Times New Roman" w:cs="Times New Roman"/>
          <w:sz w:val="24"/>
          <w:szCs w:val="24"/>
          <w:lang w:eastAsia="lv-LV"/>
        </w:rPr>
        <w:t xml:space="preserve"> iestāžu darbiniekiem. (</w:t>
      </w:r>
      <w:r w:rsidRPr="00B60ED2">
        <w:rPr>
          <w:rFonts w:ascii="Times New Roman" w:hAnsi="Times New Roman" w:cs="Times New Roman"/>
          <w:b/>
          <w:sz w:val="24"/>
          <w:szCs w:val="24"/>
          <w:lang w:eastAsia="lv-LV"/>
        </w:rPr>
        <w:t>IeM</w:t>
      </w:r>
      <w:r w:rsidRPr="00B60ED2">
        <w:rPr>
          <w:rFonts w:ascii="Times New Roman" w:hAnsi="Times New Roman" w:cs="Times New Roman"/>
          <w:sz w:val="24"/>
          <w:szCs w:val="24"/>
          <w:lang w:eastAsia="lv-LV"/>
        </w:rPr>
        <w:t>, VP, VPK)</w:t>
      </w:r>
      <w:r w:rsidR="00B00779" w:rsidRPr="00B60ED2">
        <w:rPr>
          <w:rStyle w:val="FootnoteReference"/>
          <w:rFonts w:ascii="Times New Roman" w:hAnsi="Times New Roman" w:cs="Times New Roman"/>
          <w:sz w:val="24"/>
          <w:szCs w:val="24"/>
          <w:lang w:eastAsia="lv-LV"/>
        </w:rPr>
        <w:footnoteReference w:id="17"/>
      </w:r>
    </w:p>
    <w:p w14:paraId="687D5EB7" w14:textId="77777777" w:rsidR="00165ADA" w:rsidRPr="00B60ED2" w:rsidRDefault="00165ADA" w:rsidP="007312FB">
      <w:pPr>
        <w:pStyle w:val="ListParagraph"/>
        <w:numPr>
          <w:ilvl w:val="0"/>
          <w:numId w:val="23"/>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Izmeklētāju mācību centra izveide Valsts policijas koledžas ietvaros un turpmākā mācību procesa īstenošana, lai nodrošinātu Valsts policijas un citu tiesībaizsardzības iestāžu amatpersonām, kuru dienesta pienākumos ietilpst pirmstiesas kriminālprocesa nodrošināšana izmeklēšanā, operatīvās darbības īstenošana, izmeklēšanas atbalsta – analītiskās un kriminālizlūkošanas darbības nodrošināšana. (</w:t>
      </w:r>
      <w:r w:rsidRPr="00B60ED2">
        <w:rPr>
          <w:rFonts w:ascii="Times New Roman" w:hAnsi="Times New Roman" w:cs="Times New Roman"/>
          <w:b/>
          <w:sz w:val="24"/>
          <w:szCs w:val="24"/>
          <w:lang w:eastAsia="lv-LV"/>
        </w:rPr>
        <w:t>VPK</w:t>
      </w:r>
      <w:r w:rsidRPr="00B60ED2">
        <w:rPr>
          <w:rFonts w:ascii="Times New Roman" w:hAnsi="Times New Roman" w:cs="Times New Roman"/>
          <w:sz w:val="24"/>
          <w:szCs w:val="24"/>
          <w:lang w:eastAsia="lv-LV"/>
        </w:rPr>
        <w:t xml:space="preserve">, IeM, VP) </w:t>
      </w:r>
    </w:p>
    <w:p w14:paraId="7040CE35" w14:textId="7861FE20" w:rsidR="0022495A" w:rsidRPr="007205C4" w:rsidRDefault="0022495A" w:rsidP="0022495A">
      <w:pPr>
        <w:pStyle w:val="ListParagraph"/>
        <w:numPr>
          <w:ilvl w:val="0"/>
          <w:numId w:val="23"/>
        </w:numPr>
        <w:spacing w:line="240" w:lineRule="auto"/>
        <w:jc w:val="both"/>
        <w:rPr>
          <w:rFonts w:ascii="Times New Roman" w:hAnsi="Times New Roman" w:cs="Times New Roman"/>
          <w:sz w:val="24"/>
          <w:szCs w:val="24"/>
          <w:lang w:eastAsia="lv-LV"/>
        </w:rPr>
      </w:pPr>
      <w:bookmarkStart w:id="45" w:name="_Hlk174007088"/>
      <w:bookmarkStart w:id="46" w:name="_Hlk170910207"/>
      <w:r w:rsidRPr="007205C4">
        <w:rPr>
          <w:rFonts w:ascii="Times New Roman" w:hAnsi="Times New Roman" w:cs="Times New Roman"/>
          <w:sz w:val="24"/>
          <w:szCs w:val="24"/>
          <w:lang w:eastAsia="lv-LV"/>
        </w:rPr>
        <w:t xml:space="preserve">Nodrošināt Iekšlietu ministrijas koledžu mācību vides modernizēšanu nozarēm aktuālo prasmju apguvei, izbūvējot Fiziskās sagatavotības poligonu Valsts policijas koledžas vajadzībām, Ugunsdrošības un civilās aizsardzības koledžas mācību programmas uzlabošanai iepērkot </w:t>
      </w:r>
      <w:r w:rsidR="00C5045C" w:rsidRPr="007205C4">
        <w:rPr>
          <w:rFonts w:ascii="Times New Roman" w:hAnsi="Times New Roman" w:cs="Times New Roman"/>
          <w:sz w:val="24"/>
          <w:szCs w:val="24"/>
          <w:lang w:eastAsia="lv-LV"/>
        </w:rPr>
        <w:softHyphen/>
      </w:r>
      <w:r w:rsidRPr="007205C4">
        <w:rPr>
          <w:rFonts w:ascii="Times New Roman" w:hAnsi="Times New Roman" w:cs="Times New Roman"/>
          <w:sz w:val="24"/>
          <w:szCs w:val="24"/>
          <w:lang w:eastAsia="lv-LV"/>
        </w:rPr>
        <w:t xml:space="preserve">Resursu vadības un glābšanas darbu simulācijas un apmācības vidi, kā arī Valsts robežsardzes koledžas ietvaros izbūvējot mācību robežas posmu, atjaunojot mācību robežkontroles punktu un iegādājoties šaušanas simulatoru un citu apmācībām nepieciešamo aprīkojumu. </w:t>
      </w:r>
      <w:bookmarkEnd w:id="45"/>
      <w:r w:rsidRPr="007205C4">
        <w:rPr>
          <w:rFonts w:ascii="Times New Roman" w:hAnsi="Times New Roman" w:cs="Times New Roman"/>
          <w:sz w:val="24"/>
          <w:szCs w:val="24"/>
          <w:lang w:eastAsia="lv-LV"/>
        </w:rPr>
        <w:t>(</w:t>
      </w:r>
      <w:r w:rsidRPr="007205C4">
        <w:rPr>
          <w:rFonts w:ascii="Times New Roman" w:hAnsi="Times New Roman" w:cs="Times New Roman"/>
          <w:b/>
          <w:sz w:val="24"/>
          <w:szCs w:val="24"/>
          <w:lang w:eastAsia="lv-LV"/>
        </w:rPr>
        <w:t>IeM ĀIAUD</w:t>
      </w:r>
      <w:r w:rsidRPr="007205C4">
        <w:rPr>
          <w:rFonts w:ascii="Times New Roman" w:hAnsi="Times New Roman" w:cs="Times New Roman"/>
          <w:sz w:val="24"/>
          <w:szCs w:val="24"/>
          <w:lang w:eastAsia="lv-LV"/>
        </w:rPr>
        <w:t>, FVD)</w:t>
      </w:r>
      <w:bookmarkEnd w:id="46"/>
    </w:p>
    <w:p w14:paraId="01AA466D" w14:textId="18E952C1" w:rsidR="00AA310C" w:rsidRPr="00AA310C" w:rsidRDefault="00AA310C" w:rsidP="0022495A">
      <w:pPr>
        <w:pStyle w:val="ListParagraph"/>
        <w:numPr>
          <w:ilvl w:val="0"/>
          <w:numId w:val="23"/>
        </w:numPr>
        <w:spacing w:line="240" w:lineRule="auto"/>
        <w:jc w:val="both"/>
        <w:rPr>
          <w:rFonts w:ascii="Times New Roman" w:hAnsi="Times New Roman" w:cs="Times New Roman"/>
          <w:color w:val="FF0000"/>
          <w:sz w:val="24"/>
          <w:szCs w:val="24"/>
          <w:lang w:eastAsia="lv-LV"/>
        </w:rPr>
      </w:pPr>
      <w:r w:rsidRPr="00C5045C">
        <w:rPr>
          <w:rFonts w:ascii="Times New Roman" w:hAnsi="Times New Roman" w:cs="Times New Roman"/>
          <w:sz w:val="24"/>
          <w:szCs w:val="24"/>
        </w:rPr>
        <w:t>Iekšlietu ministrijas sistēmas iestādēs nodrošināt 90% apmācīto iepirkumu speciālistu gadskārtēju īpatsvaru. (</w:t>
      </w:r>
      <w:r w:rsidRPr="007205C4">
        <w:rPr>
          <w:rFonts w:ascii="Times New Roman" w:hAnsi="Times New Roman" w:cs="Times New Roman"/>
          <w:b/>
          <w:sz w:val="24"/>
          <w:szCs w:val="24"/>
        </w:rPr>
        <w:t>IeM, VP, VRS, VUGD, NVA, IeM IC, IDB, PMLP, IeM VSC</w:t>
      </w:r>
      <w:r w:rsidRPr="00C5045C">
        <w:rPr>
          <w:rFonts w:ascii="Times New Roman" w:hAnsi="Times New Roman" w:cs="Times New Roman"/>
          <w:sz w:val="24"/>
          <w:szCs w:val="24"/>
        </w:rPr>
        <w:t>).”</w:t>
      </w:r>
    </w:p>
    <w:p w14:paraId="326B63FE" w14:textId="77777777" w:rsidR="00165ADA" w:rsidRPr="00B60ED2" w:rsidRDefault="00165ADA" w:rsidP="00165ADA">
      <w:pPr>
        <w:rPr>
          <w:rFonts w:ascii="Times New Roman" w:hAnsi="Times New Roman" w:cs="Times New Roman"/>
        </w:rPr>
      </w:pPr>
    </w:p>
    <w:p w14:paraId="3C0BD98F" w14:textId="77777777" w:rsidR="00015978" w:rsidRPr="00B60ED2" w:rsidRDefault="00015978" w:rsidP="00015978">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 xml:space="preserve">Rīcības virziens: </w:t>
      </w:r>
      <w:bookmarkStart w:id="47" w:name="_Hlk167786964"/>
      <w:r w:rsidRPr="00B60ED2">
        <w:rPr>
          <w:rFonts w:ascii="Times New Roman" w:eastAsia="+mn-ea" w:hAnsi="Times New Roman" w:cs="Times New Roman"/>
          <w:b/>
          <w:bCs/>
          <w:color w:val="767171" w:themeColor="background2" w:themeShade="80"/>
          <w:kern w:val="24"/>
          <w:sz w:val="28"/>
          <w:szCs w:val="28"/>
          <w:lang w:eastAsia="lv-LV"/>
        </w:rPr>
        <w:t>Konkurētspējīgas atlīdzības veicināšana</w:t>
      </w:r>
      <w:bookmarkEnd w:id="47"/>
      <w:r w:rsidRPr="00B60ED2">
        <w:rPr>
          <w:rFonts w:ascii="Times New Roman" w:eastAsia="+mn-ea" w:hAnsi="Times New Roman" w:cs="Times New Roman"/>
          <w:b/>
          <w:bCs/>
          <w:color w:val="767171" w:themeColor="background2" w:themeShade="80"/>
          <w:kern w:val="24"/>
          <w:sz w:val="28"/>
          <w:szCs w:val="28"/>
          <w:lang w:eastAsia="lv-LV"/>
        </w:rPr>
        <w:t>.</w:t>
      </w:r>
    </w:p>
    <w:p w14:paraId="2DA60E67" w14:textId="77777777" w:rsidR="00015978" w:rsidRPr="00B60ED2" w:rsidRDefault="00015978" w:rsidP="00015978">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Galvenie uzdevumi:</w:t>
      </w:r>
    </w:p>
    <w:p w14:paraId="56835BE2" w14:textId="77777777" w:rsidR="00015978" w:rsidRPr="00B60ED2" w:rsidRDefault="00015978" w:rsidP="00015978">
      <w:pPr>
        <w:pStyle w:val="ListParagraph"/>
        <w:numPr>
          <w:ilvl w:val="0"/>
          <w:numId w:val="24"/>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Amatpersonu ar speciālajām dienesta pakāpēm atlīdzības sistēmas pilnveidošana, tai skaitā mēnešalgu paaugstināšana</w:t>
      </w:r>
      <w:r w:rsidRPr="00B60ED2">
        <w:rPr>
          <w:rStyle w:val="FootnoteReference"/>
          <w:rFonts w:ascii="Times New Roman" w:hAnsi="Times New Roman" w:cs="Times New Roman"/>
          <w:sz w:val="24"/>
          <w:szCs w:val="24"/>
          <w:lang w:eastAsia="lv-LV"/>
        </w:rPr>
        <w:footnoteReference w:id="18"/>
      </w:r>
      <w:r w:rsidRPr="00B60ED2">
        <w:rPr>
          <w:rFonts w:ascii="Times New Roman" w:hAnsi="Times New Roman" w:cs="Times New Roman"/>
          <w:sz w:val="24"/>
          <w:szCs w:val="24"/>
          <w:lang w:eastAsia="lv-LV"/>
        </w:rPr>
        <w:t xml:space="preserve">: </w:t>
      </w:r>
    </w:p>
    <w:p w14:paraId="0868DE79" w14:textId="77777777" w:rsidR="00015978" w:rsidRPr="0022495A" w:rsidRDefault="00015978" w:rsidP="00015978">
      <w:pPr>
        <w:pStyle w:val="ListParagraph"/>
        <w:numPr>
          <w:ilvl w:val="1"/>
          <w:numId w:val="24"/>
        </w:numPr>
        <w:spacing w:line="240" w:lineRule="auto"/>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izvērtēt amatpersonu ar speciālajām dienesta pakāpēm atlīdzības sistēmu un sagatavot priekšlikumus tās pilnveidošanai, tostarp vērtējot iespējas mēnešalgu/darba samaksu tuvināt vidējai darba samaksai valstī. (</w:t>
      </w:r>
      <w:r w:rsidRPr="0022495A">
        <w:rPr>
          <w:rFonts w:ascii="Times New Roman" w:hAnsi="Times New Roman" w:cs="Times New Roman"/>
          <w:b/>
          <w:sz w:val="24"/>
          <w:szCs w:val="24"/>
          <w:lang w:eastAsia="lv-LV"/>
        </w:rPr>
        <w:t>IeM</w:t>
      </w:r>
      <w:r w:rsidRPr="0022495A">
        <w:rPr>
          <w:rFonts w:ascii="Times New Roman" w:hAnsi="Times New Roman" w:cs="Times New Roman"/>
          <w:sz w:val="24"/>
          <w:szCs w:val="24"/>
          <w:lang w:eastAsia="lv-LV"/>
        </w:rPr>
        <w:t>, VP, VRS, VUGD, IDB);</w:t>
      </w:r>
    </w:p>
    <w:p w14:paraId="3A2B749D" w14:textId="77777777" w:rsidR="00015978" w:rsidRPr="0022495A" w:rsidRDefault="00015978" w:rsidP="00015978">
      <w:pPr>
        <w:pStyle w:val="ListParagraph"/>
        <w:numPr>
          <w:ilvl w:val="1"/>
          <w:numId w:val="24"/>
        </w:numPr>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paaugstināt amatpersonu ar speciālajām dienesta pakāpēm mēnešalgu konkurētspēju, nodrošinot to ikgadēju pieaugumu. (</w:t>
      </w:r>
      <w:r w:rsidRPr="0022495A">
        <w:rPr>
          <w:rFonts w:ascii="Times New Roman" w:hAnsi="Times New Roman" w:cs="Times New Roman"/>
          <w:b/>
          <w:sz w:val="24"/>
          <w:szCs w:val="24"/>
          <w:lang w:eastAsia="lv-LV"/>
        </w:rPr>
        <w:t>IeM</w:t>
      </w:r>
      <w:r w:rsidRPr="0022495A">
        <w:rPr>
          <w:rFonts w:ascii="Times New Roman" w:hAnsi="Times New Roman" w:cs="Times New Roman"/>
          <w:sz w:val="24"/>
          <w:szCs w:val="24"/>
          <w:lang w:eastAsia="lv-LV"/>
        </w:rPr>
        <w:t>, VP, VRS, VUGD, IDB);</w:t>
      </w:r>
    </w:p>
    <w:p w14:paraId="30258EC4" w14:textId="77777777" w:rsidR="00015978" w:rsidRPr="0022495A" w:rsidRDefault="00015978" w:rsidP="00015978">
      <w:pPr>
        <w:pStyle w:val="ListParagraph"/>
        <w:numPr>
          <w:ilvl w:val="1"/>
          <w:numId w:val="24"/>
        </w:numPr>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 xml:space="preserve">nodrošināt izmeklētāju mēnešalgas apmēru līdz 95% no rajona prokurora mēnešalgas. Pārskatot mēnešalgas, hierarhiskā sistēmā aptvert visas amatpersonas ar speciālajām dienesta pakāpēm, kuras nodrošina izmeklēšanas funkciju (izmeklētāji, operatīvie darbinieki). </w:t>
      </w:r>
      <w:r w:rsidRPr="0022495A">
        <w:t>(</w:t>
      </w:r>
      <w:r w:rsidRPr="0022495A">
        <w:rPr>
          <w:rFonts w:ascii="Times New Roman" w:hAnsi="Times New Roman" w:cs="Times New Roman"/>
          <w:b/>
          <w:sz w:val="24"/>
          <w:szCs w:val="24"/>
          <w:lang w:eastAsia="lv-LV"/>
        </w:rPr>
        <w:t>IeM</w:t>
      </w:r>
      <w:r w:rsidRPr="0022495A">
        <w:rPr>
          <w:rFonts w:ascii="Times New Roman" w:hAnsi="Times New Roman" w:cs="Times New Roman"/>
          <w:sz w:val="24"/>
          <w:szCs w:val="24"/>
          <w:lang w:eastAsia="lv-LV"/>
        </w:rPr>
        <w:t>, VP, VRS,  IDB).</w:t>
      </w:r>
    </w:p>
    <w:p w14:paraId="2BE2C5FA" w14:textId="77777777" w:rsidR="00015978" w:rsidRPr="0022495A" w:rsidRDefault="00015978" w:rsidP="00015978">
      <w:pPr>
        <w:pStyle w:val="ListParagraph"/>
        <w:numPr>
          <w:ilvl w:val="0"/>
          <w:numId w:val="24"/>
        </w:numPr>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lastRenderedPageBreak/>
        <w:t>Tuvināt ierēdņu un darbinieku mēnešalgu apmēru valsts pārvaldes iestāžu mēnešalgu skalas viduspunktam</w:t>
      </w:r>
      <w:r w:rsidRPr="0022495A">
        <w:rPr>
          <w:rStyle w:val="FootnoteReference"/>
          <w:rFonts w:ascii="Times New Roman" w:hAnsi="Times New Roman" w:cs="Times New Roman"/>
          <w:sz w:val="24"/>
          <w:szCs w:val="24"/>
          <w:lang w:eastAsia="lv-LV"/>
        </w:rPr>
        <w:footnoteReference w:id="19"/>
      </w:r>
      <w:r w:rsidRPr="0022495A">
        <w:rPr>
          <w:rFonts w:ascii="Times New Roman" w:hAnsi="Times New Roman" w:cs="Times New Roman"/>
          <w:sz w:val="24"/>
          <w:szCs w:val="24"/>
          <w:lang w:eastAsia="lv-LV"/>
        </w:rPr>
        <w:t xml:space="preserve"> (80% no līdzīgas vērtības amatu pamatalgas privātajā sektorā). Izvērtēt iestāžu atlīdzības fondus un iespējas rast papildu finansējumu.</w:t>
      </w:r>
      <w:r w:rsidRPr="0022495A">
        <w:t xml:space="preserve"> </w:t>
      </w:r>
      <w:r w:rsidRPr="0022495A">
        <w:rPr>
          <w:rFonts w:ascii="Times New Roman" w:hAnsi="Times New Roman" w:cs="Times New Roman"/>
          <w:sz w:val="24"/>
          <w:szCs w:val="24"/>
          <w:lang w:eastAsia="lv-LV"/>
        </w:rPr>
        <w:t>(</w:t>
      </w:r>
      <w:r w:rsidRPr="0022495A">
        <w:rPr>
          <w:rFonts w:ascii="Times New Roman" w:hAnsi="Times New Roman" w:cs="Times New Roman"/>
          <w:b/>
          <w:sz w:val="24"/>
          <w:szCs w:val="24"/>
          <w:lang w:eastAsia="lv-LV"/>
        </w:rPr>
        <w:t>IeM,</w:t>
      </w:r>
      <w:r w:rsidRPr="0022495A">
        <w:rPr>
          <w:rFonts w:ascii="Times New Roman" w:hAnsi="Times New Roman" w:cs="Times New Roman"/>
          <w:sz w:val="24"/>
          <w:szCs w:val="24"/>
          <w:lang w:eastAsia="lv-LV"/>
        </w:rPr>
        <w:t xml:space="preserve"> VP, VRS, VUGD, IDB, PMLP, IeM IC, NVA, IeM VSC)</w:t>
      </w:r>
    </w:p>
    <w:p w14:paraId="289F79AF" w14:textId="77777777" w:rsidR="00165ADA" w:rsidRPr="00B60ED2" w:rsidRDefault="00165ADA" w:rsidP="00165ADA">
      <w:pPr>
        <w:rPr>
          <w:rFonts w:ascii="Times New Roman" w:hAnsi="Times New Roman" w:cs="Times New Roman"/>
        </w:rPr>
      </w:pPr>
    </w:p>
    <w:p w14:paraId="090BF9BB"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Jauniešu piesaistes mehānismu iekšlietu nozarei pilnveidošana.</w:t>
      </w:r>
    </w:p>
    <w:p w14:paraId="2B783587" w14:textId="0033BB43" w:rsidR="00165ADA" w:rsidRPr="00B60ED2" w:rsidRDefault="00165ADA" w:rsidP="00165ADA">
      <w:pPr>
        <w:spacing w:line="240" w:lineRule="auto"/>
        <w:jc w:val="both"/>
        <w:rPr>
          <w:szCs w:val="24"/>
          <w:u w:val="single"/>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w:t>
      </w:r>
      <w:r w:rsidRPr="00B60ED2">
        <w:rPr>
          <w:rFonts w:ascii="Times New Roman" w:hAnsi="Times New Roman" w:cs="Times New Roman"/>
          <w:b/>
          <w:sz w:val="24"/>
          <w:szCs w:val="24"/>
          <w:lang w:eastAsia="lv-LV"/>
        </w:rPr>
        <w:t>i</w:t>
      </w:r>
      <w:r w:rsidR="00B16E2E" w:rsidRPr="00B60ED2">
        <w:rPr>
          <w:szCs w:val="24"/>
          <w:u w:val="single"/>
          <w:lang w:eastAsia="lv-LV"/>
        </w:rPr>
        <w:t>:</w:t>
      </w:r>
    </w:p>
    <w:p w14:paraId="20371B6E" w14:textId="322FB91F" w:rsidR="00CD1A4A" w:rsidRPr="00B60ED2" w:rsidRDefault="00165ADA" w:rsidP="00CD1A4A">
      <w:pPr>
        <w:pStyle w:val="ListParagraph"/>
        <w:numPr>
          <w:ilvl w:val="0"/>
          <w:numId w:val="2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Iekšlietu sistēmas iestāžu popularizēšanas un </w:t>
      </w:r>
      <w:r w:rsidR="00101532" w:rsidRPr="00B60ED2">
        <w:rPr>
          <w:rFonts w:ascii="Times New Roman" w:hAnsi="Times New Roman" w:cs="Times New Roman"/>
          <w:sz w:val="24"/>
          <w:szCs w:val="24"/>
          <w:lang w:eastAsia="lv-LV"/>
        </w:rPr>
        <w:t>rekrutēšanas sistēmas pilnveide</w:t>
      </w:r>
      <w:r w:rsidR="008561EF" w:rsidRPr="00B60ED2">
        <w:rPr>
          <w:rFonts w:ascii="Times New Roman" w:hAnsi="Times New Roman" w:cs="Times New Roman"/>
          <w:sz w:val="24"/>
          <w:szCs w:val="24"/>
          <w:lang w:eastAsia="lv-LV"/>
        </w:rPr>
        <w:t>:</w:t>
      </w:r>
    </w:p>
    <w:p w14:paraId="11CB4E21" w14:textId="16FE21D2" w:rsidR="00CD1A4A" w:rsidRPr="00B60ED2" w:rsidRDefault="00CD1A4A" w:rsidP="00CD1A4A">
      <w:pPr>
        <w:pStyle w:val="ListParagraph"/>
        <w:numPr>
          <w:ilvl w:val="1"/>
          <w:numId w:val="2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Izstrādāt rekrutēšanas un ar to sai</w:t>
      </w:r>
      <w:r w:rsidR="00861E08" w:rsidRPr="00B60ED2">
        <w:rPr>
          <w:rFonts w:ascii="Times New Roman" w:hAnsi="Times New Roman" w:cs="Times New Roman"/>
          <w:sz w:val="24"/>
          <w:szCs w:val="24"/>
          <w:lang w:eastAsia="lv-LV"/>
        </w:rPr>
        <w:t xml:space="preserve">stītās komunikācijas vadlīnijas; </w:t>
      </w:r>
      <w:r w:rsidR="00956BB5" w:rsidRPr="00B60ED2">
        <w:rPr>
          <w:rFonts w:ascii="Times New Roman" w:hAnsi="Times New Roman" w:cs="Times New Roman"/>
          <w:sz w:val="24"/>
          <w:szCs w:val="24"/>
          <w:lang w:eastAsia="lv-LV"/>
        </w:rPr>
        <w:t>(</w:t>
      </w:r>
      <w:r w:rsidR="00956BB5" w:rsidRPr="00B60ED2">
        <w:rPr>
          <w:rFonts w:ascii="Times New Roman" w:hAnsi="Times New Roman" w:cs="Times New Roman"/>
          <w:b/>
          <w:sz w:val="24"/>
          <w:szCs w:val="24"/>
          <w:lang w:eastAsia="lv-LV"/>
        </w:rPr>
        <w:t>VP, VRS, VUGD</w:t>
      </w:r>
      <w:r w:rsidR="00956BB5" w:rsidRPr="00B60ED2">
        <w:rPr>
          <w:rFonts w:ascii="Times New Roman" w:hAnsi="Times New Roman" w:cs="Times New Roman"/>
          <w:sz w:val="24"/>
          <w:szCs w:val="24"/>
          <w:lang w:eastAsia="lv-LV"/>
        </w:rPr>
        <w:t>)</w:t>
      </w:r>
    </w:p>
    <w:p w14:paraId="0AB31551" w14:textId="22AAF58E" w:rsidR="00AA02BA" w:rsidRPr="0022495A" w:rsidRDefault="00AB5993" w:rsidP="00CD1A4A">
      <w:pPr>
        <w:pStyle w:val="ListParagraph"/>
        <w:numPr>
          <w:ilvl w:val="1"/>
          <w:numId w:val="2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Iesaistīt Iekšlietu ministrijas</w:t>
      </w:r>
      <w:r w:rsidR="00661346" w:rsidRPr="00B60ED2">
        <w:rPr>
          <w:rFonts w:ascii="Times New Roman" w:hAnsi="Times New Roman" w:cs="Times New Roman"/>
          <w:sz w:val="24"/>
          <w:szCs w:val="24"/>
          <w:lang w:eastAsia="lv-LV"/>
        </w:rPr>
        <w:t xml:space="preserve"> </w:t>
      </w:r>
      <w:r w:rsidRPr="00B60ED2">
        <w:rPr>
          <w:rFonts w:ascii="Times New Roman" w:hAnsi="Times New Roman" w:cs="Times New Roman"/>
          <w:sz w:val="24"/>
          <w:szCs w:val="24"/>
          <w:lang w:eastAsia="lv-LV"/>
        </w:rPr>
        <w:t>veselības un sporta centra</w:t>
      </w:r>
      <w:r w:rsidR="00101532" w:rsidRPr="00B60ED2">
        <w:rPr>
          <w:rFonts w:ascii="Times New Roman" w:hAnsi="Times New Roman" w:cs="Times New Roman"/>
          <w:sz w:val="24"/>
          <w:szCs w:val="24"/>
          <w:lang w:eastAsia="lv-LV"/>
        </w:rPr>
        <w:t xml:space="preserve"> profesionālo</w:t>
      </w:r>
      <w:r w:rsidR="00661346" w:rsidRPr="00B60ED2">
        <w:rPr>
          <w:rFonts w:ascii="Times New Roman" w:hAnsi="Times New Roman" w:cs="Times New Roman"/>
          <w:sz w:val="24"/>
          <w:szCs w:val="24"/>
          <w:lang w:eastAsia="lv-LV"/>
        </w:rPr>
        <w:t>s</w:t>
      </w:r>
      <w:r w:rsidR="00101532" w:rsidRPr="00B60ED2">
        <w:rPr>
          <w:rFonts w:ascii="Times New Roman" w:hAnsi="Times New Roman" w:cs="Times New Roman"/>
          <w:sz w:val="24"/>
          <w:szCs w:val="24"/>
          <w:lang w:eastAsia="lv-LV"/>
        </w:rPr>
        <w:t xml:space="preserve"> sportistu</w:t>
      </w:r>
      <w:r w:rsidR="00661346" w:rsidRPr="00B60ED2">
        <w:rPr>
          <w:rFonts w:ascii="Times New Roman" w:hAnsi="Times New Roman" w:cs="Times New Roman"/>
          <w:sz w:val="24"/>
          <w:szCs w:val="24"/>
          <w:lang w:eastAsia="lv-LV"/>
        </w:rPr>
        <w:t>s</w:t>
      </w:r>
      <w:r w:rsidRPr="00B60ED2">
        <w:rPr>
          <w:rFonts w:ascii="Times New Roman" w:hAnsi="Times New Roman" w:cs="Times New Roman"/>
          <w:sz w:val="24"/>
          <w:szCs w:val="24"/>
          <w:lang w:eastAsia="lv-LV"/>
        </w:rPr>
        <w:t xml:space="preserve"> iekšlietu sistēmas</w:t>
      </w:r>
      <w:r w:rsidR="00101532" w:rsidRPr="00B60ED2">
        <w:rPr>
          <w:rFonts w:ascii="Times New Roman" w:hAnsi="Times New Roman" w:cs="Times New Roman"/>
          <w:sz w:val="24"/>
          <w:szCs w:val="24"/>
          <w:lang w:eastAsia="lv-LV"/>
        </w:rPr>
        <w:t xml:space="preserve"> dienestu popularizēšanā</w:t>
      </w:r>
      <w:r w:rsidR="00861E08" w:rsidRPr="00B60ED2">
        <w:rPr>
          <w:rFonts w:ascii="Times New Roman" w:hAnsi="Times New Roman" w:cs="Times New Roman"/>
          <w:sz w:val="24"/>
          <w:szCs w:val="24"/>
          <w:lang w:eastAsia="lv-LV"/>
        </w:rPr>
        <w:t>.</w:t>
      </w:r>
      <w:r w:rsidR="00CD1A4A" w:rsidRPr="00B60ED2">
        <w:rPr>
          <w:rFonts w:ascii="Times New Roman" w:hAnsi="Times New Roman" w:cs="Times New Roman"/>
          <w:sz w:val="24"/>
          <w:szCs w:val="24"/>
          <w:lang w:eastAsia="lv-LV"/>
        </w:rPr>
        <w:t xml:space="preserve"> (</w:t>
      </w:r>
      <w:r w:rsidR="00CD1A4A" w:rsidRPr="00B60ED2">
        <w:rPr>
          <w:rFonts w:ascii="Times New Roman" w:hAnsi="Times New Roman" w:cs="Times New Roman"/>
          <w:b/>
          <w:sz w:val="24"/>
          <w:szCs w:val="24"/>
          <w:lang w:eastAsia="lv-LV"/>
        </w:rPr>
        <w:t xml:space="preserve">VP, </w:t>
      </w:r>
      <w:r w:rsidR="00CD1A4A" w:rsidRPr="0022495A">
        <w:rPr>
          <w:rFonts w:ascii="Times New Roman" w:hAnsi="Times New Roman" w:cs="Times New Roman"/>
          <w:b/>
          <w:sz w:val="24"/>
          <w:szCs w:val="24"/>
          <w:lang w:eastAsia="lv-LV"/>
        </w:rPr>
        <w:t>VRS, VUGD</w:t>
      </w:r>
      <w:r w:rsidR="00CD1A4A" w:rsidRPr="0022495A">
        <w:rPr>
          <w:rFonts w:ascii="Times New Roman" w:hAnsi="Times New Roman" w:cs="Times New Roman"/>
          <w:sz w:val="24"/>
          <w:szCs w:val="24"/>
          <w:lang w:eastAsia="lv-LV"/>
        </w:rPr>
        <w:t>, IeM VSC)</w:t>
      </w:r>
    </w:p>
    <w:p w14:paraId="783E6DB6" w14:textId="035376FE" w:rsidR="00861E08" w:rsidRPr="0022495A" w:rsidRDefault="00861E08" w:rsidP="00861E08">
      <w:pPr>
        <w:pStyle w:val="ListParagraph"/>
        <w:numPr>
          <w:ilvl w:val="0"/>
          <w:numId w:val="25"/>
        </w:numPr>
        <w:spacing w:line="240" w:lineRule="auto"/>
        <w:jc w:val="both"/>
        <w:rPr>
          <w:rFonts w:ascii="Times New Roman" w:hAnsi="Times New Roman" w:cs="Times New Roman"/>
          <w:sz w:val="24"/>
          <w:szCs w:val="24"/>
          <w:lang w:eastAsia="lv-LV"/>
        </w:rPr>
      </w:pPr>
      <w:bookmarkStart w:id="48" w:name="_Hlk167802892"/>
      <w:r w:rsidRPr="0022495A">
        <w:rPr>
          <w:rFonts w:ascii="Times New Roman" w:hAnsi="Times New Roman" w:cs="Times New Roman"/>
          <w:sz w:val="24"/>
          <w:szCs w:val="24"/>
          <w:lang w:eastAsia="lv-LV"/>
        </w:rPr>
        <w:t>Formulēt piedāvājumu Latvijas augstskolā</w:t>
      </w:r>
      <w:r w:rsidR="000B5D11" w:rsidRPr="0022495A">
        <w:rPr>
          <w:rFonts w:ascii="Times New Roman" w:hAnsi="Times New Roman" w:cs="Times New Roman"/>
          <w:sz w:val="24"/>
          <w:szCs w:val="24"/>
          <w:lang w:eastAsia="lv-LV"/>
        </w:rPr>
        <w:t>m par sadarbības iespēju</w:t>
      </w:r>
      <w:r w:rsidRPr="0022495A">
        <w:rPr>
          <w:rFonts w:ascii="Times New Roman" w:hAnsi="Times New Roman" w:cs="Times New Roman"/>
          <w:sz w:val="24"/>
          <w:szCs w:val="24"/>
          <w:lang w:eastAsia="lv-LV"/>
        </w:rPr>
        <w:t xml:space="preserve"> pētniecības jomā ar IeM un tās padotības iestādēm ar iekšlietu nozari saistītos jautājumos, perspektīvā izvērtējot iespēju izmantot pētījumu rezultātus, kā arī iespējamo nodarbinātības iespēju ar spējīgākajiem pētniekiem.</w:t>
      </w:r>
      <w:r w:rsidR="000B5D11" w:rsidRPr="0022495A">
        <w:rPr>
          <w:rFonts w:ascii="Times New Roman" w:hAnsi="Times New Roman" w:cs="Times New Roman"/>
          <w:sz w:val="24"/>
          <w:szCs w:val="24"/>
          <w:lang w:eastAsia="lv-LV"/>
        </w:rPr>
        <w:t xml:space="preserve"> (</w:t>
      </w:r>
      <w:r w:rsidR="000B5D11" w:rsidRPr="0022495A">
        <w:rPr>
          <w:rFonts w:ascii="Times New Roman" w:hAnsi="Times New Roman" w:cs="Times New Roman"/>
          <w:b/>
          <w:sz w:val="24"/>
          <w:szCs w:val="24"/>
          <w:lang w:eastAsia="lv-LV"/>
        </w:rPr>
        <w:t>IeM</w:t>
      </w:r>
      <w:r w:rsidR="000B5D11" w:rsidRPr="0022495A">
        <w:rPr>
          <w:rFonts w:ascii="Times New Roman" w:hAnsi="Times New Roman" w:cs="Times New Roman"/>
          <w:sz w:val="24"/>
          <w:szCs w:val="24"/>
          <w:lang w:eastAsia="lv-LV"/>
        </w:rPr>
        <w:t>, VP, VRS, VUGD, IDB, PMLP, IeM IC, NVA, IeM VSC)</w:t>
      </w:r>
    </w:p>
    <w:bookmarkEnd w:id="48"/>
    <w:p w14:paraId="79A4EEE9" w14:textId="77777777" w:rsidR="00165ADA" w:rsidRPr="00B60ED2" w:rsidRDefault="00165ADA" w:rsidP="00165ADA">
      <w:pPr>
        <w:spacing w:line="240" w:lineRule="auto"/>
        <w:jc w:val="both"/>
        <w:rPr>
          <w:rFonts w:ascii="Times New Roman" w:hAnsi="Times New Roman" w:cs="Times New Roman"/>
          <w:b/>
          <w:sz w:val="28"/>
        </w:rPr>
      </w:pPr>
    </w:p>
    <w:p w14:paraId="476E5D7A"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Amatpersonu fiziskās sagatavotības un veselības veicināšana.</w:t>
      </w:r>
    </w:p>
    <w:p w14:paraId="7004DC79" w14:textId="71D2FEAA"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6AA26423" w14:textId="2CF5D783" w:rsidR="00B16E2E" w:rsidRPr="00B60ED2" w:rsidRDefault="00B16E2E" w:rsidP="00B16E2E">
      <w:pPr>
        <w:pStyle w:val="ListParagraph"/>
        <w:numPr>
          <w:ilvl w:val="0"/>
          <w:numId w:val="26"/>
        </w:numPr>
        <w:spacing w:after="160" w:line="256" w:lineRule="auto"/>
        <w:jc w:val="both"/>
        <w:rPr>
          <w:rFonts w:ascii="Times New Roman" w:hAnsi="Times New Roman" w:cs="Times New Roman"/>
          <w:sz w:val="24"/>
          <w:szCs w:val="24"/>
        </w:rPr>
      </w:pPr>
      <w:r w:rsidRPr="00B60ED2">
        <w:rPr>
          <w:rFonts w:ascii="Times New Roman" w:hAnsi="Times New Roman" w:cs="Times New Roman"/>
          <w:sz w:val="24"/>
          <w:szCs w:val="24"/>
          <w:lang w:eastAsia="lv-LV"/>
        </w:rPr>
        <w:t>Valsts apmaksāto veselības aprūpes pakalpojumu pieejamības uzlabošana amatpersonām, palielinot kompensāciju limitus</w:t>
      </w:r>
      <w:r w:rsidRPr="00B60ED2">
        <w:rPr>
          <w:rStyle w:val="FootnoteReference"/>
          <w:rFonts w:ascii="Times New Roman" w:hAnsi="Times New Roman" w:cs="Times New Roman"/>
          <w:sz w:val="24"/>
          <w:szCs w:val="24"/>
          <w:lang w:eastAsia="lv-LV"/>
        </w:rPr>
        <w:footnoteReference w:id="20"/>
      </w:r>
      <w:r w:rsidRPr="00B60ED2">
        <w:rPr>
          <w:rFonts w:ascii="Times New Roman" w:hAnsi="Times New Roman" w:cs="Times New Roman"/>
          <w:sz w:val="24"/>
          <w:szCs w:val="24"/>
          <w:lang w:eastAsia="lv-LV"/>
        </w:rPr>
        <w:t>, lai kompensētu veselības aprūpes pakalpojumu un medikamentu cenu pieaugumu. (</w:t>
      </w:r>
      <w:r w:rsidRPr="00B60ED2">
        <w:rPr>
          <w:rFonts w:ascii="Times New Roman" w:hAnsi="Times New Roman" w:cs="Times New Roman"/>
          <w:b/>
          <w:sz w:val="24"/>
          <w:szCs w:val="24"/>
          <w:lang w:eastAsia="lv-LV"/>
        </w:rPr>
        <w:t>IeM VSC</w:t>
      </w:r>
      <w:r w:rsidRPr="00B60ED2">
        <w:rPr>
          <w:rFonts w:ascii="Times New Roman" w:hAnsi="Times New Roman" w:cs="Times New Roman"/>
          <w:sz w:val="24"/>
          <w:szCs w:val="24"/>
          <w:lang w:eastAsia="lv-LV"/>
        </w:rPr>
        <w:t>, IeM, VP, VRS, VUGD, IDB</w:t>
      </w:r>
      <w:r w:rsidRPr="00B60ED2">
        <w:rPr>
          <w:rFonts w:ascii="Times New Roman" w:hAnsi="Times New Roman" w:cs="Times New Roman"/>
          <w:sz w:val="24"/>
          <w:szCs w:val="24"/>
        </w:rPr>
        <w:t>)</w:t>
      </w:r>
    </w:p>
    <w:p w14:paraId="3DFC62A5" w14:textId="08E3C658" w:rsidR="00165ADA" w:rsidRPr="00B60ED2" w:rsidRDefault="00165ADA" w:rsidP="007312FB">
      <w:pPr>
        <w:pStyle w:val="ListParagraph"/>
        <w:numPr>
          <w:ilvl w:val="0"/>
          <w:numId w:val="26"/>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Amatpersonu psiholoģiskā atbalsta sistēmas pilnveide, palielinot psiholoģiskā atbalsta kursa </w:t>
      </w:r>
      <w:r w:rsidR="00B00779" w:rsidRPr="00B60ED2">
        <w:rPr>
          <w:rFonts w:ascii="Times New Roman" w:hAnsi="Times New Roman" w:cs="Times New Roman"/>
          <w:sz w:val="24"/>
          <w:szCs w:val="24"/>
          <w:lang w:eastAsia="lv-LV"/>
        </w:rPr>
        <w:t xml:space="preserve">Iekšlietu ministrijas veselības un sporta centra </w:t>
      </w:r>
      <w:r w:rsidRPr="00B60ED2">
        <w:rPr>
          <w:rFonts w:ascii="Times New Roman" w:hAnsi="Times New Roman" w:cs="Times New Roman"/>
          <w:sz w:val="24"/>
          <w:szCs w:val="24"/>
          <w:lang w:eastAsia="lv-LV"/>
        </w:rPr>
        <w:t>nodaļā “Dzintari”  kapacitāti un dažādojot pakalpojumu klāstu. (</w:t>
      </w:r>
      <w:r w:rsidRPr="00B60ED2">
        <w:rPr>
          <w:rFonts w:ascii="Times New Roman" w:hAnsi="Times New Roman" w:cs="Times New Roman"/>
          <w:b/>
          <w:sz w:val="24"/>
          <w:szCs w:val="24"/>
          <w:lang w:eastAsia="lv-LV"/>
        </w:rPr>
        <w:t>IeM</w:t>
      </w:r>
      <w:r w:rsidR="00B16E2E" w:rsidRPr="00B60ED2">
        <w:rPr>
          <w:rFonts w:ascii="Times New Roman" w:hAnsi="Times New Roman" w:cs="Times New Roman"/>
          <w:b/>
          <w:sz w:val="24"/>
          <w:szCs w:val="24"/>
          <w:lang w:eastAsia="lv-LV"/>
        </w:rPr>
        <w:t xml:space="preserve"> VSC</w:t>
      </w:r>
      <w:r w:rsidR="00B16E2E" w:rsidRPr="00B60ED2">
        <w:rPr>
          <w:rFonts w:ascii="Times New Roman" w:hAnsi="Times New Roman" w:cs="Times New Roman"/>
          <w:sz w:val="24"/>
          <w:szCs w:val="24"/>
          <w:lang w:eastAsia="lv-LV"/>
        </w:rPr>
        <w:t>, NVA, IeM</w:t>
      </w:r>
      <w:r w:rsidRPr="00B60ED2">
        <w:rPr>
          <w:rFonts w:ascii="Times New Roman" w:hAnsi="Times New Roman" w:cs="Times New Roman"/>
          <w:sz w:val="24"/>
          <w:szCs w:val="24"/>
          <w:lang w:eastAsia="lv-LV"/>
        </w:rPr>
        <w:t>)</w:t>
      </w:r>
    </w:p>
    <w:p w14:paraId="40B283D3" w14:textId="77777777" w:rsidR="00A85151" w:rsidRPr="00B60ED2" w:rsidRDefault="00165ADA" w:rsidP="00A85151">
      <w:pPr>
        <w:pStyle w:val="ListParagraph"/>
        <w:numPr>
          <w:ilvl w:val="0"/>
          <w:numId w:val="26"/>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Pilnveidot psiholoģisko atbalstu Iekšlietu ministrijas sistēmas iestāžu amatpersonām ar speciālajām dienesta pakāpēm, ieviešot vairāku līmeņu psiholoģisko atbalstu un izveidojot kolēģu atbalsta posmu. (</w:t>
      </w:r>
      <w:r w:rsidRPr="00B60ED2">
        <w:rPr>
          <w:rFonts w:ascii="Times New Roman" w:hAnsi="Times New Roman" w:cs="Times New Roman"/>
          <w:b/>
          <w:sz w:val="24"/>
          <w:szCs w:val="24"/>
          <w:lang w:eastAsia="lv-LV"/>
        </w:rPr>
        <w:t>IeM VSC</w:t>
      </w:r>
      <w:r w:rsidR="00A85151" w:rsidRPr="00B60ED2">
        <w:rPr>
          <w:rFonts w:ascii="Times New Roman" w:hAnsi="Times New Roman" w:cs="Times New Roman"/>
          <w:sz w:val="24"/>
          <w:szCs w:val="24"/>
          <w:lang w:eastAsia="lv-LV"/>
        </w:rPr>
        <w:t>, VP, VRS, VUGD, IDB)</w:t>
      </w:r>
    </w:p>
    <w:p w14:paraId="29D11426" w14:textId="519F70E4" w:rsidR="00A85151" w:rsidRPr="00B60ED2" w:rsidRDefault="00A85151" w:rsidP="00A85151">
      <w:pPr>
        <w:pStyle w:val="ListParagraph"/>
        <w:numPr>
          <w:ilvl w:val="0"/>
          <w:numId w:val="26"/>
        </w:numPr>
        <w:spacing w:line="240" w:lineRule="auto"/>
        <w:jc w:val="both"/>
        <w:rPr>
          <w:rFonts w:ascii="Times New Roman" w:hAnsi="Times New Roman" w:cs="Times New Roman"/>
          <w:sz w:val="24"/>
          <w:szCs w:val="24"/>
          <w:lang w:eastAsia="lv-LV"/>
        </w:rPr>
      </w:pPr>
      <w:bookmarkStart w:id="49" w:name="_Hlk167802906"/>
      <w:r w:rsidRPr="00B60ED2">
        <w:rPr>
          <w:rFonts w:ascii="Times New Roman" w:hAnsi="Times New Roman" w:cs="Times New Roman"/>
          <w:sz w:val="24"/>
          <w:szCs w:val="24"/>
          <w:lang w:eastAsia="lv-LV"/>
        </w:rPr>
        <w:t>Izvērtēt valsts reģionos esošās sporta infrastruktūras izmantošanas iespēju palielināšanu iekšlietu nozares amatpersonu fiziskās sagatavotības uzlabošanai, tai skaitā sporta nodarbību apmaksas mehānisma izstrādi un papildus finansējuma piesaisti sporta nodarbību apmaksai. (</w:t>
      </w:r>
      <w:r w:rsidRPr="00B60ED2">
        <w:rPr>
          <w:rFonts w:ascii="Times New Roman" w:hAnsi="Times New Roman" w:cs="Times New Roman"/>
          <w:b/>
          <w:sz w:val="24"/>
          <w:szCs w:val="24"/>
          <w:lang w:eastAsia="lv-LV"/>
        </w:rPr>
        <w:t>IeM, IeM VSC</w:t>
      </w:r>
      <w:r w:rsidRPr="00B60ED2">
        <w:rPr>
          <w:rFonts w:ascii="Times New Roman" w:hAnsi="Times New Roman" w:cs="Times New Roman"/>
          <w:sz w:val="24"/>
          <w:szCs w:val="24"/>
          <w:lang w:eastAsia="lv-LV"/>
        </w:rPr>
        <w:t>)</w:t>
      </w:r>
    </w:p>
    <w:bookmarkEnd w:id="49"/>
    <w:p w14:paraId="29FDB9A1" w14:textId="77777777" w:rsidR="00165ADA" w:rsidRPr="00B60ED2" w:rsidRDefault="00165ADA" w:rsidP="00165ADA">
      <w:pPr>
        <w:spacing w:line="240" w:lineRule="auto"/>
        <w:jc w:val="both"/>
        <w:rPr>
          <w:rFonts w:ascii="Times New Roman" w:hAnsi="Times New Roman" w:cs="Times New Roman"/>
          <w:b/>
          <w:sz w:val="28"/>
        </w:rPr>
      </w:pPr>
    </w:p>
    <w:p w14:paraId="05C72CB5"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Amatpersonu ar speciālajām dienesta pakāpēm nodarbināšanas veicināšana iestādē pēc atvaļināšanas no dienesta.</w:t>
      </w:r>
    </w:p>
    <w:p w14:paraId="450ADFB7" w14:textId="63C0793B" w:rsidR="00165ADA" w:rsidRPr="0022495A" w:rsidRDefault="00165ADA" w:rsidP="00165ADA">
      <w:pPr>
        <w:spacing w:line="240" w:lineRule="auto"/>
        <w:jc w:val="both"/>
        <w:rPr>
          <w:rFonts w:ascii="Times New Roman" w:hAnsi="Times New Roman" w:cs="Times New Roman"/>
          <w:b/>
          <w:sz w:val="24"/>
          <w:szCs w:val="24"/>
          <w:lang w:eastAsia="lv-LV"/>
        </w:rPr>
      </w:pPr>
      <w:r w:rsidRPr="0022495A">
        <w:rPr>
          <w:rFonts w:ascii="Times New Roman" w:hAnsi="Times New Roman" w:cs="Times New Roman"/>
          <w:b/>
          <w:sz w:val="24"/>
          <w:szCs w:val="24"/>
          <w:lang w:eastAsia="lv-LV"/>
        </w:rPr>
        <w:t xml:space="preserve">Galvenie </w:t>
      </w:r>
      <w:r w:rsidR="00FB3D27" w:rsidRPr="0022495A">
        <w:rPr>
          <w:rFonts w:ascii="Times New Roman" w:hAnsi="Times New Roman" w:cs="Times New Roman"/>
          <w:b/>
          <w:sz w:val="24"/>
          <w:szCs w:val="24"/>
          <w:lang w:eastAsia="lv-LV"/>
        </w:rPr>
        <w:t>uzdevumi</w:t>
      </w:r>
      <w:r w:rsidRPr="0022495A">
        <w:rPr>
          <w:rFonts w:ascii="Times New Roman" w:hAnsi="Times New Roman" w:cs="Times New Roman"/>
          <w:b/>
          <w:sz w:val="24"/>
          <w:szCs w:val="24"/>
          <w:lang w:eastAsia="lv-LV"/>
        </w:rPr>
        <w:t>:</w:t>
      </w:r>
    </w:p>
    <w:p w14:paraId="0E816A63" w14:textId="0E0DAE08" w:rsidR="00AD1DC5" w:rsidRPr="0022495A" w:rsidRDefault="00197661" w:rsidP="00AD1DC5">
      <w:pPr>
        <w:pStyle w:val="ListParagraph"/>
        <w:numPr>
          <w:ilvl w:val="0"/>
          <w:numId w:val="27"/>
        </w:numPr>
        <w:jc w:val="both"/>
        <w:rPr>
          <w:rFonts w:ascii="Times New Roman" w:hAnsi="Times New Roman" w:cs="Times New Roman"/>
          <w:sz w:val="24"/>
          <w:szCs w:val="24"/>
          <w:lang w:eastAsia="lv-LV"/>
        </w:rPr>
      </w:pPr>
      <w:bookmarkStart w:id="50" w:name="_Hlk167802923"/>
      <w:r w:rsidRPr="0022495A">
        <w:rPr>
          <w:rFonts w:ascii="Times New Roman" w:hAnsi="Times New Roman" w:cs="Times New Roman"/>
          <w:sz w:val="24"/>
          <w:szCs w:val="24"/>
          <w:lang w:eastAsia="lv-LV"/>
        </w:rPr>
        <w:t>Izstrādāt priekšlikumus par bijušo amatpersonu rezerves izveidošanu</w:t>
      </w:r>
      <w:r w:rsidR="00DD7EAF" w:rsidRPr="0022495A">
        <w:rPr>
          <w:rFonts w:ascii="Times New Roman" w:hAnsi="Times New Roman" w:cs="Times New Roman"/>
          <w:sz w:val="24"/>
          <w:szCs w:val="24"/>
          <w:lang w:eastAsia="lv-LV"/>
        </w:rPr>
        <w:t xml:space="preserve"> </w:t>
      </w:r>
      <w:r w:rsidRPr="0022495A">
        <w:rPr>
          <w:rFonts w:ascii="Times New Roman" w:hAnsi="Times New Roman" w:cs="Times New Roman"/>
          <w:sz w:val="24"/>
          <w:szCs w:val="24"/>
          <w:lang w:eastAsia="lv-LV"/>
        </w:rPr>
        <w:t xml:space="preserve">ar mērķi apzināt </w:t>
      </w:r>
      <w:r w:rsidR="00AD1DC5" w:rsidRPr="0022495A">
        <w:rPr>
          <w:rFonts w:ascii="Times New Roman" w:hAnsi="Times New Roman" w:cs="Times New Roman"/>
          <w:sz w:val="24"/>
          <w:szCs w:val="24"/>
          <w:lang w:eastAsia="lv-LV"/>
        </w:rPr>
        <w:t>atvaļināto amatpersonu vai tuvā nākotnē</w:t>
      </w:r>
      <w:r w:rsidRPr="0022495A">
        <w:rPr>
          <w:rFonts w:ascii="Times New Roman" w:hAnsi="Times New Roman" w:cs="Times New Roman"/>
          <w:sz w:val="24"/>
          <w:szCs w:val="24"/>
          <w:lang w:eastAsia="lv-LV"/>
        </w:rPr>
        <w:t xml:space="preserve"> atvaļināmo amatpersonu loku</w:t>
      </w:r>
      <w:r w:rsidR="00AD1DC5" w:rsidRPr="0022495A">
        <w:rPr>
          <w:rFonts w:ascii="Times New Roman" w:hAnsi="Times New Roman" w:cs="Times New Roman"/>
          <w:sz w:val="24"/>
          <w:szCs w:val="24"/>
          <w:lang w:eastAsia="lv-LV"/>
        </w:rPr>
        <w:t xml:space="preserve"> (pieredze, zināšanas, nodarbinātības joma un specifika, kontaktinformācija, vēlme strādāt </w:t>
      </w:r>
      <w:r w:rsidR="007E7B78" w:rsidRPr="0022495A">
        <w:rPr>
          <w:rFonts w:ascii="Times New Roman" w:hAnsi="Times New Roman" w:cs="Times New Roman"/>
          <w:sz w:val="24"/>
          <w:szCs w:val="24"/>
          <w:lang w:eastAsia="lv-LV"/>
        </w:rPr>
        <w:t xml:space="preserve">Iekšlietu ministrijas </w:t>
      </w:r>
      <w:r w:rsidR="002E2973" w:rsidRPr="0022495A">
        <w:rPr>
          <w:rFonts w:ascii="Times New Roman" w:hAnsi="Times New Roman" w:cs="Times New Roman"/>
          <w:sz w:val="24"/>
          <w:szCs w:val="24"/>
          <w:lang w:eastAsia="lv-LV"/>
        </w:rPr>
        <w:t>padotībā esošajās</w:t>
      </w:r>
      <w:r w:rsidRPr="0022495A">
        <w:rPr>
          <w:rFonts w:ascii="Times New Roman" w:hAnsi="Times New Roman" w:cs="Times New Roman"/>
          <w:sz w:val="24"/>
          <w:szCs w:val="24"/>
          <w:lang w:eastAsia="lv-LV"/>
        </w:rPr>
        <w:t xml:space="preserve"> iestādēs)</w:t>
      </w:r>
      <w:r w:rsidR="00AD1DC5" w:rsidRPr="0022495A">
        <w:rPr>
          <w:rFonts w:ascii="Times New Roman" w:hAnsi="Times New Roman" w:cs="Times New Roman"/>
          <w:sz w:val="24"/>
          <w:szCs w:val="24"/>
          <w:lang w:eastAsia="lv-LV"/>
        </w:rPr>
        <w:t>.</w:t>
      </w:r>
      <w:r w:rsidRPr="0022495A">
        <w:rPr>
          <w:rFonts w:ascii="Times New Roman" w:hAnsi="Times New Roman" w:cs="Times New Roman"/>
          <w:sz w:val="24"/>
          <w:szCs w:val="24"/>
          <w:lang w:eastAsia="lv-LV"/>
        </w:rPr>
        <w:t xml:space="preserve"> (</w:t>
      </w:r>
      <w:r w:rsidR="009B187F" w:rsidRPr="0022495A">
        <w:rPr>
          <w:rFonts w:ascii="Times New Roman" w:hAnsi="Times New Roman" w:cs="Times New Roman"/>
          <w:b/>
          <w:sz w:val="24"/>
          <w:szCs w:val="24"/>
          <w:lang w:eastAsia="lv-LV"/>
        </w:rPr>
        <w:t>IeM</w:t>
      </w:r>
      <w:r w:rsidR="009B187F" w:rsidRPr="0022495A">
        <w:rPr>
          <w:rFonts w:ascii="Times New Roman" w:hAnsi="Times New Roman" w:cs="Times New Roman"/>
          <w:sz w:val="24"/>
          <w:szCs w:val="24"/>
          <w:lang w:eastAsia="lv-LV"/>
        </w:rPr>
        <w:t xml:space="preserve">, </w:t>
      </w:r>
      <w:r w:rsidRPr="0022495A">
        <w:rPr>
          <w:rFonts w:ascii="Times New Roman" w:hAnsi="Times New Roman" w:cs="Times New Roman"/>
          <w:sz w:val="24"/>
          <w:szCs w:val="24"/>
          <w:lang w:eastAsia="lv-LV"/>
        </w:rPr>
        <w:t>VP, VRS, VUGD, IDB, PMLP, NVA, IeM IC, IeM VSC)</w:t>
      </w:r>
    </w:p>
    <w:bookmarkEnd w:id="50"/>
    <w:p w14:paraId="440D9A5A" w14:textId="04E541A5" w:rsidR="00101532" w:rsidRPr="00B60ED2" w:rsidRDefault="00082892" w:rsidP="00AD1DC5">
      <w:pPr>
        <w:pStyle w:val="ListParagraph"/>
        <w:numPr>
          <w:ilvl w:val="0"/>
          <w:numId w:val="27"/>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Izstrādāt priekšlikumus</w:t>
      </w:r>
      <w:r w:rsidR="00F278F2" w:rsidRPr="00B60ED2">
        <w:rPr>
          <w:rFonts w:ascii="Times New Roman" w:hAnsi="Times New Roman" w:cs="Times New Roman"/>
          <w:sz w:val="24"/>
          <w:szCs w:val="24"/>
          <w:lang w:eastAsia="lv-LV"/>
        </w:rPr>
        <w:t>, kā piesaistīt amatpersonas pēc atvaļināšanās no dienesta metodiskā darba veikšanā, jauno amatpersonu apmācīšanā, pētnieciskā darbā, kā arī apzināt citas iespējamās piesaistes formas.</w:t>
      </w:r>
      <w:r w:rsidR="009B187F" w:rsidRPr="00B60ED2">
        <w:rPr>
          <w:rFonts w:ascii="Times New Roman" w:hAnsi="Times New Roman" w:cs="Times New Roman"/>
          <w:sz w:val="24"/>
          <w:szCs w:val="24"/>
          <w:lang w:eastAsia="lv-LV"/>
        </w:rPr>
        <w:t xml:space="preserve"> (</w:t>
      </w:r>
      <w:r w:rsidR="009B187F" w:rsidRPr="00B60ED2">
        <w:rPr>
          <w:rFonts w:ascii="Times New Roman" w:hAnsi="Times New Roman" w:cs="Times New Roman"/>
          <w:b/>
          <w:sz w:val="24"/>
          <w:szCs w:val="24"/>
          <w:lang w:eastAsia="lv-LV"/>
        </w:rPr>
        <w:t>VP, VRS, VUGD, IDB, PMLP, NVA, IeM IC, IeM VSC</w:t>
      </w:r>
      <w:r w:rsidR="009B187F" w:rsidRPr="00B60ED2">
        <w:rPr>
          <w:rFonts w:ascii="Times New Roman" w:hAnsi="Times New Roman" w:cs="Times New Roman"/>
          <w:sz w:val="24"/>
          <w:szCs w:val="24"/>
          <w:lang w:eastAsia="lv-LV"/>
        </w:rPr>
        <w:t>)</w:t>
      </w:r>
    </w:p>
    <w:p w14:paraId="0FD5F48F" w14:textId="25A71185" w:rsidR="00F278F2" w:rsidRPr="00B60ED2" w:rsidRDefault="00F278F2" w:rsidP="00082892">
      <w:pPr>
        <w:jc w:val="both"/>
        <w:rPr>
          <w:rFonts w:ascii="Times New Roman" w:hAnsi="Times New Roman" w:cs="Times New Roman"/>
          <w:sz w:val="24"/>
          <w:szCs w:val="24"/>
          <w:lang w:eastAsia="lv-LV"/>
        </w:rPr>
      </w:pPr>
    </w:p>
    <w:p w14:paraId="5771D4D1" w14:textId="1EF8FE82" w:rsidR="007225D5" w:rsidRPr="00B60ED2" w:rsidRDefault="007225D5" w:rsidP="002E0E1F">
      <w:pPr>
        <w:rPr>
          <w:rFonts w:ascii="Times New Roman" w:eastAsia="+mn-ea" w:hAnsi="Times New Roman" w:cs="Times New Roman"/>
          <w:b/>
          <w:bCs/>
          <w:color w:val="767171" w:themeColor="background2" w:themeShade="80"/>
          <w:kern w:val="24"/>
          <w:sz w:val="28"/>
          <w:szCs w:val="28"/>
          <w:lang w:eastAsia="lv-LV"/>
        </w:rPr>
      </w:pPr>
    </w:p>
    <w:p w14:paraId="79C5D803" w14:textId="77777777" w:rsidR="00A267BA" w:rsidRPr="00B60ED2" w:rsidRDefault="00A267BA">
      <w:pPr>
        <w:rPr>
          <w:rFonts w:ascii="Times New Roman" w:eastAsia="+mn-ea" w:hAnsi="Times New Roman" w:cs="Times New Roman"/>
          <w:b/>
          <w:bCs/>
          <w:color w:val="767171" w:themeColor="background2" w:themeShade="80"/>
          <w:kern w:val="24"/>
          <w:sz w:val="32"/>
          <w:szCs w:val="28"/>
          <w:lang w:eastAsia="lv-LV"/>
        </w:rPr>
      </w:pPr>
      <w:r w:rsidRPr="00B60ED2">
        <w:rPr>
          <w:rFonts w:ascii="Times New Roman" w:eastAsia="+mn-ea" w:hAnsi="Times New Roman" w:cs="Times New Roman"/>
          <w:b/>
          <w:bCs/>
          <w:color w:val="767171" w:themeColor="background2" w:themeShade="80"/>
          <w:kern w:val="24"/>
          <w:sz w:val="32"/>
          <w:szCs w:val="28"/>
          <w:lang w:eastAsia="lv-LV"/>
        </w:rPr>
        <w:br w:type="page"/>
      </w:r>
    </w:p>
    <w:p w14:paraId="0A94BBB0" w14:textId="75C09FF8" w:rsidR="007225D5" w:rsidRPr="00B60ED2" w:rsidRDefault="004B3A18" w:rsidP="00BE3F22">
      <w:pPr>
        <w:spacing w:after="240" w:line="240" w:lineRule="auto"/>
        <w:jc w:val="center"/>
        <w:rPr>
          <w:rFonts w:ascii="Times New Roman" w:eastAsia="+mn-ea" w:hAnsi="Times New Roman" w:cs="Times New Roman"/>
          <w:b/>
          <w:bCs/>
          <w:color w:val="767171" w:themeColor="background2" w:themeShade="80"/>
          <w:kern w:val="24"/>
          <w:sz w:val="32"/>
          <w:szCs w:val="28"/>
          <w:lang w:eastAsia="lv-LV"/>
        </w:rPr>
      </w:pPr>
      <w:bookmarkStart w:id="51" w:name="_Hlk174007242"/>
      <w:r w:rsidRPr="00B60ED2">
        <w:rPr>
          <w:rFonts w:ascii="Times New Roman" w:eastAsia="+mn-ea" w:hAnsi="Times New Roman" w:cs="Times New Roman"/>
          <w:b/>
          <w:bCs/>
          <w:color w:val="767171" w:themeColor="background2" w:themeShade="80"/>
          <w:kern w:val="24"/>
          <w:sz w:val="32"/>
          <w:szCs w:val="28"/>
          <w:lang w:eastAsia="lv-LV"/>
        </w:rPr>
        <w:lastRenderedPageBreak/>
        <w:t xml:space="preserve">Prioritārais horizontālais mērķis: </w:t>
      </w:r>
      <w:bookmarkStart w:id="52" w:name="_Hlk160443079"/>
      <w:r w:rsidRPr="00B60ED2">
        <w:rPr>
          <w:rFonts w:ascii="Times New Roman" w:eastAsia="+mn-ea" w:hAnsi="Times New Roman" w:cs="Times New Roman"/>
          <w:b/>
          <w:bCs/>
          <w:color w:val="767171" w:themeColor="background2" w:themeShade="80"/>
          <w:kern w:val="24"/>
          <w:sz w:val="32"/>
          <w:szCs w:val="28"/>
          <w:lang w:eastAsia="lv-LV"/>
        </w:rPr>
        <w:t>Kvalitatīva darba vide</w:t>
      </w:r>
      <w:bookmarkEnd w:id="52"/>
    </w:p>
    <w:tbl>
      <w:tblPr>
        <w:tblStyle w:val="GridTable4-Accent5"/>
        <w:tblW w:w="14170" w:type="dxa"/>
        <w:tblLayout w:type="fixed"/>
        <w:tblLook w:val="04A0" w:firstRow="1" w:lastRow="0" w:firstColumn="1" w:lastColumn="0" w:noHBand="0" w:noVBand="1"/>
      </w:tblPr>
      <w:tblGrid>
        <w:gridCol w:w="2972"/>
        <w:gridCol w:w="284"/>
        <w:gridCol w:w="1582"/>
        <w:gridCol w:w="1866"/>
        <w:gridCol w:w="1867"/>
        <w:gridCol w:w="1866"/>
        <w:gridCol w:w="1866"/>
        <w:gridCol w:w="1867"/>
      </w:tblGrid>
      <w:tr w:rsidR="00326E29" w:rsidRPr="00B60ED2" w14:paraId="136A1B2B" w14:textId="77777777" w:rsidTr="00BE3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bookmarkEnd w:id="51"/>
          <w:p w14:paraId="1626591D" w14:textId="77777777" w:rsidR="00326E29" w:rsidRPr="00B60ED2" w:rsidRDefault="00326E29" w:rsidP="00593FD9">
            <w:pPr>
              <w:jc w:val="center"/>
              <w:rPr>
                <w:rFonts w:ascii="Times New Roman" w:hAnsi="Times New Roman" w:cs="Times New Roman"/>
                <w:b w:val="0"/>
                <w:iCs/>
                <w:sz w:val="22"/>
                <w:szCs w:val="26"/>
                <w:lang w:eastAsia="lv-LV"/>
              </w:rPr>
            </w:pPr>
            <w:r w:rsidRPr="00B60ED2">
              <w:rPr>
                <w:rFonts w:ascii="Times New Roman" w:hAnsi="Times New Roman" w:cs="Times New Roman"/>
                <w:b w:val="0"/>
                <w:iCs/>
                <w:sz w:val="22"/>
                <w:szCs w:val="26"/>
                <w:lang w:eastAsia="lv-LV"/>
              </w:rPr>
              <w:t>Galvenais rezultatīvais rādītājs</w:t>
            </w:r>
          </w:p>
        </w:tc>
        <w:tc>
          <w:tcPr>
            <w:tcW w:w="284" w:type="dxa"/>
          </w:tcPr>
          <w:p w14:paraId="5D600A8A" w14:textId="77777777" w:rsidR="00326E29" w:rsidRPr="00B60ED2" w:rsidRDefault="00326E29" w:rsidP="00593F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2"/>
                <w:szCs w:val="26"/>
                <w:lang w:eastAsia="lv-LV"/>
              </w:rPr>
            </w:pPr>
          </w:p>
        </w:tc>
        <w:tc>
          <w:tcPr>
            <w:tcW w:w="10914" w:type="dxa"/>
            <w:gridSpan w:val="6"/>
          </w:tcPr>
          <w:p w14:paraId="583564D5" w14:textId="509E20E0" w:rsidR="00326E29" w:rsidRPr="00B60ED2" w:rsidRDefault="00326E29" w:rsidP="00593F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2"/>
                <w:szCs w:val="26"/>
                <w:lang w:eastAsia="lv-LV"/>
              </w:rPr>
            </w:pPr>
            <w:r w:rsidRPr="00B60ED2">
              <w:rPr>
                <w:rFonts w:ascii="Times New Roman" w:hAnsi="Times New Roman" w:cs="Times New Roman"/>
                <w:b w:val="0"/>
                <w:iCs/>
                <w:sz w:val="22"/>
                <w:szCs w:val="26"/>
                <w:lang w:eastAsia="lv-LV"/>
              </w:rPr>
              <w:t>Rādītāju vērtības (prognoze)</w:t>
            </w:r>
          </w:p>
        </w:tc>
      </w:tr>
      <w:tr w:rsidR="00326E29" w:rsidRPr="00B60ED2" w14:paraId="63041713" w14:textId="77777777" w:rsidTr="00BE3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68A107A7" w14:textId="77777777" w:rsidR="00326E29" w:rsidRPr="00B60ED2" w:rsidRDefault="00326E29" w:rsidP="00593FD9">
            <w:pPr>
              <w:jc w:val="center"/>
              <w:rPr>
                <w:rFonts w:ascii="Times New Roman" w:hAnsi="Times New Roman" w:cs="Times New Roman"/>
                <w:b w:val="0"/>
                <w:iCs/>
                <w:sz w:val="22"/>
                <w:szCs w:val="26"/>
                <w:lang w:eastAsia="lv-LV"/>
              </w:rPr>
            </w:pPr>
          </w:p>
        </w:tc>
        <w:tc>
          <w:tcPr>
            <w:tcW w:w="1866" w:type="dxa"/>
            <w:gridSpan w:val="2"/>
          </w:tcPr>
          <w:p w14:paraId="1F143D0B" w14:textId="08C133A6"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2021</w:t>
            </w:r>
            <w:r w:rsidR="00281630" w:rsidRPr="00B60ED2">
              <w:rPr>
                <w:rFonts w:ascii="Times New Roman" w:hAnsi="Times New Roman" w:cs="Times New Roman"/>
                <w:b/>
                <w:iCs/>
                <w:sz w:val="22"/>
                <w:szCs w:val="26"/>
                <w:lang w:eastAsia="lv-LV"/>
              </w:rPr>
              <w:t xml:space="preserve"> (izpilde)</w:t>
            </w:r>
          </w:p>
        </w:tc>
        <w:tc>
          <w:tcPr>
            <w:tcW w:w="1866" w:type="dxa"/>
          </w:tcPr>
          <w:p w14:paraId="04AF7301" w14:textId="48812FD1"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2023</w:t>
            </w:r>
          </w:p>
        </w:tc>
        <w:tc>
          <w:tcPr>
            <w:tcW w:w="1867" w:type="dxa"/>
          </w:tcPr>
          <w:p w14:paraId="59DB9EF7" w14:textId="77777777"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2024</w:t>
            </w:r>
          </w:p>
        </w:tc>
        <w:tc>
          <w:tcPr>
            <w:tcW w:w="1866" w:type="dxa"/>
          </w:tcPr>
          <w:p w14:paraId="596E4D02" w14:textId="77777777"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2025</w:t>
            </w:r>
          </w:p>
        </w:tc>
        <w:tc>
          <w:tcPr>
            <w:tcW w:w="1866" w:type="dxa"/>
          </w:tcPr>
          <w:p w14:paraId="778D396A" w14:textId="77777777"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2026</w:t>
            </w:r>
          </w:p>
        </w:tc>
        <w:tc>
          <w:tcPr>
            <w:tcW w:w="1867" w:type="dxa"/>
          </w:tcPr>
          <w:p w14:paraId="7FE082BA" w14:textId="77777777"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2027</w:t>
            </w:r>
          </w:p>
        </w:tc>
      </w:tr>
      <w:tr w:rsidR="00326E29" w:rsidRPr="00B60ED2" w14:paraId="431AD392" w14:textId="77777777" w:rsidTr="00BE3F22">
        <w:tc>
          <w:tcPr>
            <w:cnfStyle w:val="001000000000" w:firstRow="0" w:lastRow="0" w:firstColumn="1" w:lastColumn="0" w:oddVBand="0" w:evenVBand="0" w:oddHBand="0" w:evenHBand="0" w:firstRowFirstColumn="0" w:firstRowLastColumn="0" w:lastRowFirstColumn="0" w:lastRowLastColumn="0"/>
            <w:tcW w:w="2972" w:type="dxa"/>
          </w:tcPr>
          <w:p w14:paraId="2EF61755" w14:textId="38CD0C60" w:rsidR="00831685" w:rsidRPr="008B4C67" w:rsidRDefault="00326E29" w:rsidP="008B4C67">
            <w:pPr>
              <w:jc w:val="both"/>
              <w:rPr>
                <w:rFonts w:ascii="Times New Roman" w:hAnsi="Times New Roman" w:cs="Times New Roman"/>
                <w:bCs w:val="0"/>
                <w:iCs/>
                <w:sz w:val="22"/>
                <w:lang w:eastAsia="lv-LV"/>
              </w:rPr>
            </w:pPr>
            <w:bookmarkStart w:id="53" w:name="_Hlk160443101"/>
            <w:r w:rsidRPr="00B60ED2">
              <w:rPr>
                <w:rFonts w:ascii="Times New Roman" w:hAnsi="Times New Roman" w:cs="Times New Roman"/>
                <w:b w:val="0"/>
                <w:iCs/>
                <w:sz w:val="22"/>
                <w:lang w:eastAsia="lv-LV"/>
              </w:rPr>
              <w:t>Jauno, atjaunoto, pārbūvēto un restaurēto objektu īpatsvars</w:t>
            </w:r>
            <w:r w:rsidR="00EF063E" w:rsidRPr="00B60ED2">
              <w:rPr>
                <w:rStyle w:val="FootnoteReference"/>
                <w:rFonts w:ascii="Times New Roman" w:hAnsi="Times New Roman" w:cs="Times New Roman"/>
                <w:b w:val="0"/>
                <w:iCs/>
                <w:sz w:val="22"/>
                <w:lang w:eastAsia="lv-LV"/>
              </w:rPr>
              <w:footnoteReference w:id="21"/>
            </w:r>
            <w:r w:rsidRPr="00B60ED2">
              <w:rPr>
                <w:rFonts w:ascii="Times New Roman" w:hAnsi="Times New Roman" w:cs="Times New Roman"/>
                <w:b w:val="0"/>
                <w:iCs/>
                <w:sz w:val="22"/>
                <w:lang w:eastAsia="lv-LV"/>
              </w:rPr>
              <w:t xml:space="preserve"> (%)</w:t>
            </w:r>
            <w:bookmarkEnd w:id="53"/>
          </w:p>
        </w:tc>
        <w:tc>
          <w:tcPr>
            <w:tcW w:w="1866" w:type="dxa"/>
            <w:gridSpan w:val="2"/>
            <w:vAlign w:val="center"/>
          </w:tcPr>
          <w:p w14:paraId="6EF90547" w14:textId="445C4A63" w:rsidR="00326E29" w:rsidRPr="00B60ED2" w:rsidRDefault="00EC2B3E" w:rsidP="00EF06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3,8</w:t>
            </w:r>
            <w:r w:rsidR="00BF103D" w:rsidRPr="00B60ED2">
              <w:rPr>
                <w:rFonts w:ascii="Times New Roman" w:hAnsi="Times New Roman" w:cs="Times New Roman"/>
                <w:iCs/>
                <w:sz w:val="22"/>
                <w:szCs w:val="22"/>
                <w:lang w:eastAsia="lv-LV"/>
              </w:rPr>
              <w:t>%</w:t>
            </w:r>
          </w:p>
        </w:tc>
        <w:tc>
          <w:tcPr>
            <w:tcW w:w="1866" w:type="dxa"/>
            <w:vAlign w:val="center"/>
          </w:tcPr>
          <w:p w14:paraId="31E9F325" w14:textId="20227835"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6,8%</w:t>
            </w:r>
            <w:r w:rsidR="008046C7">
              <w:rPr>
                <w:rFonts w:ascii="Times New Roman" w:hAnsi="Times New Roman" w:cs="Times New Roman"/>
                <w:iCs/>
                <w:sz w:val="22"/>
                <w:szCs w:val="22"/>
                <w:lang w:eastAsia="lv-LV"/>
              </w:rPr>
              <w:t>/</w:t>
            </w:r>
            <w:r w:rsidR="008F6DFA">
              <w:rPr>
                <w:rFonts w:ascii="Times New Roman" w:hAnsi="Times New Roman" w:cs="Times New Roman"/>
                <w:iCs/>
                <w:sz w:val="22"/>
                <w:szCs w:val="22"/>
                <w:lang w:eastAsia="lv-LV"/>
              </w:rPr>
              <w:t>5</w:t>
            </w:r>
            <w:r w:rsidR="006A2FC9">
              <w:rPr>
                <w:rFonts w:ascii="Times New Roman" w:hAnsi="Times New Roman" w:cs="Times New Roman"/>
                <w:iCs/>
                <w:sz w:val="22"/>
                <w:szCs w:val="22"/>
                <w:lang w:eastAsia="lv-LV"/>
              </w:rPr>
              <w:t>,9%</w:t>
            </w:r>
          </w:p>
        </w:tc>
        <w:tc>
          <w:tcPr>
            <w:tcW w:w="1867" w:type="dxa"/>
            <w:vAlign w:val="center"/>
          </w:tcPr>
          <w:p w14:paraId="77218F0E" w14:textId="69A8E021"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6,9%</w:t>
            </w:r>
          </w:p>
        </w:tc>
        <w:tc>
          <w:tcPr>
            <w:tcW w:w="1866" w:type="dxa"/>
            <w:vAlign w:val="center"/>
          </w:tcPr>
          <w:p w14:paraId="5D7A0A44" w14:textId="5E6C73C3"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6,9%</w:t>
            </w:r>
          </w:p>
        </w:tc>
        <w:tc>
          <w:tcPr>
            <w:tcW w:w="1866" w:type="dxa"/>
            <w:vAlign w:val="center"/>
          </w:tcPr>
          <w:p w14:paraId="2DE8A80C" w14:textId="64457E45"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9,9%</w:t>
            </w:r>
          </w:p>
        </w:tc>
        <w:tc>
          <w:tcPr>
            <w:tcW w:w="1867" w:type="dxa"/>
            <w:vAlign w:val="center"/>
          </w:tcPr>
          <w:p w14:paraId="5183A9ED" w14:textId="0005A732"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10,2%</w:t>
            </w:r>
          </w:p>
        </w:tc>
      </w:tr>
      <w:tr w:rsidR="00326E29" w:rsidRPr="00B60ED2" w14:paraId="23830765" w14:textId="77777777" w:rsidTr="00BE3F2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972" w:type="dxa"/>
          </w:tcPr>
          <w:p w14:paraId="77336625" w14:textId="1ED4A8EF" w:rsidR="00BE3F22" w:rsidRPr="00B60ED2" w:rsidRDefault="00326E29" w:rsidP="004B3A18">
            <w:pPr>
              <w:jc w:val="both"/>
              <w:rPr>
                <w:rFonts w:ascii="Times New Roman" w:hAnsi="Times New Roman" w:cs="Times New Roman"/>
                <w:b w:val="0"/>
                <w:iCs/>
                <w:sz w:val="22"/>
                <w:lang w:eastAsia="lv-LV"/>
              </w:rPr>
            </w:pPr>
            <w:r w:rsidRPr="00B60ED2">
              <w:rPr>
                <w:rFonts w:ascii="Times New Roman" w:hAnsi="Times New Roman" w:cs="Times New Roman"/>
                <w:b w:val="0"/>
                <w:iCs/>
                <w:sz w:val="22"/>
                <w:lang w:eastAsia="lv-LV"/>
              </w:rPr>
              <w:t>Nozarē nodarbināto, kuri ir apmierināti ar savu darba vidi un aprīkojumu, īpatsvars (%)</w:t>
            </w:r>
          </w:p>
        </w:tc>
        <w:tc>
          <w:tcPr>
            <w:tcW w:w="1866" w:type="dxa"/>
            <w:gridSpan w:val="2"/>
            <w:vAlign w:val="center"/>
          </w:tcPr>
          <w:p w14:paraId="27290F4E" w14:textId="79BDE3DA" w:rsidR="00326E29" w:rsidRPr="00B60ED2" w:rsidRDefault="00147FB5"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58,3%</w:t>
            </w:r>
          </w:p>
        </w:tc>
        <w:tc>
          <w:tcPr>
            <w:tcW w:w="1866" w:type="dxa"/>
            <w:vAlign w:val="center"/>
          </w:tcPr>
          <w:p w14:paraId="09E29F0B" w14:textId="1DAA34E9"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60%</w:t>
            </w:r>
            <w:r w:rsidR="008046C7">
              <w:rPr>
                <w:rFonts w:ascii="Times New Roman" w:hAnsi="Times New Roman" w:cs="Times New Roman"/>
                <w:iCs/>
                <w:sz w:val="22"/>
                <w:szCs w:val="22"/>
                <w:lang w:eastAsia="lv-LV"/>
              </w:rPr>
              <w:t>/55,6%</w:t>
            </w:r>
          </w:p>
        </w:tc>
        <w:tc>
          <w:tcPr>
            <w:tcW w:w="1867" w:type="dxa"/>
            <w:vAlign w:val="center"/>
          </w:tcPr>
          <w:p w14:paraId="55FC1760" w14:textId="282B79B0"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62%</w:t>
            </w:r>
          </w:p>
        </w:tc>
        <w:tc>
          <w:tcPr>
            <w:tcW w:w="1866" w:type="dxa"/>
            <w:vAlign w:val="center"/>
          </w:tcPr>
          <w:p w14:paraId="4319A86C" w14:textId="7CC14FDE"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64%</w:t>
            </w:r>
          </w:p>
        </w:tc>
        <w:tc>
          <w:tcPr>
            <w:tcW w:w="1866" w:type="dxa"/>
            <w:vAlign w:val="center"/>
          </w:tcPr>
          <w:p w14:paraId="4A5F1C50" w14:textId="21D33A24"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66%</w:t>
            </w:r>
          </w:p>
        </w:tc>
        <w:tc>
          <w:tcPr>
            <w:tcW w:w="1867" w:type="dxa"/>
            <w:vAlign w:val="center"/>
          </w:tcPr>
          <w:p w14:paraId="3DCE042D" w14:textId="16088DF4"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68%</w:t>
            </w:r>
          </w:p>
        </w:tc>
      </w:tr>
      <w:tr w:rsidR="00326E29" w:rsidRPr="00B60ED2" w14:paraId="1951C717" w14:textId="77777777" w:rsidTr="00BE3F22">
        <w:trPr>
          <w:trHeight w:val="663"/>
        </w:trPr>
        <w:tc>
          <w:tcPr>
            <w:cnfStyle w:val="001000000000" w:firstRow="0" w:lastRow="0" w:firstColumn="1" w:lastColumn="0" w:oddVBand="0" w:evenVBand="0" w:oddHBand="0" w:evenHBand="0" w:firstRowFirstColumn="0" w:firstRowLastColumn="0" w:lastRowFirstColumn="0" w:lastRowLastColumn="0"/>
            <w:tcW w:w="2972" w:type="dxa"/>
          </w:tcPr>
          <w:p w14:paraId="569A587D" w14:textId="2440A641" w:rsidR="00BE3F22" w:rsidRPr="00B60ED2" w:rsidRDefault="00326E29" w:rsidP="004B3A18">
            <w:pPr>
              <w:jc w:val="both"/>
              <w:rPr>
                <w:rFonts w:ascii="Times New Roman" w:hAnsi="Times New Roman" w:cs="Times New Roman"/>
                <w:b w:val="0"/>
                <w:iCs/>
                <w:sz w:val="22"/>
                <w:lang w:eastAsia="lv-LV"/>
              </w:rPr>
            </w:pPr>
            <w:r w:rsidRPr="00B60ED2">
              <w:rPr>
                <w:rFonts w:ascii="Times New Roman" w:hAnsi="Times New Roman" w:cs="Times New Roman"/>
                <w:b w:val="0"/>
                <w:iCs/>
                <w:sz w:val="22"/>
                <w:lang w:eastAsia="lv-LV"/>
              </w:rPr>
              <w:t>Vidējais ilgums līdz apsaimniekošanā esošo objektu pieteikto defektu novēršanai (dienas)</w:t>
            </w:r>
          </w:p>
        </w:tc>
        <w:tc>
          <w:tcPr>
            <w:tcW w:w="1866" w:type="dxa"/>
            <w:gridSpan w:val="2"/>
            <w:vAlign w:val="center"/>
          </w:tcPr>
          <w:p w14:paraId="53098FB9" w14:textId="32C7FA0A" w:rsidR="00326E29" w:rsidRPr="00B60ED2" w:rsidRDefault="00326E29" w:rsidP="00326E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11</w:t>
            </w:r>
          </w:p>
        </w:tc>
        <w:tc>
          <w:tcPr>
            <w:tcW w:w="1866" w:type="dxa"/>
            <w:vAlign w:val="center"/>
          </w:tcPr>
          <w:p w14:paraId="7A41A586" w14:textId="78569E1C" w:rsidR="00326E29" w:rsidRPr="00B60ED2" w:rsidRDefault="00E2421F"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10</w:t>
            </w:r>
            <w:r w:rsidR="008046C7">
              <w:rPr>
                <w:rFonts w:ascii="Times New Roman" w:hAnsi="Times New Roman" w:cs="Times New Roman"/>
                <w:iCs/>
                <w:sz w:val="22"/>
                <w:szCs w:val="22"/>
                <w:lang w:eastAsia="lv-LV"/>
              </w:rPr>
              <w:t>/10,1</w:t>
            </w:r>
          </w:p>
        </w:tc>
        <w:tc>
          <w:tcPr>
            <w:tcW w:w="1867" w:type="dxa"/>
            <w:vAlign w:val="center"/>
          </w:tcPr>
          <w:p w14:paraId="4377F805" w14:textId="1232DA16" w:rsidR="00326E29" w:rsidRPr="00B60ED2" w:rsidRDefault="00E2421F"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9</w:t>
            </w:r>
          </w:p>
        </w:tc>
        <w:tc>
          <w:tcPr>
            <w:tcW w:w="1866" w:type="dxa"/>
            <w:vAlign w:val="center"/>
          </w:tcPr>
          <w:p w14:paraId="6C72B8D9" w14:textId="494E2F47" w:rsidR="00326E29" w:rsidRPr="00B60ED2" w:rsidRDefault="000D230E"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w:t>
            </w:r>
          </w:p>
        </w:tc>
        <w:tc>
          <w:tcPr>
            <w:tcW w:w="1866" w:type="dxa"/>
            <w:vAlign w:val="center"/>
          </w:tcPr>
          <w:p w14:paraId="082A3F4B" w14:textId="5102AF92" w:rsidR="00326E29" w:rsidRPr="00B60ED2" w:rsidRDefault="000D230E"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7</w:t>
            </w:r>
          </w:p>
        </w:tc>
        <w:tc>
          <w:tcPr>
            <w:tcW w:w="1867" w:type="dxa"/>
            <w:vAlign w:val="center"/>
          </w:tcPr>
          <w:p w14:paraId="57CAC76F" w14:textId="6C5A5189" w:rsidR="00326E29" w:rsidRPr="00B60ED2" w:rsidRDefault="000D230E"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w:t>
            </w:r>
          </w:p>
        </w:tc>
      </w:tr>
      <w:tr w:rsidR="00AD7F72" w:rsidRPr="00B60ED2" w14:paraId="6DEE158E" w14:textId="77777777" w:rsidTr="00BE3F2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4170" w:type="dxa"/>
            <w:gridSpan w:val="8"/>
            <w:vAlign w:val="center"/>
          </w:tcPr>
          <w:p w14:paraId="74BF6762" w14:textId="30DB9688" w:rsidR="00AD7F72" w:rsidRPr="00B60ED2" w:rsidRDefault="00AD7F72" w:rsidP="00AD7F72">
            <w:pPr>
              <w:rPr>
                <w:rFonts w:ascii="Times New Roman" w:hAnsi="Times New Roman" w:cs="Times New Roman"/>
                <w:iCs/>
                <w:sz w:val="24"/>
                <w:lang w:eastAsia="lv-LV"/>
              </w:rPr>
            </w:pPr>
            <w:r w:rsidRPr="00B60ED2">
              <w:rPr>
                <w:rFonts w:ascii="Times New Roman" w:hAnsi="Times New Roman" w:cs="Times New Roman"/>
                <w:b w:val="0"/>
                <w:iCs/>
                <w:sz w:val="24"/>
                <w:lang w:eastAsia="lv-LV"/>
              </w:rPr>
              <w:t>Iesaistītās iestādes: Iekšlietu ministrija un tās padotībā esošās iestādes</w:t>
            </w:r>
          </w:p>
        </w:tc>
      </w:tr>
    </w:tbl>
    <w:p w14:paraId="7D294DA8" w14:textId="587C60CE" w:rsidR="004B3A18" w:rsidRPr="00B60ED2" w:rsidRDefault="004B3A18"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p>
    <w:p w14:paraId="4588A20B" w14:textId="25B8BEC2"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54" w:name="_Hlk176344990"/>
      <w:bookmarkStart w:id="55" w:name="_Hlk168580403"/>
      <w:r w:rsidRPr="00B60ED2">
        <w:rPr>
          <w:rFonts w:ascii="Times New Roman" w:eastAsia="+mn-ea" w:hAnsi="Times New Roman" w:cs="Times New Roman"/>
          <w:b/>
          <w:bCs/>
          <w:color w:val="767171" w:themeColor="background2" w:themeShade="80"/>
          <w:kern w:val="24"/>
          <w:sz w:val="28"/>
          <w:szCs w:val="28"/>
          <w:lang w:eastAsia="lv-LV"/>
        </w:rPr>
        <w:t xml:space="preserve">Rīcības virziens: </w:t>
      </w:r>
      <w:bookmarkStart w:id="56" w:name="_Hlk169531749"/>
      <w:bookmarkStart w:id="57" w:name="_Hlk174007317"/>
      <w:r w:rsidRPr="00B60ED2">
        <w:rPr>
          <w:rFonts w:ascii="Times New Roman" w:eastAsia="+mn-ea" w:hAnsi="Times New Roman" w:cs="Times New Roman"/>
          <w:b/>
          <w:bCs/>
          <w:color w:val="767171" w:themeColor="background2" w:themeShade="80"/>
          <w:kern w:val="24"/>
          <w:sz w:val="28"/>
          <w:szCs w:val="28"/>
          <w:lang w:eastAsia="lv-LV"/>
        </w:rPr>
        <w:t>Efektīvas un funkcionāli lietderīgas valsts nekustamo īpašumu pārvaldības nodrošināšana</w:t>
      </w:r>
      <w:bookmarkEnd w:id="56"/>
      <w:r w:rsidRPr="00B60ED2">
        <w:rPr>
          <w:rFonts w:ascii="Times New Roman" w:eastAsia="+mn-ea" w:hAnsi="Times New Roman" w:cs="Times New Roman"/>
          <w:b/>
          <w:bCs/>
          <w:color w:val="767171" w:themeColor="background2" w:themeShade="80"/>
          <w:kern w:val="24"/>
          <w:sz w:val="28"/>
          <w:szCs w:val="28"/>
          <w:lang w:eastAsia="lv-LV"/>
        </w:rPr>
        <w:t>.</w:t>
      </w:r>
      <w:bookmarkEnd w:id="57"/>
    </w:p>
    <w:bookmarkEnd w:id="54"/>
    <w:p w14:paraId="25BD56FD" w14:textId="1C47D391"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3F12651E" w14:textId="3E06C854" w:rsidR="004B6776" w:rsidRPr="007205C4" w:rsidRDefault="005441ED" w:rsidP="007205C4">
      <w:pPr>
        <w:pStyle w:val="ListParagraph"/>
        <w:numPr>
          <w:ilvl w:val="0"/>
          <w:numId w:val="28"/>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Īstenot z</w:t>
      </w:r>
      <w:r w:rsidR="0022495A" w:rsidRPr="0022495A">
        <w:rPr>
          <w:rFonts w:ascii="Times New Roman" w:hAnsi="Times New Roman" w:cs="Times New Roman"/>
          <w:sz w:val="24"/>
          <w:szCs w:val="24"/>
          <w:lang w:eastAsia="lv-LV"/>
        </w:rPr>
        <w:t>aļ</w:t>
      </w:r>
      <w:r>
        <w:rPr>
          <w:rFonts w:ascii="Times New Roman" w:hAnsi="Times New Roman" w:cs="Times New Roman"/>
          <w:sz w:val="24"/>
          <w:szCs w:val="24"/>
          <w:lang w:eastAsia="lv-LV"/>
        </w:rPr>
        <w:t>u</w:t>
      </w:r>
      <w:r w:rsidR="0022495A" w:rsidRPr="0022495A">
        <w:rPr>
          <w:rFonts w:ascii="Times New Roman" w:hAnsi="Times New Roman" w:cs="Times New Roman"/>
          <w:sz w:val="24"/>
          <w:szCs w:val="24"/>
          <w:lang w:eastAsia="lv-LV"/>
        </w:rPr>
        <w:t xml:space="preserve"> un ilgtspējīg</w:t>
      </w:r>
      <w:r>
        <w:rPr>
          <w:rFonts w:ascii="Times New Roman" w:hAnsi="Times New Roman" w:cs="Times New Roman"/>
          <w:sz w:val="24"/>
          <w:szCs w:val="24"/>
          <w:lang w:eastAsia="lv-LV"/>
        </w:rPr>
        <w:t>u</w:t>
      </w:r>
      <w:r w:rsidR="0022495A" w:rsidRPr="0022495A">
        <w:rPr>
          <w:rFonts w:ascii="Times New Roman" w:hAnsi="Times New Roman" w:cs="Times New Roman"/>
          <w:sz w:val="24"/>
          <w:szCs w:val="24"/>
          <w:lang w:eastAsia="lv-LV"/>
        </w:rPr>
        <w:t xml:space="preserve"> ēku būvniecīb</w:t>
      </w:r>
      <w:r>
        <w:rPr>
          <w:rFonts w:ascii="Times New Roman" w:hAnsi="Times New Roman" w:cs="Times New Roman"/>
          <w:sz w:val="24"/>
          <w:szCs w:val="24"/>
          <w:lang w:eastAsia="lv-LV"/>
        </w:rPr>
        <w:t>u</w:t>
      </w:r>
      <w:r w:rsidR="0022495A" w:rsidRPr="0022495A">
        <w:rPr>
          <w:rFonts w:ascii="Times New Roman" w:hAnsi="Times New Roman" w:cs="Times New Roman"/>
          <w:sz w:val="24"/>
          <w:szCs w:val="24"/>
          <w:lang w:eastAsia="lv-LV"/>
        </w:rPr>
        <w:t>, nodrošinot efektīvu resursu izmantošanu un vides aizsardzību, kā arī efektīva esošo objektu pārvaldība un attīstība.</w:t>
      </w:r>
      <w:r w:rsidR="0022495A">
        <w:rPr>
          <w:rFonts w:ascii="Times New Roman" w:hAnsi="Times New Roman" w:cs="Times New Roman"/>
          <w:sz w:val="24"/>
          <w:szCs w:val="24"/>
          <w:lang w:eastAsia="lv-LV"/>
        </w:rPr>
        <w:t xml:space="preserve"> (</w:t>
      </w:r>
      <w:r w:rsidR="0022495A" w:rsidRPr="007205C4">
        <w:rPr>
          <w:rFonts w:ascii="Times New Roman" w:hAnsi="Times New Roman" w:cs="Times New Roman"/>
          <w:b/>
          <w:sz w:val="24"/>
          <w:szCs w:val="24"/>
          <w:lang w:eastAsia="lv-LV"/>
        </w:rPr>
        <w:t>NVA</w:t>
      </w:r>
      <w:r w:rsidR="0022495A">
        <w:rPr>
          <w:rFonts w:ascii="Times New Roman" w:hAnsi="Times New Roman" w:cs="Times New Roman"/>
          <w:sz w:val="24"/>
          <w:szCs w:val="24"/>
          <w:lang w:eastAsia="lv-LV"/>
        </w:rPr>
        <w:t>, IeM)</w:t>
      </w:r>
      <w:bookmarkStart w:id="58" w:name="_Hlk168580517"/>
      <w:bookmarkEnd w:id="55"/>
    </w:p>
    <w:p w14:paraId="706BD206" w14:textId="78532808" w:rsidR="007205C4" w:rsidRDefault="0022495A" w:rsidP="00AE2AF4">
      <w:pPr>
        <w:pStyle w:val="ListParagraph"/>
        <w:numPr>
          <w:ilvl w:val="0"/>
          <w:numId w:val="28"/>
        </w:numPr>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Pilnveidot Ie</w:t>
      </w:r>
      <w:r w:rsidR="007205C4">
        <w:rPr>
          <w:rFonts w:ascii="Times New Roman" w:hAnsi="Times New Roman" w:cs="Times New Roman"/>
          <w:sz w:val="24"/>
          <w:szCs w:val="24"/>
          <w:lang w:eastAsia="lv-LV"/>
        </w:rPr>
        <w:t>kšlietu ministrijas</w:t>
      </w:r>
      <w:r w:rsidRPr="0022495A">
        <w:rPr>
          <w:rFonts w:ascii="Times New Roman" w:hAnsi="Times New Roman" w:cs="Times New Roman"/>
          <w:sz w:val="24"/>
          <w:szCs w:val="24"/>
          <w:lang w:eastAsia="lv-LV"/>
        </w:rPr>
        <w:t xml:space="preserve"> nekustamo īpašumu portfeļa pārvaldību, kā ietvaros uzlabot nekustamo īpašumu apsaimniekošanas darbību plānošanas, īstenošanas</w:t>
      </w:r>
      <w:r w:rsidR="005441ED">
        <w:rPr>
          <w:rFonts w:ascii="Times New Roman" w:hAnsi="Times New Roman" w:cs="Times New Roman"/>
          <w:sz w:val="24"/>
          <w:szCs w:val="24"/>
          <w:lang w:eastAsia="lv-LV"/>
        </w:rPr>
        <w:t>,</w:t>
      </w:r>
      <w:r w:rsidRPr="0022495A">
        <w:rPr>
          <w:rFonts w:ascii="Times New Roman" w:hAnsi="Times New Roman" w:cs="Times New Roman"/>
          <w:sz w:val="24"/>
          <w:szCs w:val="24"/>
          <w:lang w:eastAsia="lv-LV"/>
        </w:rPr>
        <w:t xml:space="preserve"> tajā skaitā</w:t>
      </w:r>
      <w:r w:rsidR="005441ED">
        <w:rPr>
          <w:rFonts w:ascii="Times New Roman" w:hAnsi="Times New Roman" w:cs="Times New Roman"/>
          <w:sz w:val="24"/>
          <w:szCs w:val="24"/>
          <w:lang w:eastAsia="lv-LV"/>
        </w:rPr>
        <w:t>,</w:t>
      </w:r>
      <w:r w:rsidRPr="0022495A">
        <w:rPr>
          <w:rFonts w:ascii="Times New Roman" w:hAnsi="Times New Roman" w:cs="Times New Roman"/>
          <w:sz w:val="24"/>
          <w:szCs w:val="24"/>
          <w:lang w:eastAsia="lv-LV"/>
        </w:rPr>
        <w:t xml:space="preserve"> defektu identificēšanas un novēršanas procesus.</w:t>
      </w:r>
      <w:r>
        <w:rPr>
          <w:rFonts w:ascii="Times New Roman" w:hAnsi="Times New Roman" w:cs="Times New Roman"/>
          <w:sz w:val="24"/>
          <w:szCs w:val="24"/>
          <w:lang w:eastAsia="lv-LV"/>
        </w:rPr>
        <w:t xml:space="preserve"> (</w:t>
      </w:r>
      <w:r w:rsidRPr="007205C4">
        <w:rPr>
          <w:rFonts w:ascii="Times New Roman" w:hAnsi="Times New Roman" w:cs="Times New Roman"/>
          <w:b/>
          <w:sz w:val="24"/>
          <w:szCs w:val="24"/>
          <w:lang w:eastAsia="lv-LV"/>
        </w:rPr>
        <w:t>NVA</w:t>
      </w:r>
      <w:r>
        <w:rPr>
          <w:rFonts w:ascii="Times New Roman" w:hAnsi="Times New Roman" w:cs="Times New Roman"/>
          <w:sz w:val="24"/>
          <w:szCs w:val="24"/>
          <w:lang w:eastAsia="lv-LV"/>
        </w:rPr>
        <w:t>, IeM)</w:t>
      </w:r>
      <w:bookmarkStart w:id="59" w:name="_Hlk167868781"/>
    </w:p>
    <w:p w14:paraId="521C6C60" w14:textId="120F4F8F" w:rsidR="00F14632" w:rsidRPr="00B60ED2" w:rsidRDefault="00F14632" w:rsidP="00AE2AF4">
      <w:pPr>
        <w:pStyle w:val="ListParagraph"/>
        <w:numPr>
          <w:ilvl w:val="0"/>
          <w:numId w:val="28"/>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Samazināt kopējo Iekšlietu ministrijas valdījumā un nomā</w:t>
      </w:r>
      <w:r w:rsidR="006875A0" w:rsidRPr="00B60ED2">
        <w:rPr>
          <w:rFonts w:ascii="Times New Roman" w:hAnsi="Times New Roman" w:cs="Times New Roman"/>
          <w:sz w:val="24"/>
          <w:szCs w:val="24"/>
          <w:lang w:eastAsia="lv-LV"/>
        </w:rPr>
        <w:t xml:space="preserve"> esošo nekustamo īpašumu skaitu, veicinot visu iekšlietu sistēmas dienestu izvietošanu vienuviet un</w:t>
      </w:r>
      <w:r w:rsidRPr="00B60ED2">
        <w:rPr>
          <w:rFonts w:ascii="Times New Roman" w:hAnsi="Times New Roman" w:cs="Times New Roman"/>
          <w:sz w:val="24"/>
          <w:szCs w:val="24"/>
          <w:lang w:eastAsia="lv-LV"/>
        </w:rPr>
        <w:t xml:space="preserve"> atsavinot nekustamos īpašumus, kas nav nepieciešami iekšlietu iestāžu darbības nodrošināšanai</w:t>
      </w:r>
      <w:r w:rsidR="006875A0"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w:t>
      </w:r>
      <w:r w:rsidR="0069617D" w:rsidRPr="00B60ED2">
        <w:rPr>
          <w:rFonts w:ascii="Times New Roman" w:hAnsi="Times New Roman" w:cs="Times New Roman"/>
          <w:b/>
          <w:sz w:val="24"/>
          <w:szCs w:val="24"/>
          <w:lang w:eastAsia="lv-LV"/>
        </w:rPr>
        <w:t xml:space="preserve">IeM, </w:t>
      </w:r>
      <w:r w:rsidR="0069617D" w:rsidRPr="00B60ED2">
        <w:rPr>
          <w:rFonts w:ascii="Times New Roman" w:hAnsi="Times New Roman" w:cs="Times New Roman"/>
          <w:sz w:val="24"/>
          <w:szCs w:val="24"/>
          <w:lang w:eastAsia="lv-LV"/>
        </w:rPr>
        <w:t>NVA, VP, VUGD, VRS, PMLP, IDB, IeM IC, IeM VSC</w:t>
      </w:r>
      <w:r w:rsidRPr="00B60ED2">
        <w:rPr>
          <w:rFonts w:ascii="Times New Roman" w:hAnsi="Times New Roman" w:cs="Times New Roman"/>
          <w:sz w:val="24"/>
          <w:szCs w:val="24"/>
          <w:lang w:eastAsia="lv-LV"/>
        </w:rPr>
        <w:t>)</w:t>
      </w:r>
      <w:r w:rsidR="00AE2AF4" w:rsidRPr="00B60ED2">
        <w:rPr>
          <w:rFonts w:ascii="Times New Roman" w:hAnsi="Times New Roman" w:cs="Times New Roman"/>
          <w:sz w:val="24"/>
          <w:szCs w:val="24"/>
          <w:lang w:eastAsia="lv-LV"/>
        </w:rPr>
        <w:t xml:space="preserve"> </w:t>
      </w:r>
    </w:p>
    <w:p w14:paraId="2D39F82B" w14:textId="254014E9" w:rsidR="00722FF8" w:rsidRDefault="008B4C67" w:rsidP="00165ADA">
      <w:pPr>
        <w:pStyle w:val="ListParagraph"/>
        <w:numPr>
          <w:ilvl w:val="0"/>
          <w:numId w:val="28"/>
        </w:numPr>
        <w:spacing w:line="240" w:lineRule="auto"/>
        <w:jc w:val="both"/>
        <w:rPr>
          <w:rFonts w:ascii="Times New Roman" w:hAnsi="Times New Roman" w:cs="Times New Roman"/>
          <w:sz w:val="24"/>
          <w:szCs w:val="24"/>
          <w:lang w:eastAsia="lv-LV"/>
        </w:rPr>
      </w:pPr>
      <w:bookmarkStart w:id="60" w:name="_Hlk176427066"/>
      <w:r w:rsidRPr="008B4C67">
        <w:rPr>
          <w:rFonts w:ascii="Times New Roman" w:hAnsi="Times New Roman" w:cs="Times New Roman"/>
          <w:sz w:val="24"/>
          <w:szCs w:val="24"/>
          <w:lang w:eastAsia="lv-LV"/>
        </w:rPr>
        <w:t>Veikt Iekšlietu ministrijas nekustamo īpašumu portfeļa pārskatīšanu</w:t>
      </w:r>
      <w:r>
        <w:rPr>
          <w:rFonts w:ascii="Times New Roman" w:hAnsi="Times New Roman" w:cs="Times New Roman"/>
          <w:sz w:val="24"/>
          <w:szCs w:val="24"/>
          <w:lang w:eastAsia="lv-LV"/>
        </w:rPr>
        <w:t>. (</w:t>
      </w:r>
      <w:r w:rsidRPr="004B6776">
        <w:rPr>
          <w:rFonts w:ascii="Times New Roman" w:hAnsi="Times New Roman" w:cs="Times New Roman"/>
          <w:b/>
          <w:sz w:val="24"/>
          <w:szCs w:val="24"/>
          <w:lang w:eastAsia="lv-LV"/>
        </w:rPr>
        <w:t>IeM</w:t>
      </w:r>
      <w:r>
        <w:rPr>
          <w:rFonts w:ascii="Times New Roman" w:hAnsi="Times New Roman" w:cs="Times New Roman"/>
          <w:sz w:val="24"/>
          <w:szCs w:val="24"/>
          <w:lang w:eastAsia="lv-LV"/>
        </w:rPr>
        <w:t>, NVA)</w:t>
      </w:r>
    </w:p>
    <w:p w14:paraId="266EF2AE" w14:textId="77777777" w:rsidR="007205C4" w:rsidRPr="00B60ED2" w:rsidRDefault="007205C4" w:rsidP="007205C4">
      <w:pPr>
        <w:pStyle w:val="ListParagraph"/>
        <w:spacing w:line="240" w:lineRule="auto"/>
        <w:jc w:val="both"/>
        <w:rPr>
          <w:rFonts w:ascii="Times New Roman" w:hAnsi="Times New Roman" w:cs="Times New Roman"/>
          <w:sz w:val="24"/>
          <w:szCs w:val="24"/>
          <w:lang w:eastAsia="lv-LV"/>
        </w:rPr>
      </w:pPr>
    </w:p>
    <w:bookmarkEnd w:id="58"/>
    <w:bookmarkEnd w:id="59"/>
    <w:bookmarkEnd w:id="60"/>
    <w:p w14:paraId="702DC391"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Iestāžu nodrošināšana ar darbam atbilstošām telpām.</w:t>
      </w:r>
    </w:p>
    <w:p w14:paraId="26B4787B" w14:textId="3B0BD165"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747EC240" w14:textId="7FEC48B1" w:rsidR="00165ADA" w:rsidRPr="00B60ED2" w:rsidRDefault="00E4003C" w:rsidP="00E4003C">
      <w:pPr>
        <w:pStyle w:val="ListParagraph"/>
        <w:numPr>
          <w:ilvl w:val="0"/>
          <w:numId w:val="2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lastRenderedPageBreak/>
        <w:t>Pabeigt tipveida skiču projektu izstrādi un pielietot izstrādātos skiču projektus nozares būvniecības ieceru īstenošanā.</w:t>
      </w:r>
      <w:r w:rsidR="00165ADA" w:rsidRPr="00B60ED2">
        <w:rPr>
          <w:rFonts w:ascii="Times New Roman" w:hAnsi="Times New Roman" w:cs="Times New Roman"/>
          <w:sz w:val="24"/>
          <w:szCs w:val="24"/>
          <w:lang w:eastAsia="lv-LV"/>
        </w:rPr>
        <w:t xml:space="preserve"> (</w:t>
      </w:r>
      <w:r w:rsidR="00165ADA" w:rsidRPr="00B60ED2">
        <w:rPr>
          <w:rFonts w:ascii="Times New Roman" w:hAnsi="Times New Roman" w:cs="Times New Roman"/>
          <w:b/>
          <w:sz w:val="24"/>
          <w:szCs w:val="24"/>
          <w:lang w:eastAsia="lv-LV"/>
        </w:rPr>
        <w:t>NVA</w:t>
      </w:r>
      <w:r w:rsidR="00165ADA" w:rsidRPr="00B60ED2">
        <w:rPr>
          <w:rFonts w:ascii="Times New Roman" w:hAnsi="Times New Roman" w:cs="Times New Roman"/>
          <w:sz w:val="24"/>
          <w:szCs w:val="24"/>
          <w:lang w:eastAsia="lv-LV"/>
        </w:rPr>
        <w:t xml:space="preserve">, VUGD, VP, </w:t>
      </w:r>
      <w:r w:rsidR="00EA1E2E">
        <w:rPr>
          <w:rFonts w:ascii="Times New Roman" w:hAnsi="Times New Roman" w:cs="Times New Roman"/>
          <w:sz w:val="24"/>
          <w:szCs w:val="24"/>
          <w:lang w:eastAsia="lv-LV"/>
        </w:rPr>
        <w:t xml:space="preserve"> </w:t>
      </w:r>
      <w:r w:rsidR="00165ADA" w:rsidRPr="00B60ED2">
        <w:rPr>
          <w:rFonts w:ascii="Times New Roman" w:hAnsi="Times New Roman" w:cs="Times New Roman"/>
          <w:sz w:val="24"/>
          <w:szCs w:val="24"/>
          <w:lang w:eastAsia="lv-LV"/>
        </w:rPr>
        <w:t>IeM)</w:t>
      </w:r>
    </w:p>
    <w:p w14:paraId="3DEEFA9A" w14:textId="5F0A2F5C" w:rsidR="00165ADA" w:rsidRPr="00B60ED2" w:rsidRDefault="00165ADA" w:rsidP="007312FB">
      <w:pPr>
        <w:pStyle w:val="ListParagraph"/>
        <w:numPr>
          <w:ilvl w:val="0"/>
          <w:numId w:val="2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Uzbūvēt jaunus katastrofu pārvaldības centrus</w:t>
      </w:r>
      <w:r w:rsidR="00217A2C" w:rsidRPr="00B60ED2">
        <w:rPr>
          <w:rFonts w:ascii="Times New Roman" w:hAnsi="Times New Roman" w:cs="Times New Roman"/>
          <w:sz w:val="24"/>
          <w:szCs w:val="24"/>
          <w:lang w:eastAsia="lv-LV"/>
        </w:rPr>
        <w:t xml:space="preserve"> gan valsts budžeta, gan</w:t>
      </w:r>
      <w:r w:rsidR="00810302" w:rsidRPr="00B60ED2">
        <w:rPr>
          <w:rFonts w:ascii="Times New Roman" w:hAnsi="Times New Roman" w:cs="Times New Roman"/>
          <w:sz w:val="24"/>
          <w:szCs w:val="24"/>
          <w:lang w:eastAsia="lv-LV"/>
        </w:rPr>
        <w:t xml:space="preserve"> Eiropas Savienības</w:t>
      </w:r>
      <w:r w:rsidRPr="00B60ED2">
        <w:rPr>
          <w:rFonts w:ascii="Times New Roman" w:hAnsi="Times New Roman" w:cs="Times New Roman"/>
          <w:sz w:val="24"/>
          <w:szCs w:val="24"/>
          <w:lang w:eastAsia="lv-LV"/>
        </w:rPr>
        <w:t xml:space="preserve"> Atveseļošanās un noturības mehānisma </w:t>
      </w:r>
      <w:r w:rsidR="00810302" w:rsidRPr="00B60ED2">
        <w:rPr>
          <w:rFonts w:ascii="Times New Roman" w:hAnsi="Times New Roman" w:cs="Times New Roman"/>
          <w:sz w:val="24"/>
          <w:szCs w:val="24"/>
          <w:lang w:eastAsia="lv-LV"/>
        </w:rPr>
        <w:t xml:space="preserve">plāna </w:t>
      </w:r>
      <w:r w:rsidRPr="00B60ED2">
        <w:rPr>
          <w:rFonts w:ascii="Times New Roman" w:hAnsi="Times New Roman" w:cs="Times New Roman"/>
          <w:sz w:val="24"/>
          <w:szCs w:val="24"/>
          <w:lang w:eastAsia="lv-LV"/>
        </w:rPr>
        <w:t>ietvaros. (</w:t>
      </w:r>
      <w:r w:rsidRPr="00B60ED2">
        <w:rPr>
          <w:rFonts w:ascii="Times New Roman" w:hAnsi="Times New Roman" w:cs="Times New Roman"/>
          <w:b/>
          <w:sz w:val="24"/>
          <w:szCs w:val="24"/>
          <w:lang w:eastAsia="lv-LV"/>
        </w:rPr>
        <w:t>NVA</w:t>
      </w:r>
      <w:r w:rsidRPr="00B60ED2">
        <w:rPr>
          <w:rFonts w:ascii="Times New Roman" w:hAnsi="Times New Roman" w:cs="Times New Roman"/>
          <w:sz w:val="24"/>
          <w:szCs w:val="24"/>
          <w:lang w:eastAsia="lv-LV"/>
        </w:rPr>
        <w:t>, IeM, VUGD, VP, VRS, PMLP, IeM IC, IeM VSC)</w:t>
      </w:r>
    </w:p>
    <w:p w14:paraId="2E952596" w14:textId="6060C40A" w:rsidR="00810302" w:rsidRPr="00B60ED2" w:rsidRDefault="00810302" w:rsidP="00810302">
      <w:pPr>
        <w:pStyle w:val="ListParagraph"/>
        <w:numPr>
          <w:ilvl w:val="0"/>
          <w:numId w:val="29"/>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Uzbūvēt 8 jaunus ugunsdzēsības </w:t>
      </w:r>
      <w:r w:rsidR="00B00779" w:rsidRPr="00B60ED2">
        <w:rPr>
          <w:rFonts w:ascii="Times New Roman" w:hAnsi="Times New Roman" w:cs="Times New Roman"/>
          <w:sz w:val="24"/>
          <w:szCs w:val="24"/>
          <w:lang w:eastAsia="lv-LV"/>
        </w:rPr>
        <w:t>depo ar papildu telpām Iekšlietu ministrijas padotībā esošajām</w:t>
      </w:r>
      <w:r w:rsidRPr="00B60ED2">
        <w:rPr>
          <w:rFonts w:ascii="Times New Roman" w:hAnsi="Times New Roman" w:cs="Times New Roman"/>
          <w:sz w:val="24"/>
          <w:szCs w:val="24"/>
          <w:lang w:eastAsia="lv-LV"/>
        </w:rPr>
        <w:t xml:space="preserve"> iestādēm un Neatliekamās medicīniskās palīdzības dienestam augstas gatavības projektu ietvaros, kas finansēti no valsts budžeta. (</w:t>
      </w:r>
      <w:r w:rsidRPr="00B60ED2">
        <w:rPr>
          <w:rFonts w:ascii="Times New Roman" w:hAnsi="Times New Roman" w:cs="Times New Roman"/>
          <w:b/>
          <w:sz w:val="24"/>
          <w:szCs w:val="24"/>
          <w:lang w:eastAsia="lv-LV"/>
        </w:rPr>
        <w:t>NVA</w:t>
      </w:r>
      <w:r w:rsidRPr="00B60ED2">
        <w:rPr>
          <w:rFonts w:ascii="Times New Roman" w:hAnsi="Times New Roman" w:cs="Times New Roman"/>
          <w:sz w:val="24"/>
          <w:szCs w:val="24"/>
          <w:lang w:eastAsia="lv-LV"/>
        </w:rPr>
        <w:t>, VUGD, VP, IeM)</w:t>
      </w:r>
    </w:p>
    <w:p w14:paraId="7B4DA6DF" w14:textId="7B7BCFA3" w:rsidR="00015031" w:rsidRPr="000039C3" w:rsidRDefault="00015031" w:rsidP="00015031">
      <w:pPr>
        <w:pStyle w:val="ListParagraph"/>
        <w:numPr>
          <w:ilvl w:val="0"/>
          <w:numId w:val="29"/>
        </w:numPr>
        <w:spacing w:line="240" w:lineRule="auto"/>
        <w:jc w:val="both"/>
        <w:rPr>
          <w:rFonts w:ascii="Times New Roman" w:hAnsi="Times New Roman" w:cs="Times New Roman"/>
          <w:sz w:val="24"/>
          <w:szCs w:val="24"/>
          <w:lang w:eastAsia="lv-LV"/>
        </w:rPr>
      </w:pPr>
      <w:r w:rsidRPr="000039C3">
        <w:rPr>
          <w:rFonts w:ascii="Times New Roman" w:hAnsi="Times New Roman" w:cs="Times New Roman"/>
          <w:sz w:val="24"/>
          <w:szCs w:val="24"/>
          <w:lang w:eastAsia="lv-LV"/>
        </w:rPr>
        <w:t xml:space="preserve">Uzbūvēt </w:t>
      </w:r>
      <w:r w:rsidRPr="000039C3">
        <w:rPr>
          <w:rFonts w:ascii="Times New Roman" w:hAnsi="Times New Roman" w:cs="Times New Roman"/>
          <w:sz w:val="24"/>
          <w:szCs w:val="24"/>
        </w:rPr>
        <w:t>iekšlietu nozarei kopīgas</w:t>
      </w:r>
      <w:r w:rsidR="00F561E6" w:rsidRPr="000039C3">
        <w:rPr>
          <w:rFonts w:ascii="Times New Roman" w:hAnsi="Times New Roman" w:cs="Times New Roman"/>
          <w:sz w:val="24"/>
          <w:szCs w:val="24"/>
        </w:rPr>
        <w:t xml:space="preserve"> lietisko pierādījumu,</w:t>
      </w:r>
      <w:r w:rsidRPr="000039C3">
        <w:rPr>
          <w:rFonts w:ascii="Times New Roman" w:hAnsi="Times New Roman" w:cs="Times New Roman"/>
          <w:sz w:val="24"/>
          <w:szCs w:val="24"/>
        </w:rPr>
        <w:t xml:space="preserve"> valsts materiālo rezervju un ikdienas resursu noliktavas (Vienotais iekšlietu loģistikas centrs) katastrofu pārvaldības un civilās aizsardzības nodrošināšanai</w:t>
      </w:r>
      <w:r w:rsidRPr="000039C3">
        <w:rPr>
          <w:rFonts w:ascii="Times New Roman" w:hAnsi="Times New Roman" w:cs="Times New Roman"/>
          <w:sz w:val="24"/>
          <w:szCs w:val="24"/>
          <w:lang w:eastAsia="lv-LV"/>
        </w:rPr>
        <w:t>. (</w:t>
      </w:r>
      <w:r w:rsidRPr="000039C3">
        <w:rPr>
          <w:rFonts w:ascii="Times New Roman" w:hAnsi="Times New Roman" w:cs="Times New Roman"/>
          <w:b/>
          <w:sz w:val="24"/>
          <w:szCs w:val="24"/>
          <w:lang w:eastAsia="lv-LV"/>
        </w:rPr>
        <w:t>NVA</w:t>
      </w:r>
      <w:r w:rsidRPr="000039C3">
        <w:rPr>
          <w:rFonts w:ascii="Times New Roman" w:hAnsi="Times New Roman" w:cs="Times New Roman"/>
          <w:sz w:val="24"/>
          <w:szCs w:val="24"/>
          <w:lang w:eastAsia="lv-LV"/>
        </w:rPr>
        <w:t>, VUGD, IeM)</w:t>
      </w:r>
    </w:p>
    <w:p w14:paraId="1344EBAD" w14:textId="2933A874" w:rsidR="00810302" w:rsidRPr="00B60ED2" w:rsidRDefault="00967E3A" w:rsidP="00810302">
      <w:pPr>
        <w:pStyle w:val="ListParagraph"/>
        <w:numPr>
          <w:ilvl w:val="0"/>
          <w:numId w:val="29"/>
        </w:numPr>
        <w:spacing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Veikt</w:t>
      </w:r>
      <w:r w:rsidR="007205C4">
        <w:rPr>
          <w:rFonts w:ascii="Times New Roman" w:hAnsi="Times New Roman" w:cs="Times New Roman"/>
          <w:sz w:val="24"/>
          <w:szCs w:val="24"/>
          <w:lang w:eastAsia="lv-LV"/>
        </w:rPr>
        <w:t xml:space="preserve"> </w:t>
      </w:r>
      <w:r w:rsidR="00810302" w:rsidRPr="00B60ED2">
        <w:rPr>
          <w:rFonts w:ascii="Times New Roman" w:hAnsi="Times New Roman" w:cs="Times New Roman"/>
          <w:sz w:val="24"/>
          <w:szCs w:val="24"/>
          <w:lang w:eastAsia="lv-LV"/>
        </w:rPr>
        <w:t xml:space="preserve">energoefektivitātes paaugstināšanas pasākumus </w:t>
      </w:r>
      <w:r w:rsidR="002B40D6" w:rsidRPr="00B60ED2">
        <w:rPr>
          <w:rFonts w:ascii="Times New Roman" w:hAnsi="Times New Roman" w:cs="Times New Roman"/>
          <w:sz w:val="24"/>
          <w:szCs w:val="24"/>
          <w:lang w:eastAsia="lv-LV"/>
        </w:rPr>
        <w:t xml:space="preserve">Iekšlietu ministrijas valdījumā esošajās </w:t>
      </w:r>
      <w:r w:rsidR="00810302" w:rsidRPr="00B60ED2">
        <w:rPr>
          <w:rFonts w:ascii="Times New Roman" w:hAnsi="Times New Roman" w:cs="Times New Roman"/>
          <w:sz w:val="24"/>
          <w:szCs w:val="24"/>
          <w:lang w:eastAsia="lv-LV"/>
        </w:rPr>
        <w:t>ēkās. (</w:t>
      </w:r>
      <w:r w:rsidR="00810302" w:rsidRPr="00B60ED2">
        <w:rPr>
          <w:rFonts w:ascii="Times New Roman" w:hAnsi="Times New Roman" w:cs="Times New Roman"/>
          <w:b/>
          <w:sz w:val="24"/>
          <w:szCs w:val="24"/>
          <w:lang w:eastAsia="lv-LV"/>
        </w:rPr>
        <w:t>NVA</w:t>
      </w:r>
      <w:r w:rsidR="00810302" w:rsidRPr="00B60ED2">
        <w:rPr>
          <w:rFonts w:ascii="Times New Roman" w:hAnsi="Times New Roman" w:cs="Times New Roman"/>
          <w:sz w:val="24"/>
          <w:szCs w:val="24"/>
          <w:lang w:eastAsia="lv-LV"/>
        </w:rPr>
        <w:t>)</w:t>
      </w:r>
    </w:p>
    <w:p w14:paraId="5E197C0A" w14:textId="77777777" w:rsidR="00165ADA" w:rsidRPr="00B60ED2" w:rsidRDefault="00165ADA" w:rsidP="00165ADA">
      <w:pPr>
        <w:rPr>
          <w:rFonts w:ascii="Times New Roman" w:hAnsi="Times New Roman" w:cs="Times New Roman"/>
        </w:rPr>
      </w:pPr>
    </w:p>
    <w:p w14:paraId="12B878CE" w14:textId="73D19F58" w:rsidR="00165ADA" w:rsidRPr="00B60ED2" w:rsidRDefault="00A267B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Informācijas un komunikāciju tehnoloģiju</w:t>
      </w:r>
      <w:r w:rsidR="00165ADA" w:rsidRPr="00B60ED2">
        <w:rPr>
          <w:rFonts w:ascii="Times New Roman" w:eastAsia="+mn-ea" w:hAnsi="Times New Roman" w:cs="Times New Roman"/>
          <w:b/>
          <w:bCs/>
          <w:color w:val="767171" w:themeColor="background2" w:themeShade="80"/>
          <w:kern w:val="24"/>
          <w:sz w:val="28"/>
          <w:szCs w:val="28"/>
          <w:lang w:eastAsia="lv-LV"/>
        </w:rPr>
        <w:t xml:space="preserve"> infrastruktūras modernizācija.</w:t>
      </w:r>
    </w:p>
    <w:p w14:paraId="49FF4343" w14:textId="285B026B"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19A30477" w14:textId="40C72A4C" w:rsidR="006E5BEB" w:rsidRPr="00B60ED2" w:rsidRDefault="006E5BEB" w:rsidP="006E5BEB">
      <w:pPr>
        <w:pStyle w:val="ListParagraph"/>
        <w:numPr>
          <w:ilvl w:val="0"/>
          <w:numId w:val="3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Modernizēt lokālo datu </w:t>
      </w:r>
      <w:r w:rsidR="00B00779" w:rsidRPr="00B60ED2">
        <w:rPr>
          <w:rFonts w:ascii="Times New Roman" w:hAnsi="Times New Roman" w:cs="Times New Roman"/>
          <w:sz w:val="24"/>
          <w:szCs w:val="24"/>
          <w:lang w:eastAsia="lv-LV"/>
        </w:rPr>
        <w:t>pārraides tīklus Iekšlietu ministrijas padotībā esošo</w:t>
      </w:r>
      <w:r w:rsidRPr="00B60ED2">
        <w:rPr>
          <w:rFonts w:ascii="Times New Roman" w:hAnsi="Times New Roman" w:cs="Times New Roman"/>
          <w:sz w:val="24"/>
          <w:szCs w:val="24"/>
          <w:lang w:eastAsia="lv-LV"/>
        </w:rPr>
        <w:t xml:space="preserve"> iestāžu objektos (ēkās), radot priekšnoteikumus drošības līmeņa uzlabošanai un ļaujot ieviest interneta telefonijas (</w:t>
      </w:r>
      <w:proofErr w:type="spellStart"/>
      <w:r w:rsidRPr="00B60ED2">
        <w:rPr>
          <w:rFonts w:ascii="Times New Roman" w:hAnsi="Times New Roman" w:cs="Times New Roman"/>
          <w:sz w:val="24"/>
          <w:szCs w:val="24"/>
          <w:lang w:eastAsia="lv-LV"/>
        </w:rPr>
        <w:t>VoIP</w:t>
      </w:r>
      <w:proofErr w:type="spellEnd"/>
      <w:r w:rsidRPr="00B60ED2">
        <w:rPr>
          <w:rFonts w:ascii="Times New Roman" w:hAnsi="Times New Roman" w:cs="Times New Roman"/>
          <w:sz w:val="24"/>
          <w:szCs w:val="24"/>
          <w:lang w:eastAsia="lv-LV"/>
        </w:rPr>
        <w:t>) fiksēto balss sakaru risinājumus. (</w:t>
      </w:r>
      <w:r w:rsidRPr="00B60ED2">
        <w:rPr>
          <w:rFonts w:ascii="Times New Roman" w:hAnsi="Times New Roman" w:cs="Times New Roman"/>
          <w:b/>
          <w:sz w:val="24"/>
          <w:szCs w:val="24"/>
          <w:lang w:eastAsia="lv-LV"/>
        </w:rPr>
        <w:t>IeM IC</w:t>
      </w:r>
      <w:r w:rsidRPr="00B60ED2">
        <w:rPr>
          <w:rFonts w:ascii="Times New Roman" w:hAnsi="Times New Roman" w:cs="Times New Roman"/>
          <w:sz w:val="24"/>
          <w:szCs w:val="24"/>
          <w:lang w:eastAsia="lv-LV"/>
        </w:rPr>
        <w:t xml:space="preserve">, VP, VRS, VUGD, NVA, PMLP) </w:t>
      </w:r>
    </w:p>
    <w:p w14:paraId="1DEF12F6" w14:textId="1D1573FB" w:rsidR="006E5BEB" w:rsidRPr="00B60ED2" w:rsidRDefault="006E5BEB" w:rsidP="006E5BEB">
      <w:pPr>
        <w:pStyle w:val="ListParagraph"/>
        <w:numPr>
          <w:ilvl w:val="0"/>
          <w:numId w:val="3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Veikt pakāpenisku novecojušās datortehnikas, biroja un sakaru tehnikas gala iekārtu nomaiņu, vienlaicīgi mazinot kopējo drukas iekārtu skaitu par labu koplietošanas drukas iekārtām un mazinot fiksēto telefonaparātu skaitu par labu mobilajiem sakaru līdzekļiem. (</w:t>
      </w:r>
      <w:r w:rsidRPr="00B60ED2">
        <w:rPr>
          <w:rFonts w:ascii="Times New Roman" w:hAnsi="Times New Roman" w:cs="Times New Roman"/>
          <w:b/>
          <w:sz w:val="24"/>
          <w:szCs w:val="24"/>
          <w:lang w:eastAsia="lv-LV"/>
        </w:rPr>
        <w:t>IeM IC</w:t>
      </w:r>
      <w:r w:rsidRPr="00B60ED2">
        <w:rPr>
          <w:rFonts w:ascii="Times New Roman" w:hAnsi="Times New Roman" w:cs="Times New Roman"/>
          <w:sz w:val="24"/>
          <w:szCs w:val="24"/>
          <w:lang w:eastAsia="lv-LV"/>
        </w:rPr>
        <w:t>, IeM, NVA, VRS, VP, VUGD, IDB, VSC)</w:t>
      </w:r>
    </w:p>
    <w:p w14:paraId="77B73703" w14:textId="4E7817BF" w:rsidR="006E5BEB" w:rsidRPr="00B60ED2" w:rsidRDefault="00B00779" w:rsidP="006E5BEB">
      <w:pPr>
        <w:pStyle w:val="ListParagraph"/>
        <w:numPr>
          <w:ilvl w:val="0"/>
          <w:numId w:val="3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Veicināt Iekšlietu ministrijas padotībā esošo</w:t>
      </w:r>
      <w:r w:rsidR="006E5BEB" w:rsidRPr="00B60ED2">
        <w:rPr>
          <w:rFonts w:ascii="Times New Roman" w:hAnsi="Times New Roman" w:cs="Times New Roman"/>
          <w:sz w:val="24"/>
          <w:szCs w:val="24"/>
          <w:lang w:eastAsia="lv-LV"/>
        </w:rPr>
        <w:t xml:space="preserve"> iestāžu datorlietotāju mobilitāti, palielinot portatīvās/mobilās datortehnikas īpatsvaru. (</w:t>
      </w:r>
      <w:r w:rsidR="006E5BEB" w:rsidRPr="00B60ED2">
        <w:rPr>
          <w:rFonts w:ascii="Times New Roman" w:hAnsi="Times New Roman" w:cs="Times New Roman"/>
          <w:b/>
          <w:sz w:val="24"/>
          <w:szCs w:val="24"/>
          <w:lang w:eastAsia="lv-LV"/>
        </w:rPr>
        <w:t>IeM IC</w:t>
      </w:r>
      <w:r w:rsidR="006E5BEB" w:rsidRPr="00B60ED2">
        <w:rPr>
          <w:rFonts w:ascii="Times New Roman" w:hAnsi="Times New Roman" w:cs="Times New Roman"/>
          <w:sz w:val="24"/>
          <w:szCs w:val="24"/>
          <w:lang w:eastAsia="lv-LV"/>
        </w:rPr>
        <w:t>, IeM, NVA, VRS, VP, VUGD, IDB, VSC)</w:t>
      </w:r>
    </w:p>
    <w:p w14:paraId="010DE8EB" w14:textId="034D72CE" w:rsidR="00165ADA" w:rsidRPr="00B60ED2" w:rsidRDefault="00B00779" w:rsidP="00165ADA">
      <w:pPr>
        <w:pStyle w:val="ListParagraph"/>
        <w:numPr>
          <w:ilvl w:val="0"/>
          <w:numId w:val="3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a</w:t>
      </w:r>
      <w:r w:rsidR="006E5BEB" w:rsidRPr="00B60ED2">
        <w:rPr>
          <w:rFonts w:ascii="Times New Roman" w:hAnsi="Times New Roman" w:cs="Times New Roman"/>
          <w:sz w:val="24"/>
          <w:szCs w:val="24"/>
          <w:lang w:eastAsia="lv-LV"/>
        </w:rPr>
        <w:t>tbilstošas pieejamības, veiktspējas un kapacitātes datu cent</w:t>
      </w:r>
      <w:r w:rsidRPr="00B60ED2">
        <w:rPr>
          <w:rFonts w:ascii="Times New Roman" w:hAnsi="Times New Roman" w:cs="Times New Roman"/>
          <w:sz w:val="24"/>
          <w:szCs w:val="24"/>
          <w:lang w:eastAsia="lv-LV"/>
        </w:rPr>
        <w:t>ru infrastruktūru</w:t>
      </w:r>
      <w:r w:rsidR="00956BB5" w:rsidRPr="00B60ED2">
        <w:rPr>
          <w:rFonts w:ascii="Times New Roman" w:hAnsi="Times New Roman" w:cs="Times New Roman"/>
          <w:sz w:val="24"/>
          <w:szCs w:val="24"/>
          <w:lang w:eastAsia="lv-LV"/>
        </w:rPr>
        <w:t xml:space="preserve"> informācijas sistēmu</w:t>
      </w:r>
      <w:r w:rsidR="005E5E7F" w:rsidRPr="00B60ED2">
        <w:rPr>
          <w:rFonts w:ascii="Times New Roman" w:hAnsi="Times New Roman" w:cs="Times New Roman"/>
          <w:sz w:val="24"/>
          <w:szCs w:val="24"/>
          <w:lang w:eastAsia="lv-LV"/>
        </w:rPr>
        <w:t xml:space="preserve"> e</w:t>
      </w:r>
      <w:r w:rsidR="006E5BEB" w:rsidRPr="00B60ED2">
        <w:rPr>
          <w:rFonts w:ascii="Times New Roman" w:hAnsi="Times New Roman" w:cs="Times New Roman"/>
          <w:sz w:val="24"/>
          <w:szCs w:val="24"/>
          <w:lang w:eastAsia="lv-LV"/>
        </w:rPr>
        <w:t>kspluatācija</w:t>
      </w:r>
      <w:r w:rsidR="005E5E7F" w:rsidRPr="00B60ED2">
        <w:rPr>
          <w:rFonts w:ascii="Times New Roman" w:hAnsi="Times New Roman" w:cs="Times New Roman"/>
          <w:sz w:val="24"/>
          <w:szCs w:val="24"/>
          <w:lang w:eastAsia="lv-LV"/>
        </w:rPr>
        <w:t>i</w:t>
      </w:r>
      <w:r w:rsidR="006E5BEB" w:rsidRPr="00B60ED2">
        <w:rPr>
          <w:rFonts w:ascii="Times New Roman" w:hAnsi="Times New Roman" w:cs="Times New Roman"/>
          <w:sz w:val="24"/>
          <w:szCs w:val="24"/>
          <w:lang w:eastAsia="lv-LV"/>
        </w:rPr>
        <w:t>. (</w:t>
      </w:r>
      <w:r w:rsidR="006E5BEB" w:rsidRPr="00B60ED2">
        <w:rPr>
          <w:rFonts w:ascii="Times New Roman" w:hAnsi="Times New Roman" w:cs="Times New Roman"/>
          <w:b/>
          <w:sz w:val="24"/>
          <w:szCs w:val="24"/>
          <w:lang w:eastAsia="lv-LV"/>
        </w:rPr>
        <w:t>IeM IC</w:t>
      </w:r>
      <w:r w:rsidR="006E5BEB" w:rsidRPr="00B60ED2">
        <w:rPr>
          <w:rFonts w:ascii="Times New Roman" w:hAnsi="Times New Roman" w:cs="Times New Roman"/>
          <w:sz w:val="24"/>
          <w:szCs w:val="24"/>
          <w:lang w:eastAsia="lv-LV"/>
        </w:rPr>
        <w:t>, IeM, VP, VRS, VUGD, PMLP, IDB, NVA, IeM VSC).</w:t>
      </w:r>
    </w:p>
    <w:p w14:paraId="6C1D95CF" w14:textId="77777777" w:rsidR="00BE3F22" w:rsidRPr="00B60ED2" w:rsidRDefault="00BE3F22" w:rsidP="00165ADA">
      <w:pPr>
        <w:spacing w:line="240" w:lineRule="auto"/>
        <w:jc w:val="both"/>
        <w:rPr>
          <w:rFonts w:ascii="Times New Roman" w:hAnsi="Times New Roman" w:cs="Times New Roman"/>
          <w:b/>
          <w:sz w:val="28"/>
        </w:rPr>
      </w:pPr>
    </w:p>
    <w:p w14:paraId="0DAD1D7F"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Iestāžu nodrošināšana ar nepieciešamajiem materiāli tehniskajiem resursiem.</w:t>
      </w:r>
    </w:p>
    <w:p w14:paraId="4551455D" w14:textId="0F6B5E64"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4F940F95" w14:textId="0FBF1A7D" w:rsidR="00EF063E" w:rsidRPr="00B60ED2" w:rsidRDefault="00EF063E" w:rsidP="00EF063E">
      <w:pPr>
        <w:pStyle w:val="ListParagraph"/>
        <w:numPr>
          <w:ilvl w:val="0"/>
          <w:numId w:val="31"/>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iekšlietu nozares izglītības iestādes ar atbilstošu un mūsdienīgu tehnisko aprīkojumu, speciālo līdzekļu un ekipējuma klāstu.</w:t>
      </w:r>
      <w:r w:rsidR="00B85AB4" w:rsidRPr="00B60ED2">
        <w:rPr>
          <w:rFonts w:ascii="Times New Roman" w:hAnsi="Times New Roman" w:cs="Times New Roman"/>
          <w:sz w:val="24"/>
          <w:szCs w:val="24"/>
          <w:lang w:eastAsia="lv-LV"/>
        </w:rPr>
        <w:t xml:space="preserve"> (</w:t>
      </w:r>
      <w:r w:rsidR="00B85AB4" w:rsidRPr="00B60ED2">
        <w:rPr>
          <w:rFonts w:ascii="Times New Roman" w:hAnsi="Times New Roman" w:cs="Times New Roman"/>
          <w:b/>
          <w:sz w:val="24"/>
          <w:szCs w:val="24"/>
          <w:lang w:eastAsia="lv-LV"/>
        </w:rPr>
        <w:t>VP, VPK, VRS, VRK, VUGD, UCAK</w:t>
      </w:r>
      <w:r w:rsidR="00B85AB4" w:rsidRPr="00B60ED2">
        <w:rPr>
          <w:rFonts w:ascii="Times New Roman" w:hAnsi="Times New Roman" w:cs="Times New Roman"/>
          <w:sz w:val="24"/>
          <w:szCs w:val="24"/>
          <w:lang w:eastAsia="lv-LV"/>
        </w:rPr>
        <w:t>, IeM, NVA, IeM IC)</w:t>
      </w:r>
    </w:p>
    <w:p w14:paraId="668C7152" w14:textId="42395D44" w:rsidR="00097389" w:rsidRPr="00B60ED2" w:rsidRDefault="00097389" w:rsidP="00097389">
      <w:pPr>
        <w:pStyle w:val="ListParagraph"/>
        <w:numPr>
          <w:ilvl w:val="0"/>
          <w:numId w:val="31"/>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Nodrošināt atbilstošu un mūsdienīgu materiāltehnisko nodrošinājumu, speciālos </w:t>
      </w:r>
      <w:r w:rsidR="00956BB5" w:rsidRPr="00B60ED2">
        <w:rPr>
          <w:rFonts w:ascii="Times New Roman" w:hAnsi="Times New Roman" w:cs="Times New Roman"/>
          <w:sz w:val="24"/>
          <w:szCs w:val="24"/>
          <w:lang w:eastAsia="lv-LV"/>
        </w:rPr>
        <w:t xml:space="preserve">līdzekļus un tehniku </w:t>
      </w:r>
      <w:r w:rsidR="008C49DB" w:rsidRPr="00B60ED2">
        <w:rPr>
          <w:rFonts w:ascii="Times New Roman" w:hAnsi="Times New Roman" w:cs="Times New Roman"/>
          <w:sz w:val="24"/>
          <w:szCs w:val="24"/>
          <w:lang w:eastAsia="lv-LV"/>
        </w:rPr>
        <w:t>kibernoziegumu apkarošanai</w:t>
      </w:r>
      <w:r w:rsidR="00956BB5" w:rsidRPr="00B60ED2">
        <w:rPr>
          <w:rFonts w:ascii="Times New Roman" w:hAnsi="Times New Roman" w:cs="Times New Roman"/>
          <w:sz w:val="24"/>
          <w:szCs w:val="24"/>
          <w:lang w:eastAsia="lv-LV"/>
        </w:rPr>
        <w:t xml:space="preserve"> (pa</w:t>
      </w:r>
      <w:r w:rsidRPr="00B60ED2">
        <w:rPr>
          <w:rFonts w:ascii="Times New Roman" w:hAnsi="Times New Roman" w:cs="Times New Roman"/>
          <w:sz w:val="24"/>
          <w:szCs w:val="24"/>
          <w:lang w:eastAsia="lv-LV"/>
        </w:rPr>
        <w:t>pildus infotehnisko apskašu darba staciju un programmnodrošinājuma iegāde un darba vietu aprīkošana, energotīkla izbūve, mikroklimata iekārtu uzstādīšanā, darba staciju, Infotehniskās labotatorijas tehniskā nodrošinājuma atjaunināšana,  divu pārvietojāmo Infotehnisko laboratoriju ik gadu uzturēšana un modernizācija).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 xml:space="preserve">, IeM) </w:t>
      </w:r>
    </w:p>
    <w:p w14:paraId="31A82702" w14:textId="39B25904" w:rsidR="004A2CB1" w:rsidRPr="00B60ED2" w:rsidRDefault="00C52D0F" w:rsidP="00C52D0F">
      <w:pPr>
        <w:pStyle w:val="ListParagraph"/>
        <w:numPr>
          <w:ilvl w:val="0"/>
          <w:numId w:val="31"/>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lastRenderedPageBreak/>
        <w:t>Ieviest vienotu iekšlietu nozares autotransporta pārvaldības sistēmu</w:t>
      </w:r>
      <w:r w:rsidR="00EF063E"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w:t>
      </w:r>
      <w:r w:rsidRPr="00B60ED2">
        <w:rPr>
          <w:rFonts w:ascii="Times New Roman" w:hAnsi="Times New Roman" w:cs="Times New Roman"/>
          <w:b/>
          <w:sz w:val="24"/>
          <w:szCs w:val="24"/>
          <w:lang w:eastAsia="lv-LV"/>
        </w:rPr>
        <w:t>NVA</w:t>
      </w:r>
      <w:r w:rsidRPr="00B60ED2">
        <w:rPr>
          <w:rFonts w:ascii="Times New Roman" w:hAnsi="Times New Roman" w:cs="Times New Roman"/>
          <w:sz w:val="24"/>
          <w:szCs w:val="24"/>
          <w:lang w:eastAsia="lv-LV"/>
        </w:rPr>
        <w:t>, IeM IC, IeM, VP, VRS, VUGD, PMLP, IDB, IeM VSC)</w:t>
      </w:r>
    </w:p>
    <w:p w14:paraId="5C73818A" w14:textId="4C038F1F" w:rsidR="009C3C31" w:rsidRPr="00B60ED2" w:rsidRDefault="00B85AB4" w:rsidP="00097389">
      <w:pPr>
        <w:pStyle w:val="ListParagraph"/>
        <w:numPr>
          <w:ilvl w:val="0"/>
          <w:numId w:val="31"/>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Attīstīt bezpilota gaisa kuģu izmantošanu</w:t>
      </w:r>
      <w:r w:rsidR="00A8412C"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nodrošinot nepiecie</w:t>
      </w:r>
      <w:r w:rsidR="00497DA1" w:rsidRPr="00B60ED2">
        <w:rPr>
          <w:rFonts w:ascii="Times New Roman" w:hAnsi="Times New Roman" w:cs="Times New Roman"/>
          <w:sz w:val="24"/>
          <w:szCs w:val="24"/>
          <w:lang w:eastAsia="lv-LV"/>
        </w:rPr>
        <w:t>šamos tehniskos līdzekļus</w:t>
      </w:r>
      <w:r w:rsidRPr="00B60ED2">
        <w:rPr>
          <w:rFonts w:ascii="Times New Roman" w:hAnsi="Times New Roman" w:cs="Times New Roman"/>
          <w:sz w:val="24"/>
          <w:szCs w:val="24"/>
          <w:lang w:eastAsia="lv-LV"/>
        </w:rPr>
        <w:t>, pilotu apmācību</w:t>
      </w:r>
      <w:r w:rsidR="000D0627" w:rsidRPr="00B60ED2">
        <w:rPr>
          <w:rFonts w:ascii="Times New Roman" w:hAnsi="Times New Roman" w:cs="Times New Roman"/>
          <w:sz w:val="24"/>
          <w:szCs w:val="24"/>
          <w:lang w:eastAsia="lv-LV"/>
        </w:rPr>
        <w:t xml:space="preserve"> un </w:t>
      </w:r>
      <w:r w:rsidRPr="00B60ED2">
        <w:rPr>
          <w:rFonts w:ascii="Times New Roman" w:hAnsi="Times New Roman" w:cs="Times New Roman"/>
          <w:sz w:val="24"/>
          <w:szCs w:val="24"/>
          <w:lang w:eastAsia="lv-LV"/>
        </w:rPr>
        <w:t>pastāvīgu kvalifikācijas uzturēšanu</w:t>
      </w:r>
      <w:r w:rsidR="000D0627" w:rsidRPr="00B60ED2">
        <w:rPr>
          <w:rFonts w:ascii="Times New Roman" w:hAnsi="Times New Roman" w:cs="Times New Roman"/>
          <w:sz w:val="24"/>
          <w:szCs w:val="24"/>
          <w:lang w:eastAsia="lv-LV"/>
        </w:rPr>
        <w:t xml:space="preserve">. </w:t>
      </w:r>
      <w:r w:rsidR="00497DA1" w:rsidRPr="00B60ED2">
        <w:rPr>
          <w:rFonts w:ascii="Times New Roman" w:hAnsi="Times New Roman" w:cs="Times New Roman"/>
          <w:sz w:val="24"/>
          <w:szCs w:val="24"/>
          <w:lang w:eastAsia="lv-LV"/>
        </w:rPr>
        <w:t>(</w:t>
      </w:r>
      <w:r w:rsidR="00497DA1" w:rsidRPr="00B60ED2">
        <w:rPr>
          <w:rFonts w:ascii="Times New Roman" w:hAnsi="Times New Roman" w:cs="Times New Roman"/>
          <w:b/>
          <w:sz w:val="24"/>
          <w:szCs w:val="24"/>
          <w:lang w:eastAsia="lv-LV"/>
        </w:rPr>
        <w:t>VP, VRS, VUGD, IDB</w:t>
      </w:r>
      <w:r w:rsidR="00497DA1" w:rsidRPr="00B60ED2">
        <w:rPr>
          <w:rFonts w:ascii="Times New Roman" w:hAnsi="Times New Roman" w:cs="Times New Roman"/>
          <w:sz w:val="24"/>
          <w:szCs w:val="24"/>
          <w:lang w:eastAsia="lv-LV"/>
        </w:rPr>
        <w:t>)</w:t>
      </w:r>
    </w:p>
    <w:sectPr w:rsidR="009C3C31" w:rsidRPr="00B60ED2" w:rsidSect="00C5045C">
      <w:pgSz w:w="16838" w:h="11906" w:orient="landscape"/>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7AFBF" w14:textId="77777777" w:rsidR="004C6A38" w:rsidRDefault="004C6A38" w:rsidP="00AB671C">
      <w:pPr>
        <w:spacing w:after="0" w:line="240" w:lineRule="auto"/>
      </w:pPr>
      <w:r>
        <w:separator/>
      </w:r>
    </w:p>
  </w:endnote>
  <w:endnote w:type="continuationSeparator" w:id="0">
    <w:p w14:paraId="7A8E7C48" w14:textId="77777777" w:rsidR="004C6A38" w:rsidRDefault="004C6A38" w:rsidP="00AB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901799"/>
      <w:docPartObj>
        <w:docPartGallery w:val="Page Numbers (Bottom of Page)"/>
        <w:docPartUnique/>
      </w:docPartObj>
    </w:sdtPr>
    <w:sdtEndPr>
      <w:rPr>
        <w:noProof/>
      </w:rPr>
    </w:sdtEndPr>
    <w:sdtContent>
      <w:p w14:paraId="56E74FC8" w14:textId="5E57542E" w:rsidR="00796BAF" w:rsidRDefault="00796BAF">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2CEC19D9" w14:textId="77777777" w:rsidR="00796BAF" w:rsidRDefault="00796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263145"/>
      <w:docPartObj>
        <w:docPartGallery w:val="Page Numbers (Bottom of Page)"/>
        <w:docPartUnique/>
      </w:docPartObj>
    </w:sdtPr>
    <w:sdtEndPr>
      <w:rPr>
        <w:noProof/>
      </w:rPr>
    </w:sdtEndPr>
    <w:sdtContent>
      <w:p w14:paraId="6A195A1F" w14:textId="05C8BC47" w:rsidR="00796BAF" w:rsidRDefault="00426D7B">
        <w:pPr>
          <w:pStyle w:val="Footer"/>
          <w:jc w:val="center"/>
        </w:pPr>
      </w:p>
    </w:sdtContent>
  </w:sdt>
  <w:p w14:paraId="01CD3A83" w14:textId="77777777" w:rsidR="00796BAF" w:rsidRDefault="00796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5B1A5" w14:textId="77777777" w:rsidR="004C6A38" w:rsidRDefault="004C6A38" w:rsidP="00AB671C">
      <w:pPr>
        <w:spacing w:after="0" w:line="240" w:lineRule="auto"/>
      </w:pPr>
      <w:r>
        <w:separator/>
      </w:r>
    </w:p>
  </w:footnote>
  <w:footnote w:type="continuationSeparator" w:id="0">
    <w:p w14:paraId="43A135C4" w14:textId="77777777" w:rsidR="004C6A38" w:rsidRDefault="004C6A38" w:rsidP="00AB671C">
      <w:pPr>
        <w:spacing w:after="0" w:line="240" w:lineRule="auto"/>
      </w:pPr>
      <w:r>
        <w:continuationSeparator/>
      </w:r>
    </w:p>
  </w:footnote>
  <w:footnote w:id="1">
    <w:p w14:paraId="5F02B740" w14:textId="04FAB5B3" w:rsidR="00796BAF" w:rsidRPr="000F78CD" w:rsidRDefault="00796BAF" w:rsidP="004B3A18">
      <w:pPr>
        <w:pStyle w:val="FootnoteText"/>
        <w:jc w:val="both"/>
        <w:rPr>
          <w:rFonts w:cs="Times New Roman"/>
        </w:rPr>
      </w:pPr>
      <w:r w:rsidRPr="000F78CD">
        <w:rPr>
          <w:rStyle w:val="FootnoteReference"/>
          <w:rFonts w:cs="Times New Roman"/>
        </w:rPr>
        <w:footnoteRef/>
      </w:r>
      <w:r w:rsidRPr="000F78CD">
        <w:rPr>
          <w:rFonts w:cs="Times New Roman"/>
        </w:rPr>
        <w:t xml:space="preserve"> Apstiprināta ar Iekšlietu ministrijas 2022. gada 7. janvāra rīkojumu Nr. 1-2/19 "Par Iekšlietu nozares stratēģijas kartes apstiprināšanu".</w:t>
      </w:r>
    </w:p>
  </w:footnote>
  <w:footnote w:id="2">
    <w:p w14:paraId="7AF6DBF1" w14:textId="30818501" w:rsidR="00796BAF" w:rsidRDefault="00796BAF">
      <w:pPr>
        <w:pStyle w:val="FootnoteText"/>
      </w:pPr>
      <w:r>
        <w:rPr>
          <w:rStyle w:val="FootnoteReference"/>
        </w:rPr>
        <w:footnoteRef/>
      </w:r>
      <w:r>
        <w:t xml:space="preserve"> T</w:t>
      </w:r>
      <w:r w:rsidRPr="00AE6D76">
        <w:t xml:space="preserve">ostarp organizējot </w:t>
      </w:r>
      <w:r>
        <w:t>vizionāru semināru, kurā prezentācijas sniedz dažādu nozaru eksperti un pētnieki.</w:t>
      </w:r>
    </w:p>
  </w:footnote>
  <w:footnote w:id="3">
    <w:p w14:paraId="1BB1707B" w14:textId="5144561C" w:rsidR="00796BAF" w:rsidRDefault="00796BAF" w:rsidP="005C7410">
      <w:pPr>
        <w:pStyle w:val="FootnoteText"/>
        <w:jc w:val="both"/>
      </w:pPr>
      <w:r>
        <w:rPr>
          <w:rStyle w:val="FootnoteReference"/>
        </w:rPr>
        <w:footnoteRef/>
      </w:r>
      <w:r>
        <w:t xml:space="preserve"> Līdzsvarotās vadības kartes metodoloģiju izstrādāja Hārvarda Biznesa skolas profesors Roberts</w:t>
      </w:r>
      <w:r w:rsidRPr="0061401B">
        <w:t xml:space="preserve"> S. Kaplan</w:t>
      </w:r>
      <w:r>
        <w:t xml:space="preserve">s un amerikāņu pētnieks un uzņēmējs </w:t>
      </w:r>
      <w:r w:rsidRPr="0061401B">
        <w:t>Deivid</w:t>
      </w:r>
      <w:r>
        <w:t>s</w:t>
      </w:r>
      <w:r w:rsidRPr="0061401B">
        <w:t xml:space="preserve"> P. Norton</w:t>
      </w:r>
      <w:r>
        <w:t xml:space="preserve">s. Šī stratēģiskās plānošanas un stratēģijas ieviešanas uzraudzības metode paredz </w:t>
      </w:r>
      <w:r w:rsidRPr="005C7410">
        <w:t>iestādes mērķu, snieguma rādītāju un iniciatīvu definēšanu četrās līdzsvarotās vadības kartes perspektīvās (klienti, procesi, spējas, finanses)</w:t>
      </w:r>
      <w:r>
        <w:t>, tādējādi nodrošinot skaidru kartējumu par nepieciešamajām pārmaiņām, papildus resursiem, kā arī veicamajiem uzdevumiem, lai sasniegtu noteiktos mērķus.</w:t>
      </w:r>
    </w:p>
  </w:footnote>
  <w:footnote w:id="4">
    <w:p w14:paraId="7957BE3A" w14:textId="3F95AED5" w:rsidR="00796BAF" w:rsidRPr="000F78CD" w:rsidRDefault="00796BAF" w:rsidP="006554EA">
      <w:pPr>
        <w:pStyle w:val="FootnoteText"/>
        <w:jc w:val="both"/>
        <w:rPr>
          <w:rFonts w:cs="Times New Roman"/>
        </w:rPr>
      </w:pPr>
      <w:r w:rsidRPr="000F78CD">
        <w:rPr>
          <w:rStyle w:val="FootnoteReference"/>
          <w:rFonts w:cs="Times New Roman"/>
        </w:rPr>
        <w:footnoteRef/>
      </w:r>
      <w:r w:rsidRPr="000F78CD">
        <w:rPr>
          <w:rFonts w:cs="Times New Roman"/>
        </w:rPr>
        <w:t xml:space="preserve"> Stiprās, vajās (puses), iespējas un draudi. Angļu valodā</w:t>
      </w:r>
      <w:r>
        <w:rPr>
          <w:rFonts w:cs="Times New Roman"/>
        </w:rPr>
        <w:t>:</w:t>
      </w:r>
      <w:r w:rsidRPr="000F78CD">
        <w:rPr>
          <w:rFonts w:cs="Times New Roman"/>
        </w:rPr>
        <w:t xml:space="preserve"> </w:t>
      </w:r>
      <w:r w:rsidRPr="000F78CD">
        <w:rPr>
          <w:rFonts w:cs="Times New Roman"/>
          <w:i/>
        </w:rPr>
        <w:t>SWOT analysis</w:t>
      </w:r>
      <w:r w:rsidRPr="000F78CD">
        <w:rPr>
          <w:rFonts w:cs="Times New Roman"/>
        </w:rPr>
        <w:t xml:space="preserve"> (</w:t>
      </w:r>
      <w:r w:rsidRPr="000F78CD">
        <w:rPr>
          <w:rFonts w:cs="Times New Roman"/>
          <w:i/>
        </w:rPr>
        <w:t>strengths, weaknesses, opportunities, threats</w:t>
      </w:r>
      <w:r w:rsidRPr="000F78CD">
        <w:rPr>
          <w:rFonts w:cs="Times New Roman"/>
        </w:rPr>
        <w:t>).</w:t>
      </w:r>
    </w:p>
  </w:footnote>
  <w:footnote w:id="5">
    <w:p w14:paraId="3C4E7138" w14:textId="120043DC" w:rsidR="00796BAF" w:rsidRPr="000F78CD" w:rsidRDefault="00796BAF" w:rsidP="005023C6">
      <w:pPr>
        <w:pStyle w:val="FootnoteText"/>
        <w:jc w:val="both"/>
        <w:rPr>
          <w:rFonts w:cs="Times New Roman"/>
        </w:rPr>
      </w:pPr>
      <w:r w:rsidRPr="000F78CD">
        <w:rPr>
          <w:rStyle w:val="FootnoteReference"/>
          <w:rFonts w:cs="Times New Roman"/>
        </w:rPr>
        <w:footnoteRef/>
      </w:r>
      <w:r w:rsidRPr="000F78CD">
        <w:rPr>
          <w:rFonts w:cs="Times New Roman"/>
        </w:rPr>
        <w:t xml:space="preserve"> PESTEL metode paredz izvērtēt ārējo vidi atbilstoši faktoru kopumam, kam varētu būt ietekme uz iestādi, uzņēmumu vai nozari. Nozares stratēģijas kontekstā PESTEL metode ietver analīzi par politikas, ekonomikas, sociālajiem, tehnoloģiskajiem, vides un juridiskajiem faktoriem (angļu valodā: </w:t>
      </w:r>
      <w:r w:rsidRPr="000F78CD">
        <w:rPr>
          <w:rFonts w:cs="Times New Roman"/>
          <w:i/>
        </w:rPr>
        <w:t>Political, Economic, Social, Technological, Environmental, Legal</w:t>
      </w:r>
      <w:r w:rsidRPr="000F78CD">
        <w:rPr>
          <w:rFonts w:cs="Times New Roman"/>
        </w:rPr>
        <w:t>).</w:t>
      </w:r>
    </w:p>
  </w:footnote>
  <w:footnote w:id="6">
    <w:p w14:paraId="2D80A3F5" w14:textId="2A1FC63B" w:rsidR="00796BAF" w:rsidRDefault="00796BAF" w:rsidP="0007518A">
      <w:pPr>
        <w:pStyle w:val="FootnoteText"/>
        <w:jc w:val="both"/>
      </w:pPr>
      <w:r>
        <w:rPr>
          <w:rStyle w:val="FootnoteReference"/>
        </w:rPr>
        <w:footnoteRef/>
      </w:r>
      <w:r>
        <w:t xml:space="preserve"> Aiz katra uzdevuma norādītas atbildīgās un iesaistītās iestādes, treknrakstā iezīmējot par uzdevumu izpildi atbildīgās iestādes.</w:t>
      </w:r>
    </w:p>
  </w:footnote>
  <w:footnote w:id="7">
    <w:p w14:paraId="56BA5B12" w14:textId="7FCC6166" w:rsidR="00796BAF" w:rsidRDefault="00796BAF" w:rsidP="0007518A">
      <w:pPr>
        <w:pStyle w:val="FootnoteText"/>
        <w:jc w:val="both"/>
      </w:pPr>
      <w:r>
        <w:rPr>
          <w:rStyle w:val="FootnoteReference"/>
        </w:rPr>
        <w:footnoteRef/>
      </w:r>
      <w:r>
        <w:t xml:space="preserve"> Aprēķinā tiek izmantota tikai konkrētas vecuma grupas (0-18) demogrāfiskie dati.</w:t>
      </w:r>
    </w:p>
  </w:footnote>
  <w:footnote w:id="8">
    <w:p w14:paraId="7551B01D" w14:textId="77777777" w:rsidR="00796BAF" w:rsidRDefault="00796BAF" w:rsidP="00007B7F">
      <w:pPr>
        <w:pStyle w:val="FootnoteText"/>
        <w:jc w:val="both"/>
      </w:pPr>
      <w:r>
        <w:rPr>
          <w:rStyle w:val="FootnoteReference"/>
        </w:rPr>
        <w:footnoteRef/>
      </w:r>
      <w:r>
        <w:t xml:space="preserve"> </w:t>
      </w:r>
      <w:r w:rsidRPr="00526064">
        <w:t>Nacionālā (kopējā) situācijas attēla veidošanai piešķirtā finansējuma ietvaros (</w:t>
      </w:r>
      <w:r>
        <w:t>Regulas Eiropas Parlamenta un Padomes regula</w:t>
      </w:r>
      <w:r w:rsidRPr="00526064">
        <w:t xml:space="preserve"> (ES) 2019/1896 par Eiropas Robežu un krasta apsardzi un ar ko atceļ Regulas (ES) Nr. 1052/2013 un (ES) 2016/1624 24.</w:t>
      </w:r>
      <w:r>
        <w:t xml:space="preserve"> pantu “Situācijas attēli” un 25. pantu</w:t>
      </w:r>
      <w:r w:rsidRPr="00526064">
        <w:t xml:space="preserve"> “Valsts situācijas attēli”</w:t>
      </w:r>
      <w:r>
        <w:t>)</w:t>
      </w:r>
      <w:r w:rsidRPr="00526064">
        <w:t>.</w:t>
      </w:r>
    </w:p>
  </w:footnote>
  <w:footnote w:id="9">
    <w:p w14:paraId="66F03868" w14:textId="63411161" w:rsidR="00796BAF" w:rsidRPr="000F78CD" w:rsidRDefault="00796BAF" w:rsidP="0039561B">
      <w:pPr>
        <w:pStyle w:val="FootnoteText"/>
        <w:jc w:val="both"/>
        <w:rPr>
          <w:rFonts w:cs="Times New Roman"/>
        </w:rPr>
      </w:pPr>
      <w:r w:rsidRPr="000F78CD">
        <w:rPr>
          <w:rStyle w:val="FootnoteReference"/>
          <w:rFonts w:cs="Times New Roman"/>
        </w:rPr>
        <w:footnoteRef/>
      </w:r>
      <w:r w:rsidRPr="000F78CD">
        <w:rPr>
          <w:rFonts w:cs="Times New Roman"/>
        </w:rPr>
        <w:t xml:space="preserve"> </w:t>
      </w:r>
      <w:r>
        <w:rPr>
          <w:rFonts w:cs="Times New Roman"/>
        </w:rPr>
        <w:t>Ā</w:t>
      </w:r>
      <w:r w:rsidRPr="000F78CD">
        <w:rPr>
          <w:rFonts w:cs="Times New Roman"/>
        </w:rPr>
        <w:t>rējās robežas infrastruktūras izbūvi organizē un nodrošina valsts akciju sabiedrība "Valsts nekustamie īpašumi", ārējās robežas infrastruktūras izbūves pārraudzību un koordināciju veic Ārējās robežas infrastruktūras izbūves uzraudzības komiteja, kuru vada iekšlietu ministrs.</w:t>
      </w:r>
    </w:p>
  </w:footnote>
  <w:footnote w:id="10">
    <w:p w14:paraId="2DF76816" w14:textId="77777777" w:rsidR="00796BAF" w:rsidRPr="000F78CD" w:rsidRDefault="00796BAF" w:rsidP="00165ADA">
      <w:pPr>
        <w:pStyle w:val="FootnoteText"/>
        <w:rPr>
          <w:rFonts w:cs="Times New Roman"/>
        </w:rPr>
      </w:pPr>
      <w:r w:rsidRPr="000F78CD">
        <w:rPr>
          <w:rStyle w:val="FootnoteReference"/>
          <w:rFonts w:cs="Times New Roman"/>
        </w:rPr>
        <w:footnoteRef/>
      </w:r>
      <w:r w:rsidRPr="000F78CD">
        <w:rPr>
          <w:rFonts w:cs="Times New Roman"/>
        </w:rPr>
        <w:t xml:space="preserve"> Sadarbībā ar Aizsardzības ministriju.</w:t>
      </w:r>
    </w:p>
  </w:footnote>
  <w:footnote w:id="11">
    <w:p w14:paraId="04AB9F38" w14:textId="4594E071" w:rsidR="00796BAF" w:rsidRDefault="00796BAF">
      <w:pPr>
        <w:pStyle w:val="FootnoteText"/>
      </w:pPr>
      <w:r>
        <w:rPr>
          <w:rStyle w:val="FootnoteReference"/>
        </w:rPr>
        <w:footnoteRef/>
      </w:r>
      <w:r>
        <w:t xml:space="preserve"> Iekšlietu nozarē reģistrēto noziedzīgo nodarījumu skaits.</w:t>
      </w:r>
    </w:p>
  </w:footnote>
  <w:footnote w:id="12">
    <w:p w14:paraId="44AC507E" w14:textId="6FF96651" w:rsidR="00796BAF" w:rsidRDefault="00796BAF">
      <w:pPr>
        <w:pStyle w:val="FootnoteText"/>
      </w:pPr>
      <w:r>
        <w:rPr>
          <w:rStyle w:val="FootnoteReference"/>
        </w:rPr>
        <w:footnoteRef/>
      </w:r>
      <w:r>
        <w:t xml:space="preserve"> Iekšlietu nozarē reģistrēto smago un sevišķi smago noziegumu skaits.</w:t>
      </w:r>
    </w:p>
  </w:footnote>
  <w:footnote w:id="13">
    <w:p w14:paraId="263886F5" w14:textId="4DF5BDC6" w:rsidR="00796BAF" w:rsidRDefault="00796BAF">
      <w:pPr>
        <w:pStyle w:val="FootnoteText"/>
      </w:pPr>
      <w:r>
        <w:rPr>
          <w:rStyle w:val="FootnoteReference"/>
        </w:rPr>
        <w:footnoteRef/>
      </w:r>
      <w:r>
        <w:t xml:space="preserve"> </w:t>
      </w:r>
      <w:r w:rsidRPr="00A33FC7">
        <w:t>Agrīnās brīdināšanas paziņojumu pieejamība iedzīvotājiem</w:t>
      </w:r>
      <w:r>
        <w:t>, izmantojot sirēnas.</w:t>
      </w:r>
    </w:p>
  </w:footnote>
  <w:footnote w:id="14">
    <w:p w14:paraId="12516F62" w14:textId="125D871D" w:rsidR="00796BAF" w:rsidRDefault="00796BAF">
      <w:pPr>
        <w:pStyle w:val="FootnoteText"/>
      </w:pPr>
      <w:r>
        <w:rPr>
          <w:rStyle w:val="FootnoteReference"/>
        </w:rPr>
        <w:footnoteRef/>
      </w:r>
      <w:r>
        <w:t xml:space="preserve"> Atbilstoši Ministru kabineta 2017. gada 12. decembra noteikumiem Nr. 723 “</w:t>
      </w:r>
      <w:r w:rsidRPr="00312C0F">
        <w:t>Valsts civilās aizsardzības kontaktpunkta noteikumi</w:t>
      </w:r>
      <w:r>
        <w:t>”.</w:t>
      </w:r>
    </w:p>
  </w:footnote>
  <w:footnote w:id="15">
    <w:p w14:paraId="0AA6C4E7" w14:textId="339F6B7C" w:rsidR="00796BAF" w:rsidRDefault="00796BAF" w:rsidP="00FF61B2">
      <w:pPr>
        <w:pStyle w:val="FootnoteText"/>
        <w:jc w:val="both"/>
      </w:pPr>
      <w:r>
        <w:rPr>
          <w:rStyle w:val="FootnoteReference"/>
        </w:rPr>
        <w:footnoteRef/>
      </w:r>
      <w:r>
        <w:t xml:space="preserve"> </w:t>
      </w:r>
      <w:r w:rsidRPr="00547332">
        <w:t>2027.gada rezultāts noteikts atbilstoši esošajām iespējām (lietderība, drošības apsvērumi, pakalpojuma specifika) P</w:t>
      </w:r>
      <w:r>
        <w:t>ilsonības un migrācijas lietu pārvaldes</w:t>
      </w:r>
      <w:r w:rsidRPr="00547332">
        <w:t xml:space="preserve"> sniegtos pakalpojumus un to posmus nodrošināt elektroniskā vidē, un prognoze uzskatāma par tuvu maksimālajam iespējamam P</w:t>
      </w:r>
      <w:r>
        <w:t>ilsonības un migrācijas lietu pārvaldes</w:t>
      </w:r>
      <w:r w:rsidRPr="00547332">
        <w:t xml:space="preserve"> pakalpojumu elektronizācijas līmenim.</w:t>
      </w:r>
    </w:p>
  </w:footnote>
  <w:footnote w:id="16">
    <w:p w14:paraId="6ED50CA9" w14:textId="60178AA0" w:rsidR="00796BAF" w:rsidRDefault="00796BAF">
      <w:pPr>
        <w:pStyle w:val="FootnoteText"/>
      </w:pPr>
      <w:r>
        <w:rPr>
          <w:rStyle w:val="FootnoteReference"/>
        </w:rPr>
        <w:footnoteRef/>
      </w:r>
      <w:r>
        <w:t xml:space="preserve"> Apmācību regularitāti var ietekmēt arī iestāžu iekšējie normatīvie akti. </w:t>
      </w:r>
    </w:p>
  </w:footnote>
  <w:footnote w:id="17">
    <w:p w14:paraId="4B0246DE" w14:textId="77777777" w:rsidR="00796BAF" w:rsidRPr="000F78CD" w:rsidRDefault="00796BAF" w:rsidP="00B00779">
      <w:pPr>
        <w:pStyle w:val="FootnoteText"/>
        <w:rPr>
          <w:rFonts w:cs="Times New Roman"/>
        </w:rPr>
      </w:pPr>
      <w:r w:rsidRPr="000F78CD">
        <w:rPr>
          <w:rStyle w:val="FootnoteReference"/>
          <w:rFonts w:cs="Times New Roman"/>
        </w:rPr>
        <w:footnoteRef/>
      </w:r>
      <w:r w:rsidRPr="000F78CD">
        <w:rPr>
          <w:rFonts w:cs="Times New Roman"/>
        </w:rPr>
        <w:t xml:space="preserve"> Sadarbībā ar Rīgas Stradiņa universitāti un Latvijas universitāti.</w:t>
      </w:r>
    </w:p>
  </w:footnote>
  <w:footnote w:id="18">
    <w:p w14:paraId="35D1DA51" w14:textId="77777777" w:rsidR="00796BAF" w:rsidRDefault="00796BAF" w:rsidP="00015978">
      <w:pPr>
        <w:pStyle w:val="FootnoteText"/>
      </w:pPr>
      <w:r>
        <w:rPr>
          <w:rStyle w:val="FootnoteReference"/>
        </w:rPr>
        <w:footnoteRef/>
      </w:r>
      <w:r>
        <w:t xml:space="preserve"> Uzdevumu izpilde atkarīga no</w:t>
      </w:r>
      <w:r w:rsidRPr="001B6DEF">
        <w:t xml:space="preserve"> valsts budžeta iespējām.</w:t>
      </w:r>
    </w:p>
  </w:footnote>
  <w:footnote w:id="19">
    <w:p w14:paraId="4EB12EBD" w14:textId="77777777" w:rsidR="00796BAF" w:rsidRDefault="00796BAF" w:rsidP="00015978">
      <w:pPr>
        <w:pStyle w:val="FootnoteText"/>
      </w:pPr>
      <w:r>
        <w:rPr>
          <w:rStyle w:val="FootnoteReference"/>
        </w:rPr>
        <w:footnoteRef/>
      </w:r>
      <w:r>
        <w:t xml:space="preserve"> Uzdevuma izpilde atkarīga no</w:t>
      </w:r>
      <w:r w:rsidRPr="001B6DEF">
        <w:t xml:space="preserve"> valsts budžeta iespējām.</w:t>
      </w:r>
    </w:p>
  </w:footnote>
  <w:footnote w:id="20">
    <w:p w14:paraId="73C6F1D9" w14:textId="70BFEE8F" w:rsidR="00796BAF" w:rsidRDefault="00796BAF" w:rsidP="00B16E2E">
      <w:pPr>
        <w:pStyle w:val="FootnoteText"/>
        <w:jc w:val="both"/>
      </w:pPr>
      <w:r>
        <w:rPr>
          <w:rStyle w:val="FootnoteReference"/>
        </w:rPr>
        <w:footnoteRef/>
      </w:r>
      <w:r>
        <w:t xml:space="preserve"> Palielināt m</w:t>
      </w:r>
      <w:r w:rsidRPr="00B16E2E">
        <w:t>aksas medicīnisko pakalpojumu kompen</w:t>
      </w:r>
      <w:r>
        <w:t xml:space="preserve">sācijas limitu no 250 </w:t>
      </w:r>
      <w:r w:rsidRPr="007205C4">
        <w:rPr>
          <w:i/>
        </w:rPr>
        <w:t>euro</w:t>
      </w:r>
      <w:r>
        <w:t xml:space="preserve"> līdz</w:t>
      </w:r>
      <w:r w:rsidRPr="00B16E2E">
        <w:t xml:space="preserve"> 500 </w:t>
      </w:r>
      <w:r w:rsidRPr="007205C4">
        <w:rPr>
          <w:i/>
        </w:rPr>
        <w:t>euro</w:t>
      </w:r>
      <w:r w:rsidRPr="00B16E2E">
        <w:t xml:space="preserve"> gadā, zobārstniecības pakalpojumu kompens</w:t>
      </w:r>
      <w:r>
        <w:t xml:space="preserve">ācijas limitu no 200 </w:t>
      </w:r>
      <w:r w:rsidRPr="007205C4">
        <w:rPr>
          <w:i/>
        </w:rPr>
        <w:t>euro</w:t>
      </w:r>
      <w:r>
        <w:t xml:space="preserve"> līdz 400 </w:t>
      </w:r>
      <w:r w:rsidRPr="007205C4">
        <w:rPr>
          <w:i/>
        </w:rPr>
        <w:t>euro</w:t>
      </w:r>
      <w:r>
        <w:t xml:space="preserve"> gadā un </w:t>
      </w:r>
      <w:r w:rsidRPr="00B16E2E">
        <w:t>medikamentu iegādes kompe</w:t>
      </w:r>
      <w:r>
        <w:t xml:space="preserve">nsācijas limitu no 75 </w:t>
      </w:r>
      <w:r w:rsidRPr="007205C4">
        <w:rPr>
          <w:i/>
        </w:rPr>
        <w:t>euro</w:t>
      </w:r>
      <w:r>
        <w:t xml:space="preserve"> līdz</w:t>
      </w:r>
      <w:r w:rsidRPr="00B16E2E">
        <w:t xml:space="preserve"> 100 </w:t>
      </w:r>
      <w:r w:rsidRPr="007205C4">
        <w:rPr>
          <w:i/>
        </w:rPr>
        <w:t>euro</w:t>
      </w:r>
      <w:r w:rsidRPr="00B16E2E">
        <w:t xml:space="preserve"> gadā</w:t>
      </w:r>
      <w:r>
        <w:t>.</w:t>
      </w:r>
    </w:p>
  </w:footnote>
  <w:footnote w:id="21">
    <w:p w14:paraId="54D3556C" w14:textId="5C241B70" w:rsidR="00796BAF" w:rsidRDefault="00796BAF" w:rsidP="00667D72">
      <w:pPr>
        <w:pStyle w:val="FootnoteText"/>
        <w:jc w:val="both"/>
      </w:pPr>
      <w:r>
        <w:rPr>
          <w:rStyle w:val="FootnoteReference"/>
        </w:rPr>
        <w:footnoteRef/>
      </w:r>
      <w:r>
        <w:t xml:space="preserve"> Jauno, kā arī to objektu, kuri ir uzskatāmi par pilnībā atjaunotiem, pārbūvētiem vai restaurētiem, īpatsvars.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3CE0" w14:textId="77777777" w:rsidR="00796BAF" w:rsidRDefault="00796BAF">
    <w:pPr>
      <w:pStyle w:val="Header"/>
    </w:pPr>
    <w:r>
      <w:rPr>
        <w:noProof/>
        <w:lang w:eastAsia="lv-LV"/>
      </w:rPr>
      <w:drawing>
        <wp:anchor distT="0" distB="0" distL="114300" distR="114300" simplePos="0" relativeHeight="251659264" behindDoc="0" locked="0" layoutInCell="1" allowOverlap="1" wp14:anchorId="1813C850" wp14:editId="49F85C22">
          <wp:simplePos x="0" y="0"/>
          <wp:positionH relativeFrom="rightMargin">
            <wp:align>left</wp:align>
          </wp:positionH>
          <wp:positionV relativeFrom="paragraph">
            <wp:posOffset>-201930</wp:posOffset>
          </wp:positionV>
          <wp:extent cx="771240" cy="594313"/>
          <wp:effectExtent l="0" t="0" r="0" b="0"/>
          <wp:wrapNone/>
          <wp:docPr id="9" name="Picture 9" descr="Sākumlapa | Iekšlietu ministrija">
            <a:extLst xmlns:a="http://schemas.openxmlformats.org/drawingml/2006/main">
              <a:ext uri="{FF2B5EF4-FFF2-40B4-BE49-F238E27FC236}">
                <a16:creationId xmlns:a16="http://schemas.microsoft.com/office/drawing/2014/main" id="{D9DEA313-8478-44C4-B740-31102B3D6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ākumlapa | Iekšlietu ministrija">
                    <a:extLst>
                      <a:ext uri="{FF2B5EF4-FFF2-40B4-BE49-F238E27FC236}">
                        <a16:creationId xmlns:a16="http://schemas.microsoft.com/office/drawing/2014/main" id="{D9DEA313-8478-44C4-B740-31102B3D61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5809"/>
                  <a:stretch/>
                </pic:blipFill>
                <pic:spPr bwMode="auto">
                  <a:xfrm>
                    <a:off x="0" y="0"/>
                    <a:ext cx="771240" cy="59431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062D" w14:textId="33657B80" w:rsidR="00796BAF" w:rsidRDefault="00796BAF" w:rsidP="004A49EE">
    <w:pPr>
      <w:pStyle w:val="Header"/>
    </w:pPr>
    <w:r>
      <w:rPr>
        <w:noProof/>
        <w:lang w:eastAsia="lv-LV"/>
      </w:rPr>
      <w:drawing>
        <wp:anchor distT="0" distB="0" distL="114300" distR="114300" simplePos="0" relativeHeight="251661312" behindDoc="0" locked="0" layoutInCell="1" allowOverlap="1" wp14:anchorId="573FB085" wp14:editId="06EA4F1F">
          <wp:simplePos x="0" y="0"/>
          <wp:positionH relativeFrom="rightMargin">
            <wp:posOffset>-241084</wp:posOffset>
          </wp:positionH>
          <wp:positionV relativeFrom="paragraph">
            <wp:posOffset>-275410</wp:posOffset>
          </wp:positionV>
          <wp:extent cx="771240" cy="594313"/>
          <wp:effectExtent l="0" t="0" r="0" b="0"/>
          <wp:wrapNone/>
          <wp:docPr id="2" name="Picture 2" descr="Sākumlapa | Iekšlietu ministrija">
            <a:extLst xmlns:a="http://schemas.openxmlformats.org/drawingml/2006/main">
              <a:ext uri="{FF2B5EF4-FFF2-40B4-BE49-F238E27FC236}">
                <a16:creationId xmlns:a16="http://schemas.microsoft.com/office/drawing/2014/main" id="{D9DEA313-8478-44C4-B740-31102B3D6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ākumlapa | Iekšlietu ministrija">
                    <a:extLst>
                      <a:ext uri="{FF2B5EF4-FFF2-40B4-BE49-F238E27FC236}">
                        <a16:creationId xmlns:a16="http://schemas.microsoft.com/office/drawing/2014/main" id="{D9DEA313-8478-44C4-B740-31102B3D61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5809"/>
                  <a:stretch/>
                </pic:blipFill>
                <pic:spPr bwMode="auto">
                  <a:xfrm>
                    <a:off x="0" y="0"/>
                    <a:ext cx="771240" cy="59431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85A"/>
    <w:multiLevelType w:val="hybridMultilevel"/>
    <w:tmpl w:val="A0D227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4B6DD3"/>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980F0D"/>
    <w:multiLevelType w:val="hybridMultilevel"/>
    <w:tmpl w:val="53C65442"/>
    <w:lvl w:ilvl="0" w:tplc="04260001">
      <w:start w:val="1"/>
      <w:numFmt w:val="bullet"/>
      <w:lvlText w:val=""/>
      <w:lvlJc w:val="left"/>
      <w:pPr>
        <w:ind w:left="1366" w:hanging="360"/>
      </w:pPr>
      <w:rPr>
        <w:rFonts w:ascii="Symbol" w:hAnsi="Symbol" w:hint="default"/>
      </w:rPr>
    </w:lvl>
    <w:lvl w:ilvl="1" w:tplc="04260003" w:tentative="1">
      <w:start w:val="1"/>
      <w:numFmt w:val="bullet"/>
      <w:lvlText w:val="o"/>
      <w:lvlJc w:val="left"/>
      <w:pPr>
        <w:ind w:left="2086" w:hanging="360"/>
      </w:pPr>
      <w:rPr>
        <w:rFonts w:ascii="Courier New" w:hAnsi="Courier New" w:cs="Courier New" w:hint="default"/>
      </w:rPr>
    </w:lvl>
    <w:lvl w:ilvl="2" w:tplc="04260005" w:tentative="1">
      <w:start w:val="1"/>
      <w:numFmt w:val="bullet"/>
      <w:lvlText w:val=""/>
      <w:lvlJc w:val="left"/>
      <w:pPr>
        <w:ind w:left="2806" w:hanging="360"/>
      </w:pPr>
      <w:rPr>
        <w:rFonts w:ascii="Wingdings" w:hAnsi="Wingdings" w:hint="default"/>
      </w:rPr>
    </w:lvl>
    <w:lvl w:ilvl="3" w:tplc="04260001" w:tentative="1">
      <w:start w:val="1"/>
      <w:numFmt w:val="bullet"/>
      <w:lvlText w:val=""/>
      <w:lvlJc w:val="left"/>
      <w:pPr>
        <w:ind w:left="3526" w:hanging="360"/>
      </w:pPr>
      <w:rPr>
        <w:rFonts w:ascii="Symbol" w:hAnsi="Symbol" w:hint="default"/>
      </w:rPr>
    </w:lvl>
    <w:lvl w:ilvl="4" w:tplc="04260003" w:tentative="1">
      <w:start w:val="1"/>
      <w:numFmt w:val="bullet"/>
      <w:lvlText w:val="o"/>
      <w:lvlJc w:val="left"/>
      <w:pPr>
        <w:ind w:left="4246" w:hanging="360"/>
      </w:pPr>
      <w:rPr>
        <w:rFonts w:ascii="Courier New" w:hAnsi="Courier New" w:cs="Courier New" w:hint="default"/>
      </w:rPr>
    </w:lvl>
    <w:lvl w:ilvl="5" w:tplc="04260005" w:tentative="1">
      <w:start w:val="1"/>
      <w:numFmt w:val="bullet"/>
      <w:lvlText w:val=""/>
      <w:lvlJc w:val="left"/>
      <w:pPr>
        <w:ind w:left="4966" w:hanging="360"/>
      </w:pPr>
      <w:rPr>
        <w:rFonts w:ascii="Wingdings" w:hAnsi="Wingdings" w:hint="default"/>
      </w:rPr>
    </w:lvl>
    <w:lvl w:ilvl="6" w:tplc="04260001" w:tentative="1">
      <w:start w:val="1"/>
      <w:numFmt w:val="bullet"/>
      <w:lvlText w:val=""/>
      <w:lvlJc w:val="left"/>
      <w:pPr>
        <w:ind w:left="5686" w:hanging="360"/>
      </w:pPr>
      <w:rPr>
        <w:rFonts w:ascii="Symbol" w:hAnsi="Symbol" w:hint="default"/>
      </w:rPr>
    </w:lvl>
    <w:lvl w:ilvl="7" w:tplc="04260003" w:tentative="1">
      <w:start w:val="1"/>
      <w:numFmt w:val="bullet"/>
      <w:lvlText w:val="o"/>
      <w:lvlJc w:val="left"/>
      <w:pPr>
        <w:ind w:left="6406" w:hanging="360"/>
      </w:pPr>
      <w:rPr>
        <w:rFonts w:ascii="Courier New" w:hAnsi="Courier New" w:cs="Courier New" w:hint="default"/>
      </w:rPr>
    </w:lvl>
    <w:lvl w:ilvl="8" w:tplc="04260005" w:tentative="1">
      <w:start w:val="1"/>
      <w:numFmt w:val="bullet"/>
      <w:lvlText w:val=""/>
      <w:lvlJc w:val="left"/>
      <w:pPr>
        <w:ind w:left="7126" w:hanging="360"/>
      </w:pPr>
      <w:rPr>
        <w:rFonts w:ascii="Wingdings" w:hAnsi="Wingdings" w:hint="default"/>
      </w:rPr>
    </w:lvl>
  </w:abstractNum>
  <w:abstractNum w:abstractNumId="3" w15:restartNumberingAfterBreak="0">
    <w:nsid w:val="0C7051AB"/>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3477F"/>
    <w:multiLevelType w:val="hybridMultilevel"/>
    <w:tmpl w:val="461C2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462C63"/>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A4126"/>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94472C"/>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FF5FF4"/>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5F3B04"/>
    <w:multiLevelType w:val="hybridMultilevel"/>
    <w:tmpl w:val="8ED406B6"/>
    <w:lvl w:ilvl="0" w:tplc="ADB6D54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5FC2567"/>
    <w:multiLevelType w:val="hybridMultilevel"/>
    <w:tmpl w:val="56381C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6A4554"/>
    <w:multiLevelType w:val="hybridMultilevel"/>
    <w:tmpl w:val="279273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8359FD"/>
    <w:multiLevelType w:val="hybridMultilevel"/>
    <w:tmpl w:val="706C81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5174A9"/>
    <w:multiLevelType w:val="hybridMultilevel"/>
    <w:tmpl w:val="A3AA3A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36481E"/>
    <w:multiLevelType w:val="hybridMultilevel"/>
    <w:tmpl w:val="F72AC4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D910A56"/>
    <w:multiLevelType w:val="hybridMultilevel"/>
    <w:tmpl w:val="4F0C1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014FC4"/>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9309D2"/>
    <w:multiLevelType w:val="hybridMultilevel"/>
    <w:tmpl w:val="FF064E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2FB31A3"/>
    <w:multiLevelType w:val="hybridMultilevel"/>
    <w:tmpl w:val="1396C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E21B9A"/>
    <w:multiLevelType w:val="hybridMultilevel"/>
    <w:tmpl w:val="4F1ECAA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282B3457"/>
    <w:multiLevelType w:val="hybridMultilevel"/>
    <w:tmpl w:val="9AC04E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97F389E"/>
    <w:multiLevelType w:val="hybridMultilevel"/>
    <w:tmpl w:val="AD02C8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9FC6C67"/>
    <w:multiLevelType w:val="hybridMultilevel"/>
    <w:tmpl w:val="F4C23B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9666DB"/>
    <w:multiLevelType w:val="hybridMultilevel"/>
    <w:tmpl w:val="484854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2AB1656"/>
    <w:multiLevelType w:val="hybridMultilevel"/>
    <w:tmpl w:val="1820F546"/>
    <w:lvl w:ilvl="0" w:tplc="04260001">
      <w:start w:val="1"/>
      <w:numFmt w:val="bullet"/>
      <w:lvlText w:val=""/>
      <w:lvlJc w:val="left"/>
      <w:pPr>
        <w:ind w:left="1339" w:hanging="360"/>
      </w:pPr>
      <w:rPr>
        <w:rFonts w:ascii="Symbol" w:hAnsi="Symbol" w:hint="default"/>
      </w:rPr>
    </w:lvl>
    <w:lvl w:ilvl="1" w:tplc="04260003" w:tentative="1">
      <w:start w:val="1"/>
      <w:numFmt w:val="bullet"/>
      <w:lvlText w:val="o"/>
      <w:lvlJc w:val="left"/>
      <w:pPr>
        <w:ind w:left="2059" w:hanging="360"/>
      </w:pPr>
      <w:rPr>
        <w:rFonts w:ascii="Courier New" w:hAnsi="Courier New" w:cs="Courier New" w:hint="default"/>
      </w:rPr>
    </w:lvl>
    <w:lvl w:ilvl="2" w:tplc="04260005" w:tentative="1">
      <w:start w:val="1"/>
      <w:numFmt w:val="bullet"/>
      <w:lvlText w:val=""/>
      <w:lvlJc w:val="left"/>
      <w:pPr>
        <w:ind w:left="2779" w:hanging="360"/>
      </w:pPr>
      <w:rPr>
        <w:rFonts w:ascii="Wingdings" w:hAnsi="Wingdings" w:hint="default"/>
      </w:rPr>
    </w:lvl>
    <w:lvl w:ilvl="3" w:tplc="04260001" w:tentative="1">
      <w:start w:val="1"/>
      <w:numFmt w:val="bullet"/>
      <w:lvlText w:val=""/>
      <w:lvlJc w:val="left"/>
      <w:pPr>
        <w:ind w:left="3499" w:hanging="360"/>
      </w:pPr>
      <w:rPr>
        <w:rFonts w:ascii="Symbol" w:hAnsi="Symbol" w:hint="default"/>
      </w:rPr>
    </w:lvl>
    <w:lvl w:ilvl="4" w:tplc="04260003" w:tentative="1">
      <w:start w:val="1"/>
      <w:numFmt w:val="bullet"/>
      <w:lvlText w:val="o"/>
      <w:lvlJc w:val="left"/>
      <w:pPr>
        <w:ind w:left="4219" w:hanging="360"/>
      </w:pPr>
      <w:rPr>
        <w:rFonts w:ascii="Courier New" w:hAnsi="Courier New" w:cs="Courier New" w:hint="default"/>
      </w:rPr>
    </w:lvl>
    <w:lvl w:ilvl="5" w:tplc="04260005" w:tentative="1">
      <w:start w:val="1"/>
      <w:numFmt w:val="bullet"/>
      <w:lvlText w:val=""/>
      <w:lvlJc w:val="left"/>
      <w:pPr>
        <w:ind w:left="4939" w:hanging="360"/>
      </w:pPr>
      <w:rPr>
        <w:rFonts w:ascii="Wingdings" w:hAnsi="Wingdings" w:hint="default"/>
      </w:rPr>
    </w:lvl>
    <w:lvl w:ilvl="6" w:tplc="04260001" w:tentative="1">
      <w:start w:val="1"/>
      <w:numFmt w:val="bullet"/>
      <w:lvlText w:val=""/>
      <w:lvlJc w:val="left"/>
      <w:pPr>
        <w:ind w:left="5659" w:hanging="360"/>
      </w:pPr>
      <w:rPr>
        <w:rFonts w:ascii="Symbol" w:hAnsi="Symbol" w:hint="default"/>
      </w:rPr>
    </w:lvl>
    <w:lvl w:ilvl="7" w:tplc="04260003" w:tentative="1">
      <w:start w:val="1"/>
      <w:numFmt w:val="bullet"/>
      <w:lvlText w:val="o"/>
      <w:lvlJc w:val="left"/>
      <w:pPr>
        <w:ind w:left="6379" w:hanging="360"/>
      </w:pPr>
      <w:rPr>
        <w:rFonts w:ascii="Courier New" w:hAnsi="Courier New" w:cs="Courier New" w:hint="default"/>
      </w:rPr>
    </w:lvl>
    <w:lvl w:ilvl="8" w:tplc="04260005" w:tentative="1">
      <w:start w:val="1"/>
      <w:numFmt w:val="bullet"/>
      <w:lvlText w:val=""/>
      <w:lvlJc w:val="left"/>
      <w:pPr>
        <w:ind w:left="7099" w:hanging="360"/>
      </w:pPr>
      <w:rPr>
        <w:rFonts w:ascii="Wingdings" w:hAnsi="Wingdings" w:hint="default"/>
      </w:rPr>
    </w:lvl>
  </w:abstractNum>
  <w:abstractNum w:abstractNumId="25" w15:restartNumberingAfterBreak="0">
    <w:nsid w:val="33E76AC5"/>
    <w:multiLevelType w:val="hybridMultilevel"/>
    <w:tmpl w:val="94CE3650"/>
    <w:lvl w:ilvl="0" w:tplc="1EF031B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315CAC"/>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A24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5AA7533"/>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7F27EC3"/>
    <w:multiLevelType w:val="hybridMultilevel"/>
    <w:tmpl w:val="AC3888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9454169"/>
    <w:multiLevelType w:val="hybridMultilevel"/>
    <w:tmpl w:val="21C26DB0"/>
    <w:lvl w:ilvl="0" w:tplc="ADB6D54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3BCB153A"/>
    <w:multiLevelType w:val="hybridMultilevel"/>
    <w:tmpl w:val="76A40F1A"/>
    <w:lvl w:ilvl="0" w:tplc="B0D68D6A">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2F140E"/>
    <w:multiLevelType w:val="hybridMultilevel"/>
    <w:tmpl w:val="165058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C4F5B10"/>
    <w:multiLevelType w:val="hybridMultilevel"/>
    <w:tmpl w:val="94202F40"/>
    <w:lvl w:ilvl="0" w:tplc="5EDA3DB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CE4473F"/>
    <w:multiLevelType w:val="hybridMultilevel"/>
    <w:tmpl w:val="7B3E992E"/>
    <w:lvl w:ilvl="0" w:tplc="E8E644BE">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EBD1B65"/>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F8C1839"/>
    <w:multiLevelType w:val="hybridMultilevel"/>
    <w:tmpl w:val="025868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4CC1A4E"/>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8D3054E"/>
    <w:multiLevelType w:val="hybridMultilevel"/>
    <w:tmpl w:val="BFC6A3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4D160C90"/>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DAA2CCE"/>
    <w:multiLevelType w:val="hybridMultilevel"/>
    <w:tmpl w:val="67C0CBFE"/>
    <w:lvl w:ilvl="0" w:tplc="683677D8">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EF12FD7"/>
    <w:multiLevelType w:val="hybridMultilevel"/>
    <w:tmpl w:val="E9E232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FAD7678"/>
    <w:multiLevelType w:val="hybridMultilevel"/>
    <w:tmpl w:val="2384E66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FCC1330"/>
    <w:multiLevelType w:val="hybridMultilevel"/>
    <w:tmpl w:val="B86EE3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0715053"/>
    <w:multiLevelType w:val="hybridMultilevel"/>
    <w:tmpl w:val="B86EE3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5D92F6E"/>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BDF3303"/>
    <w:multiLevelType w:val="hybridMultilevel"/>
    <w:tmpl w:val="2E4ED6A8"/>
    <w:lvl w:ilvl="0" w:tplc="6742B85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C4454C2"/>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CC536D5"/>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E727C6F"/>
    <w:multiLevelType w:val="hybridMultilevel"/>
    <w:tmpl w:val="484854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EA524C3"/>
    <w:multiLevelType w:val="hybridMultilevel"/>
    <w:tmpl w:val="B86EE3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2FC23BB"/>
    <w:multiLevelType w:val="hybridMultilevel"/>
    <w:tmpl w:val="E3107494"/>
    <w:lvl w:ilvl="0" w:tplc="1EF031B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A2A12C7"/>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D2D3896"/>
    <w:multiLevelType w:val="hybridMultilevel"/>
    <w:tmpl w:val="1BBA12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D3305C5"/>
    <w:multiLevelType w:val="hybridMultilevel"/>
    <w:tmpl w:val="A3D0C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E272C3E"/>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1516E18"/>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6F02077"/>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EFF5087"/>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6"/>
  </w:num>
  <w:num w:numId="3">
    <w:abstractNumId w:val="34"/>
  </w:num>
  <w:num w:numId="4">
    <w:abstractNumId w:val="40"/>
  </w:num>
  <w:num w:numId="5">
    <w:abstractNumId w:val="0"/>
  </w:num>
  <w:num w:numId="6">
    <w:abstractNumId w:val="57"/>
  </w:num>
  <w:num w:numId="7">
    <w:abstractNumId w:val="27"/>
  </w:num>
  <w:num w:numId="8">
    <w:abstractNumId w:val="47"/>
  </w:num>
  <w:num w:numId="9">
    <w:abstractNumId w:val="45"/>
  </w:num>
  <w:num w:numId="10">
    <w:abstractNumId w:val="39"/>
  </w:num>
  <w:num w:numId="11">
    <w:abstractNumId w:val="5"/>
  </w:num>
  <w:num w:numId="12">
    <w:abstractNumId w:val="11"/>
  </w:num>
  <w:num w:numId="13">
    <w:abstractNumId w:val="37"/>
  </w:num>
  <w:num w:numId="14">
    <w:abstractNumId w:val="46"/>
  </w:num>
  <w:num w:numId="15">
    <w:abstractNumId w:val="28"/>
  </w:num>
  <w:num w:numId="16">
    <w:abstractNumId w:val="48"/>
  </w:num>
  <w:num w:numId="17">
    <w:abstractNumId w:val="43"/>
  </w:num>
  <w:num w:numId="18">
    <w:abstractNumId w:val="44"/>
  </w:num>
  <w:num w:numId="19">
    <w:abstractNumId w:val="26"/>
  </w:num>
  <w:num w:numId="20">
    <w:abstractNumId w:val="56"/>
  </w:num>
  <w:num w:numId="21">
    <w:abstractNumId w:val="50"/>
  </w:num>
  <w:num w:numId="22">
    <w:abstractNumId w:val="35"/>
  </w:num>
  <w:num w:numId="23">
    <w:abstractNumId w:val="31"/>
  </w:num>
  <w:num w:numId="24">
    <w:abstractNumId w:val="23"/>
  </w:num>
  <w:num w:numId="25">
    <w:abstractNumId w:val="49"/>
  </w:num>
  <w:num w:numId="26">
    <w:abstractNumId w:val="6"/>
  </w:num>
  <w:num w:numId="27">
    <w:abstractNumId w:val="1"/>
  </w:num>
  <w:num w:numId="28">
    <w:abstractNumId w:val="58"/>
  </w:num>
  <w:num w:numId="29">
    <w:abstractNumId w:val="7"/>
  </w:num>
  <w:num w:numId="30">
    <w:abstractNumId w:val="8"/>
  </w:num>
  <w:num w:numId="31">
    <w:abstractNumId w:val="52"/>
  </w:num>
  <w:num w:numId="32">
    <w:abstractNumId w:val="55"/>
  </w:num>
  <w:num w:numId="33">
    <w:abstractNumId w:val="15"/>
  </w:num>
  <w:num w:numId="34">
    <w:abstractNumId w:val="2"/>
  </w:num>
  <w:num w:numId="35">
    <w:abstractNumId w:val="21"/>
  </w:num>
  <w:num w:numId="36">
    <w:abstractNumId w:val="20"/>
  </w:num>
  <w:num w:numId="37">
    <w:abstractNumId w:val="54"/>
  </w:num>
  <w:num w:numId="38">
    <w:abstractNumId w:val="25"/>
  </w:num>
  <w:num w:numId="39">
    <w:abstractNumId w:val="51"/>
  </w:num>
  <w:num w:numId="40">
    <w:abstractNumId w:val="53"/>
  </w:num>
  <w:num w:numId="41">
    <w:abstractNumId w:val="42"/>
  </w:num>
  <w:num w:numId="42">
    <w:abstractNumId w:val="29"/>
  </w:num>
  <w:num w:numId="43">
    <w:abstractNumId w:val="4"/>
  </w:num>
  <w:num w:numId="44">
    <w:abstractNumId w:val="41"/>
  </w:num>
  <w:num w:numId="45">
    <w:abstractNumId w:val="13"/>
  </w:num>
  <w:num w:numId="46">
    <w:abstractNumId w:val="32"/>
  </w:num>
  <w:num w:numId="47">
    <w:abstractNumId w:val="22"/>
  </w:num>
  <w:num w:numId="48">
    <w:abstractNumId w:val="17"/>
  </w:num>
  <w:num w:numId="49">
    <w:abstractNumId w:val="10"/>
  </w:num>
  <w:num w:numId="50">
    <w:abstractNumId w:val="19"/>
  </w:num>
  <w:num w:numId="51">
    <w:abstractNumId w:val="36"/>
  </w:num>
  <w:num w:numId="52">
    <w:abstractNumId w:val="12"/>
  </w:num>
  <w:num w:numId="53">
    <w:abstractNumId w:val="33"/>
  </w:num>
  <w:num w:numId="54">
    <w:abstractNumId w:val="30"/>
  </w:num>
  <w:num w:numId="55">
    <w:abstractNumId w:val="9"/>
  </w:num>
  <w:num w:numId="56">
    <w:abstractNumId w:val="18"/>
  </w:num>
  <w:num w:numId="57">
    <w:abstractNumId w:val="24"/>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44"/>
    <w:rsid w:val="000039C3"/>
    <w:rsid w:val="00005AB3"/>
    <w:rsid w:val="00007B7F"/>
    <w:rsid w:val="00010E44"/>
    <w:rsid w:val="00015031"/>
    <w:rsid w:val="000156E9"/>
    <w:rsid w:val="00015978"/>
    <w:rsid w:val="000242DC"/>
    <w:rsid w:val="00027604"/>
    <w:rsid w:val="00033C71"/>
    <w:rsid w:val="00036055"/>
    <w:rsid w:val="00040E5A"/>
    <w:rsid w:val="00042408"/>
    <w:rsid w:val="00045741"/>
    <w:rsid w:val="00047862"/>
    <w:rsid w:val="00047BF9"/>
    <w:rsid w:val="00051077"/>
    <w:rsid w:val="0005147D"/>
    <w:rsid w:val="00056CAA"/>
    <w:rsid w:val="000619FD"/>
    <w:rsid w:val="000656FF"/>
    <w:rsid w:val="0007518A"/>
    <w:rsid w:val="00075FA1"/>
    <w:rsid w:val="00082892"/>
    <w:rsid w:val="00084C17"/>
    <w:rsid w:val="0009029F"/>
    <w:rsid w:val="00093D85"/>
    <w:rsid w:val="00094A2B"/>
    <w:rsid w:val="00097111"/>
    <w:rsid w:val="00097389"/>
    <w:rsid w:val="000A2EAD"/>
    <w:rsid w:val="000B51D0"/>
    <w:rsid w:val="000B5870"/>
    <w:rsid w:val="000B5D11"/>
    <w:rsid w:val="000B6C55"/>
    <w:rsid w:val="000C0678"/>
    <w:rsid w:val="000C18CB"/>
    <w:rsid w:val="000C26E0"/>
    <w:rsid w:val="000D0627"/>
    <w:rsid w:val="000D230E"/>
    <w:rsid w:val="000D2939"/>
    <w:rsid w:val="000D462A"/>
    <w:rsid w:val="000D5F40"/>
    <w:rsid w:val="000E19F4"/>
    <w:rsid w:val="000E28DD"/>
    <w:rsid w:val="000E7426"/>
    <w:rsid w:val="000E744F"/>
    <w:rsid w:val="000F01D5"/>
    <w:rsid w:val="000F08C1"/>
    <w:rsid w:val="000F3C5E"/>
    <w:rsid w:val="000F47C1"/>
    <w:rsid w:val="000F6DC1"/>
    <w:rsid w:val="000F78CD"/>
    <w:rsid w:val="00101532"/>
    <w:rsid w:val="001019A7"/>
    <w:rsid w:val="00104822"/>
    <w:rsid w:val="001300E4"/>
    <w:rsid w:val="00136893"/>
    <w:rsid w:val="001403D0"/>
    <w:rsid w:val="00147FB5"/>
    <w:rsid w:val="001610B0"/>
    <w:rsid w:val="00165ADA"/>
    <w:rsid w:val="00166625"/>
    <w:rsid w:val="001670FF"/>
    <w:rsid w:val="00167624"/>
    <w:rsid w:val="00181285"/>
    <w:rsid w:val="0018343A"/>
    <w:rsid w:val="001835D1"/>
    <w:rsid w:val="00183C02"/>
    <w:rsid w:val="00191956"/>
    <w:rsid w:val="00197661"/>
    <w:rsid w:val="001A179A"/>
    <w:rsid w:val="001A6599"/>
    <w:rsid w:val="001B4F99"/>
    <w:rsid w:val="001B5D2A"/>
    <w:rsid w:val="001B624B"/>
    <w:rsid w:val="001C0CCA"/>
    <w:rsid w:val="001C39C2"/>
    <w:rsid w:val="001C3E02"/>
    <w:rsid w:val="001C5A0B"/>
    <w:rsid w:val="001D2173"/>
    <w:rsid w:val="001D3201"/>
    <w:rsid w:val="001E2042"/>
    <w:rsid w:val="001E63DF"/>
    <w:rsid w:val="001F4FE7"/>
    <w:rsid w:val="001F501D"/>
    <w:rsid w:val="001F763D"/>
    <w:rsid w:val="0020385D"/>
    <w:rsid w:val="0020665B"/>
    <w:rsid w:val="00207BC9"/>
    <w:rsid w:val="002120C9"/>
    <w:rsid w:val="00213782"/>
    <w:rsid w:val="00214E76"/>
    <w:rsid w:val="00217140"/>
    <w:rsid w:val="00217A2C"/>
    <w:rsid w:val="0022495A"/>
    <w:rsid w:val="00227CB5"/>
    <w:rsid w:val="002305FE"/>
    <w:rsid w:val="00232A1B"/>
    <w:rsid w:val="00232C57"/>
    <w:rsid w:val="00236014"/>
    <w:rsid w:val="00237A4C"/>
    <w:rsid w:val="00242E78"/>
    <w:rsid w:val="00244180"/>
    <w:rsid w:val="00245C18"/>
    <w:rsid w:val="0024703D"/>
    <w:rsid w:val="00250E72"/>
    <w:rsid w:val="0025221A"/>
    <w:rsid w:val="00252463"/>
    <w:rsid w:val="00253A83"/>
    <w:rsid w:val="00256EF1"/>
    <w:rsid w:val="00270176"/>
    <w:rsid w:val="0027790D"/>
    <w:rsid w:val="00281630"/>
    <w:rsid w:val="00281DBC"/>
    <w:rsid w:val="002843CB"/>
    <w:rsid w:val="00284EC5"/>
    <w:rsid w:val="00285AEC"/>
    <w:rsid w:val="00290865"/>
    <w:rsid w:val="00291DB3"/>
    <w:rsid w:val="0029405B"/>
    <w:rsid w:val="00295969"/>
    <w:rsid w:val="002B2555"/>
    <w:rsid w:val="002B40D6"/>
    <w:rsid w:val="002C3FE8"/>
    <w:rsid w:val="002D33CF"/>
    <w:rsid w:val="002D51E0"/>
    <w:rsid w:val="002E0E1F"/>
    <w:rsid w:val="002E24A7"/>
    <w:rsid w:val="002E2973"/>
    <w:rsid w:val="002E305F"/>
    <w:rsid w:val="002E43DE"/>
    <w:rsid w:val="003036B5"/>
    <w:rsid w:val="003047C7"/>
    <w:rsid w:val="00306270"/>
    <w:rsid w:val="00306419"/>
    <w:rsid w:val="00312C0F"/>
    <w:rsid w:val="0031440A"/>
    <w:rsid w:val="003146D0"/>
    <w:rsid w:val="00315E1F"/>
    <w:rsid w:val="00326E29"/>
    <w:rsid w:val="00335EAE"/>
    <w:rsid w:val="00342409"/>
    <w:rsid w:val="003578A1"/>
    <w:rsid w:val="00360F10"/>
    <w:rsid w:val="003719D2"/>
    <w:rsid w:val="00380000"/>
    <w:rsid w:val="003806DA"/>
    <w:rsid w:val="003835FD"/>
    <w:rsid w:val="003851F4"/>
    <w:rsid w:val="0039059D"/>
    <w:rsid w:val="003940F3"/>
    <w:rsid w:val="00394324"/>
    <w:rsid w:val="0039561B"/>
    <w:rsid w:val="00395705"/>
    <w:rsid w:val="00397395"/>
    <w:rsid w:val="003A2090"/>
    <w:rsid w:val="003A56FA"/>
    <w:rsid w:val="003A7E55"/>
    <w:rsid w:val="003B04F9"/>
    <w:rsid w:val="003B18A6"/>
    <w:rsid w:val="003B5C26"/>
    <w:rsid w:val="003B5D85"/>
    <w:rsid w:val="003D3527"/>
    <w:rsid w:val="003D45CE"/>
    <w:rsid w:val="003D65F8"/>
    <w:rsid w:val="003D7667"/>
    <w:rsid w:val="003E06E5"/>
    <w:rsid w:val="003E3DAB"/>
    <w:rsid w:val="003E5A50"/>
    <w:rsid w:val="00402602"/>
    <w:rsid w:val="00403A0C"/>
    <w:rsid w:val="00404101"/>
    <w:rsid w:val="00406194"/>
    <w:rsid w:val="00406D7A"/>
    <w:rsid w:val="00411AC7"/>
    <w:rsid w:val="00411CBC"/>
    <w:rsid w:val="00411CC8"/>
    <w:rsid w:val="00412771"/>
    <w:rsid w:val="00425704"/>
    <w:rsid w:val="00426D7B"/>
    <w:rsid w:val="004317BF"/>
    <w:rsid w:val="004375C5"/>
    <w:rsid w:val="004456DF"/>
    <w:rsid w:val="00454492"/>
    <w:rsid w:val="00455FEA"/>
    <w:rsid w:val="00470A67"/>
    <w:rsid w:val="00472687"/>
    <w:rsid w:val="0047356E"/>
    <w:rsid w:val="00476A99"/>
    <w:rsid w:val="00486DD8"/>
    <w:rsid w:val="00492093"/>
    <w:rsid w:val="00496F26"/>
    <w:rsid w:val="00497DA1"/>
    <w:rsid w:val="004A147A"/>
    <w:rsid w:val="004A1D89"/>
    <w:rsid w:val="004A2CB1"/>
    <w:rsid w:val="004A49EE"/>
    <w:rsid w:val="004A68FA"/>
    <w:rsid w:val="004B0A72"/>
    <w:rsid w:val="004B129E"/>
    <w:rsid w:val="004B2227"/>
    <w:rsid w:val="004B3A18"/>
    <w:rsid w:val="004B6776"/>
    <w:rsid w:val="004C3CBE"/>
    <w:rsid w:val="004C4727"/>
    <w:rsid w:val="004C6A38"/>
    <w:rsid w:val="004D5FE8"/>
    <w:rsid w:val="004E14A4"/>
    <w:rsid w:val="004E2FB7"/>
    <w:rsid w:val="004E57A0"/>
    <w:rsid w:val="004F032C"/>
    <w:rsid w:val="004F4402"/>
    <w:rsid w:val="004F5539"/>
    <w:rsid w:val="005023C6"/>
    <w:rsid w:val="00502BEE"/>
    <w:rsid w:val="00506F6A"/>
    <w:rsid w:val="005112CC"/>
    <w:rsid w:val="00513912"/>
    <w:rsid w:val="00520582"/>
    <w:rsid w:val="00526064"/>
    <w:rsid w:val="005264A6"/>
    <w:rsid w:val="005273DC"/>
    <w:rsid w:val="00530060"/>
    <w:rsid w:val="0053084B"/>
    <w:rsid w:val="00531790"/>
    <w:rsid w:val="00535E8B"/>
    <w:rsid w:val="00536A47"/>
    <w:rsid w:val="00537131"/>
    <w:rsid w:val="00540686"/>
    <w:rsid w:val="00542539"/>
    <w:rsid w:val="00542F9E"/>
    <w:rsid w:val="005441ED"/>
    <w:rsid w:val="0054536F"/>
    <w:rsid w:val="00547332"/>
    <w:rsid w:val="00547B5E"/>
    <w:rsid w:val="00554B84"/>
    <w:rsid w:val="00556B0C"/>
    <w:rsid w:val="00556BA8"/>
    <w:rsid w:val="00557A93"/>
    <w:rsid w:val="00565473"/>
    <w:rsid w:val="00566F01"/>
    <w:rsid w:val="00567194"/>
    <w:rsid w:val="00571E44"/>
    <w:rsid w:val="005747F4"/>
    <w:rsid w:val="005754B4"/>
    <w:rsid w:val="005808AB"/>
    <w:rsid w:val="00581808"/>
    <w:rsid w:val="005828ED"/>
    <w:rsid w:val="00582F62"/>
    <w:rsid w:val="00591249"/>
    <w:rsid w:val="00593FD9"/>
    <w:rsid w:val="005A3DF1"/>
    <w:rsid w:val="005A6336"/>
    <w:rsid w:val="005B2694"/>
    <w:rsid w:val="005B6520"/>
    <w:rsid w:val="005C22E5"/>
    <w:rsid w:val="005C4153"/>
    <w:rsid w:val="005C7410"/>
    <w:rsid w:val="005D013F"/>
    <w:rsid w:val="005D3B34"/>
    <w:rsid w:val="005E025B"/>
    <w:rsid w:val="005E3E6B"/>
    <w:rsid w:val="005E5E7F"/>
    <w:rsid w:val="005F1204"/>
    <w:rsid w:val="005F7201"/>
    <w:rsid w:val="00600D06"/>
    <w:rsid w:val="006024BE"/>
    <w:rsid w:val="00607AA0"/>
    <w:rsid w:val="0061401B"/>
    <w:rsid w:val="006162C7"/>
    <w:rsid w:val="006210A3"/>
    <w:rsid w:val="00630AC5"/>
    <w:rsid w:val="00631612"/>
    <w:rsid w:val="00631B06"/>
    <w:rsid w:val="0063261B"/>
    <w:rsid w:val="00640CE1"/>
    <w:rsid w:val="00641751"/>
    <w:rsid w:val="006426E8"/>
    <w:rsid w:val="006507AB"/>
    <w:rsid w:val="00652C31"/>
    <w:rsid w:val="00654AE7"/>
    <w:rsid w:val="006554EA"/>
    <w:rsid w:val="006603A8"/>
    <w:rsid w:val="00661346"/>
    <w:rsid w:val="006637E9"/>
    <w:rsid w:val="00665C74"/>
    <w:rsid w:val="00667349"/>
    <w:rsid w:val="00667D72"/>
    <w:rsid w:val="0067206A"/>
    <w:rsid w:val="00672C06"/>
    <w:rsid w:val="00672F38"/>
    <w:rsid w:val="006740F9"/>
    <w:rsid w:val="0068161B"/>
    <w:rsid w:val="00682447"/>
    <w:rsid w:val="006875A0"/>
    <w:rsid w:val="00691C2B"/>
    <w:rsid w:val="00696139"/>
    <w:rsid w:val="0069617D"/>
    <w:rsid w:val="006A2FC9"/>
    <w:rsid w:val="006A3182"/>
    <w:rsid w:val="006A6744"/>
    <w:rsid w:val="006A69B8"/>
    <w:rsid w:val="006A72A6"/>
    <w:rsid w:val="006B032E"/>
    <w:rsid w:val="006B5A28"/>
    <w:rsid w:val="006B7A99"/>
    <w:rsid w:val="006C4F9D"/>
    <w:rsid w:val="006D159D"/>
    <w:rsid w:val="006D51C9"/>
    <w:rsid w:val="006E0C33"/>
    <w:rsid w:val="006E5BEB"/>
    <w:rsid w:val="006E6614"/>
    <w:rsid w:val="006F35DC"/>
    <w:rsid w:val="006F3CBE"/>
    <w:rsid w:val="006F7EB5"/>
    <w:rsid w:val="00701B95"/>
    <w:rsid w:val="00704033"/>
    <w:rsid w:val="00706185"/>
    <w:rsid w:val="00707076"/>
    <w:rsid w:val="007205C4"/>
    <w:rsid w:val="007218A7"/>
    <w:rsid w:val="007225D5"/>
    <w:rsid w:val="00722FF8"/>
    <w:rsid w:val="00724D9C"/>
    <w:rsid w:val="007312FB"/>
    <w:rsid w:val="007320A3"/>
    <w:rsid w:val="007365DD"/>
    <w:rsid w:val="00736CC6"/>
    <w:rsid w:val="007467B1"/>
    <w:rsid w:val="00746B19"/>
    <w:rsid w:val="00754E5E"/>
    <w:rsid w:val="00760F18"/>
    <w:rsid w:val="00761D6D"/>
    <w:rsid w:val="00761FA8"/>
    <w:rsid w:val="007625A8"/>
    <w:rsid w:val="00764C8B"/>
    <w:rsid w:val="00766479"/>
    <w:rsid w:val="0077119B"/>
    <w:rsid w:val="00774BFB"/>
    <w:rsid w:val="00774E80"/>
    <w:rsid w:val="007758F5"/>
    <w:rsid w:val="00776E14"/>
    <w:rsid w:val="007826F5"/>
    <w:rsid w:val="0078361D"/>
    <w:rsid w:val="00786B19"/>
    <w:rsid w:val="0079455D"/>
    <w:rsid w:val="00796BAF"/>
    <w:rsid w:val="0079789F"/>
    <w:rsid w:val="007A10B8"/>
    <w:rsid w:val="007B1929"/>
    <w:rsid w:val="007C0010"/>
    <w:rsid w:val="007C3809"/>
    <w:rsid w:val="007C3ECC"/>
    <w:rsid w:val="007C4CC0"/>
    <w:rsid w:val="007C69D9"/>
    <w:rsid w:val="007D057F"/>
    <w:rsid w:val="007D355E"/>
    <w:rsid w:val="007D6664"/>
    <w:rsid w:val="007D70BB"/>
    <w:rsid w:val="007E471C"/>
    <w:rsid w:val="007E7443"/>
    <w:rsid w:val="007E76B8"/>
    <w:rsid w:val="007E7B78"/>
    <w:rsid w:val="007F14BB"/>
    <w:rsid w:val="007F1A4C"/>
    <w:rsid w:val="007F28FC"/>
    <w:rsid w:val="007F4562"/>
    <w:rsid w:val="007F4BEB"/>
    <w:rsid w:val="007F6EE0"/>
    <w:rsid w:val="00803E56"/>
    <w:rsid w:val="008042DA"/>
    <w:rsid w:val="008046C7"/>
    <w:rsid w:val="008059D6"/>
    <w:rsid w:val="008063BE"/>
    <w:rsid w:val="008068CD"/>
    <w:rsid w:val="00810302"/>
    <w:rsid w:val="00811320"/>
    <w:rsid w:val="00811B73"/>
    <w:rsid w:val="008139B2"/>
    <w:rsid w:val="00824BED"/>
    <w:rsid w:val="00826333"/>
    <w:rsid w:val="00831685"/>
    <w:rsid w:val="00833FB6"/>
    <w:rsid w:val="00834AD8"/>
    <w:rsid w:val="00836526"/>
    <w:rsid w:val="00850AEB"/>
    <w:rsid w:val="008561EF"/>
    <w:rsid w:val="0086147B"/>
    <w:rsid w:val="00861E08"/>
    <w:rsid w:val="00862960"/>
    <w:rsid w:val="00864A08"/>
    <w:rsid w:val="00864F38"/>
    <w:rsid w:val="00866DF3"/>
    <w:rsid w:val="00867B4C"/>
    <w:rsid w:val="00867EB0"/>
    <w:rsid w:val="00870EAE"/>
    <w:rsid w:val="00876BA8"/>
    <w:rsid w:val="0087770A"/>
    <w:rsid w:val="00882223"/>
    <w:rsid w:val="00883685"/>
    <w:rsid w:val="008842BD"/>
    <w:rsid w:val="00885656"/>
    <w:rsid w:val="008901B5"/>
    <w:rsid w:val="00890BF3"/>
    <w:rsid w:val="00893F3A"/>
    <w:rsid w:val="008953B1"/>
    <w:rsid w:val="00895912"/>
    <w:rsid w:val="00897407"/>
    <w:rsid w:val="008A2EDF"/>
    <w:rsid w:val="008B1987"/>
    <w:rsid w:val="008B4C67"/>
    <w:rsid w:val="008B6258"/>
    <w:rsid w:val="008B67C7"/>
    <w:rsid w:val="008B6F0B"/>
    <w:rsid w:val="008B6FF9"/>
    <w:rsid w:val="008C3B63"/>
    <w:rsid w:val="008C49DB"/>
    <w:rsid w:val="008C5F20"/>
    <w:rsid w:val="008D63EC"/>
    <w:rsid w:val="008D7647"/>
    <w:rsid w:val="008E36BB"/>
    <w:rsid w:val="008E5CA3"/>
    <w:rsid w:val="008E6EBC"/>
    <w:rsid w:val="008E784E"/>
    <w:rsid w:val="008F141F"/>
    <w:rsid w:val="008F63F1"/>
    <w:rsid w:val="008F6DFA"/>
    <w:rsid w:val="0090295E"/>
    <w:rsid w:val="00914F35"/>
    <w:rsid w:val="00915849"/>
    <w:rsid w:val="009201BE"/>
    <w:rsid w:val="009259F2"/>
    <w:rsid w:val="00926A6B"/>
    <w:rsid w:val="009278F7"/>
    <w:rsid w:val="009353D2"/>
    <w:rsid w:val="00937D66"/>
    <w:rsid w:val="00945BE8"/>
    <w:rsid w:val="00947AAF"/>
    <w:rsid w:val="00947BAC"/>
    <w:rsid w:val="009501A1"/>
    <w:rsid w:val="00954BB4"/>
    <w:rsid w:val="009559A3"/>
    <w:rsid w:val="00956BB5"/>
    <w:rsid w:val="009624D3"/>
    <w:rsid w:val="00964C2B"/>
    <w:rsid w:val="009673BE"/>
    <w:rsid w:val="00967E3A"/>
    <w:rsid w:val="00971EC5"/>
    <w:rsid w:val="00974AB8"/>
    <w:rsid w:val="00974E2A"/>
    <w:rsid w:val="00975639"/>
    <w:rsid w:val="009771EA"/>
    <w:rsid w:val="00994352"/>
    <w:rsid w:val="009964E8"/>
    <w:rsid w:val="00996587"/>
    <w:rsid w:val="009A12C0"/>
    <w:rsid w:val="009A694C"/>
    <w:rsid w:val="009A7F82"/>
    <w:rsid w:val="009B187F"/>
    <w:rsid w:val="009B3B93"/>
    <w:rsid w:val="009B5C0D"/>
    <w:rsid w:val="009B5CB5"/>
    <w:rsid w:val="009B7836"/>
    <w:rsid w:val="009C09DE"/>
    <w:rsid w:val="009C20CA"/>
    <w:rsid w:val="009C3C31"/>
    <w:rsid w:val="009C4006"/>
    <w:rsid w:val="009C7118"/>
    <w:rsid w:val="009C7DA7"/>
    <w:rsid w:val="009C7DE5"/>
    <w:rsid w:val="009D3CF1"/>
    <w:rsid w:val="009D4D7C"/>
    <w:rsid w:val="009E3FE1"/>
    <w:rsid w:val="009F31B9"/>
    <w:rsid w:val="00A16EB0"/>
    <w:rsid w:val="00A223BF"/>
    <w:rsid w:val="00A23A9F"/>
    <w:rsid w:val="00A23DD4"/>
    <w:rsid w:val="00A267BA"/>
    <w:rsid w:val="00A33FC7"/>
    <w:rsid w:val="00A416B8"/>
    <w:rsid w:val="00A43D9A"/>
    <w:rsid w:val="00A4510E"/>
    <w:rsid w:val="00A477FD"/>
    <w:rsid w:val="00A50157"/>
    <w:rsid w:val="00A523DE"/>
    <w:rsid w:val="00A60134"/>
    <w:rsid w:val="00A666A3"/>
    <w:rsid w:val="00A77645"/>
    <w:rsid w:val="00A8412C"/>
    <w:rsid w:val="00A85151"/>
    <w:rsid w:val="00A863A4"/>
    <w:rsid w:val="00A87463"/>
    <w:rsid w:val="00A92612"/>
    <w:rsid w:val="00A955CF"/>
    <w:rsid w:val="00A9771F"/>
    <w:rsid w:val="00AA02BA"/>
    <w:rsid w:val="00AA18B5"/>
    <w:rsid w:val="00AA310C"/>
    <w:rsid w:val="00AA3626"/>
    <w:rsid w:val="00AB5993"/>
    <w:rsid w:val="00AB671C"/>
    <w:rsid w:val="00AC0EC8"/>
    <w:rsid w:val="00AC2211"/>
    <w:rsid w:val="00AC2C29"/>
    <w:rsid w:val="00AC362B"/>
    <w:rsid w:val="00AC4B30"/>
    <w:rsid w:val="00AC5C70"/>
    <w:rsid w:val="00AC662F"/>
    <w:rsid w:val="00AC6A01"/>
    <w:rsid w:val="00AD1DC5"/>
    <w:rsid w:val="00AD26F7"/>
    <w:rsid w:val="00AD34A1"/>
    <w:rsid w:val="00AD6C2A"/>
    <w:rsid w:val="00AD7F72"/>
    <w:rsid w:val="00AE13BE"/>
    <w:rsid w:val="00AE2AF4"/>
    <w:rsid w:val="00AE367B"/>
    <w:rsid w:val="00AE6D76"/>
    <w:rsid w:val="00AE7AD6"/>
    <w:rsid w:val="00AF08CE"/>
    <w:rsid w:val="00B00779"/>
    <w:rsid w:val="00B1064E"/>
    <w:rsid w:val="00B11625"/>
    <w:rsid w:val="00B14BDB"/>
    <w:rsid w:val="00B15D92"/>
    <w:rsid w:val="00B16C71"/>
    <w:rsid w:val="00B16E2E"/>
    <w:rsid w:val="00B17853"/>
    <w:rsid w:val="00B2159A"/>
    <w:rsid w:val="00B22A49"/>
    <w:rsid w:val="00B23D1B"/>
    <w:rsid w:val="00B26F00"/>
    <w:rsid w:val="00B3197E"/>
    <w:rsid w:val="00B41C8C"/>
    <w:rsid w:val="00B41F8B"/>
    <w:rsid w:val="00B43A0E"/>
    <w:rsid w:val="00B44BB5"/>
    <w:rsid w:val="00B52B63"/>
    <w:rsid w:val="00B60ED2"/>
    <w:rsid w:val="00B63902"/>
    <w:rsid w:val="00B63CAD"/>
    <w:rsid w:val="00B80D03"/>
    <w:rsid w:val="00B82FE3"/>
    <w:rsid w:val="00B85AB4"/>
    <w:rsid w:val="00B87A3D"/>
    <w:rsid w:val="00B9108C"/>
    <w:rsid w:val="00B93B2C"/>
    <w:rsid w:val="00BA09C0"/>
    <w:rsid w:val="00BA14EB"/>
    <w:rsid w:val="00BA1BAB"/>
    <w:rsid w:val="00BA7660"/>
    <w:rsid w:val="00BB300A"/>
    <w:rsid w:val="00BB729F"/>
    <w:rsid w:val="00BC338E"/>
    <w:rsid w:val="00BC3DF6"/>
    <w:rsid w:val="00BD532C"/>
    <w:rsid w:val="00BE1D17"/>
    <w:rsid w:val="00BE3F22"/>
    <w:rsid w:val="00BE58D4"/>
    <w:rsid w:val="00BF103D"/>
    <w:rsid w:val="00BF2160"/>
    <w:rsid w:val="00BF29E3"/>
    <w:rsid w:val="00BF2FEC"/>
    <w:rsid w:val="00BF3CD2"/>
    <w:rsid w:val="00BF4541"/>
    <w:rsid w:val="00BF4E93"/>
    <w:rsid w:val="00BF756E"/>
    <w:rsid w:val="00C07428"/>
    <w:rsid w:val="00C075FD"/>
    <w:rsid w:val="00C12EBE"/>
    <w:rsid w:val="00C168F1"/>
    <w:rsid w:val="00C21BA0"/>
    <w:rsid w:val="00C26B8E"/>
    <w:rsid w:val="00C334BF"/>
    <w:rsid w:val="00C35B6F"/>
    <w:rsid w:val="00C36D1B"/>
    <w:rsid w:val="00C40A21"/>
    <w:rsid w:val="00C5045C"/>
    <w:rsid w:val="00C52D0F"/>
    <w:rsid w:val="00C53700"/>
    <w:rsid w:val="00C545C7"/>
    <w:rsid w:val="00C550A3"/>
    <w:rsid w:val="00C561C0"/>
    <w:rsid w:val="00C609CE"/>
    <w:rsid w:val="00C67857"/>
    <w:rsid w:val="00C7312F"/>
    <w:rsid w:val="00C7610A"/>
    <w:rsid w:val="00C80911"/>
    <w:rsid w:val="00C85786"/>
    <w:rsid w:val="00C971B0"/>
    <w:rsid w:val="00CA1405"/>
    <w:rsid w:val="00CA3424"/>
    <w:rsid w:val="00CB0C24"/>
    <w:rsid w:val="00CB17E3"/>
    <w:rsid w:val="00CB52E3"/>
    <w:rsid w:val="00CB709C"/>
    <w:rsid w:val="00CC2308"/>
    <w:rsid w:val="00CC5183"/>
    <w:rsid w:val="00CC5D21"/>
    <w:rsid w:val="00CD1A4A"/>
    <w:rsid w:val="00CD42C7"/>
    <w:rsid w:val="00CE080F"/>
    <w:rsid w:val="00CE5FD1"/>
    <w:rsid w:val="00CE6591"/>
    <w:rsid w:val="00CF4FAB"/>
    <w:rsid w:val="00D062CF"/>
    <w:rsid w:val="00D1569E"/>
    <w:rsid w:val="00D21C3D"/>
    <w:rsid w:val="00D21D52"/>
    <w:rsid w:val="00D2526E"/>
    <w:rsid w:val="00D30C1A"/>
    <w:rsid w:val="00D348A8"/>
    <w:rsid w:val="00D348D5"/>
    <w:rsid w:val="00D354BA"/>
    <w:rsid w:val="00D423A6"/>
    <w:rsid w:val="00D46015"/>
    <w:rsid w:val="00D5224C"/>
    <w:rsid w:val="00D524BB"/>
    <w:rsid w:val="00D54DCC"/>
    <w:rsid w:val="00D5510F"/>
    <w:rsid w:val="00D55135"/>
    <w:rsid w:val="00D57469"/>
    <w:rsid w:val="00D577B8"/>
    <w:rsid w:val="00D650EA"/>
    <w:rsid w:val="00D659B8"/>
    <w:rsid w:val="00D70FB4"/>
    <w:rsid w:val="00D71F81"/>
    <w:rsid w:val="00D745D3"/>
    <w:rsid w:val="00D74DFC"/>
    <w:rsid w:val="00D81667"/>
    <w:rsid w:val="00D9130F"/>
    <w:rsid w:val="00DA0D1A"/>
    <w:rsid w:val="00DA1B89"/>
    <w:rsid w:val="00DA214A"/>
    <w:rsid w:val="00DB07BF"/>
    <w:rsid w:val="00DB3EBA"/>
    <w:rsid w:val="00DB4C01"/>
    <w:rsid w:val="00DC14D6"/>
    <w:rsid w:val="00DC5151"/>
    <w:rsid w:val="00DC5585"/>
    <w:rsid w:val="00DD3D10"/>
    <w:rsid w:val="00DD6820"/>
    <w:rsid w:val="00DD7EAF"/>
    <w:rsid w:val="00DE10AC"/>
    <w:rsid w:val="00DE1674"/>
    <w:rsid w:val="00DE1CF0"/>
    <w:rsid w:val="00DE21BD"/>
    <w:rsid w:val="00DE2CA3"/>
    <w:rsid w:val="00DE5390"/>
    <w:rsid w:val="00DF559F"/>
    <w:rsid w:val="00E010A9"/>
    <w:rsid w:val="00E024A8"/>
    <w:rsid w:val="00E15354"/>
    <w:rsid w:val="00E1624F"/>
    <w:rsid w:val="00E20700"/>
    <w:rsid w:val="00E2421F"/>
    <w:rsid w:val="00E24EE5"/>
    <w:rsid w:val="00E30385"/>
    <w:rsid w:val="00E34F2A"/>
    <w:rsid w:val="00E3580F"/>
    <w:rsid w:val="00E4003C"/>
    <w:rsid w:val="00E417E0"/>
    <w:rsid w:val="00E463D3"/>
    <w:rsid w:val="00E47D18"/>
    <w:rsid w:val="00E529AB"/>
    <w:rsid w:val="00E54B71"/>
    <w:rsid w:val="00E57CB1"/>
    <w:rsid w:val="00E61A07"/>
    <w:rsid w:val="00E62F31"/>
    <w:rsid w:val="00E62FA0"/>
    <w:rsid w:val="00E65A0E"/>
    <w:rsid w:val="00E66912"/>
    <w:rsid w:val="00E71941"/>
    <w:rsid w:val="00E72B6A"/>
    <w:rsid w:val="00E732EC"/>
    <w:rsid w:val="00E74F86"/>
    <w:rsid w:val="00E80712"/>
    <w:rsid w:val="00E80D0D"/>
    <w:rsid w:val="00E8482C"/>
    <w:rsid w:val="00E85E13"/>
    <w:rsid w:val="00E86945"/>
    <w:rsid w:val="00E87E47"/>
    <w:rsid w:val="00E9310F"/>
    <w:rsid w:val="00E9364B"/>
    <w:rsid w:val="00EA1E2E"/>
    <w:rsid w:val="00EA2F2B"/>
    <w:rsid w:val="00EA3CED"/>
    <w:rsid w:val="00EA6148"/>
    <w:rsid w:val="00EB7C35"/>
    <w:rsid w:val="00EC1143"/>
    <w:rsid w:val="00EC12E9"/>
    <w:rsid w:val="00EC2560"/>
    <w:rsid w:val="00EC2B3E"/>
    <w:rsid w:val="00ED0701"/>
    <w:rsid w:val="00ED5740"/>
    <w:rsid w:val="00ED6164"/>
    <w:rsid w:val="00EE0AF6"/>
    <w:rsid w:val="00EE4804"/>
    <w:rsid w:val="00EE5C5A"/>
    <w:rsid w:val="00EF063E"/>
    <w:rsid w:val="00EF4220"/>
    <w:rsid w:val="00F1008F"/>
    <w:rsid w:val="00F11AA0"/>
    <w:rsid w:val="00F14632"/>
    <w:rsid w:val="00F17022"/>
    <w:rsid w:val="00F17A86"/>
    <w:rsid w:val="00F24EC6"/>
    <w:rsid w:val="00F25486"/>
    <w:rsid w:val="00F278F2"/>
    <w:rsid w:val="00F42044"/>
    <w:rsid w:val="00F43EA3"/>
    <w:rsid w:val="00F50775"/>
    <w:rsid w:val="00F561E6"/>
    <w:rsid w:val="00F61B3A"/>
    <w:rsid w:val="00F61D00"/>
    <w:rsid w:val="00F640D0"/>
    <w:rsid w:val="00F65893"/>
    <w:rsid w:val="00F67514"/>
    <w:rsid w:val="00F747B5"/>
    <w:rsid w:val="00F80329"/>
    <w:rsid w:val="00F837A0"/>
    <w:rsid w:val="00F84CCD"/>
    <w:rsid w:val="00F93557"/>
    <w:rsid w:val="00FA2555"/>
    <w:rsid w:val="00FA2A4F"/>
    <w:rsid w:val="00FA3EE8"/>
    <w:rsid w:val="00FB3D27"/>
    <w:rsid w:val="00FB4FA4"/>
    <w:rsid w:val="00FC3BA2"/>
    <w:rsid w:val="00FC6105"/>
    <w:rsid w:val="00FC6222"/>
    <w:rsid w:val="00FC725A"/>
    <w:rsid w:val="00FD226F"/>
    <w:rsid w:val="00FD5284"/>
    <w:rsid w:val="00FD547D"/>
    <w:rsid w:val="00FE0B4D"/>
    <w:rsid w:val="00FE2842"/>
    <w:rsid w:val="00FE3965"/>
    <w:rsid w:val="00FF56B9"/>
    <w:rsid w:val="00FF61B2"/>
    <w:rsid w:val="00FF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A8361"/>
  <w15:chartTrackingRefBased/>
  <w15:docId w15:val="{5DC681F2-DFB1-4762-A963-AA8D6C01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v-LV"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912"/>
  </w:style>
  <w:style w:type="paragraph" w:styleId="Heading1">
    <w:name w:val="heading 1"/>
    <w:basedOn w:val="Normal"/>
    <w:next w:val="Normal"/>
    <w:link w:val="Heading1Char"/>
    <w:uiPriority w:val="9"/>
    <w:qFormat/>
    <w:rsid w:val="00E6691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691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6691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6691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6691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6691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6691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6691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6691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0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E669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691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6691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6691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6691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6691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6691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6691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6691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6691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6691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6691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6691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66912"/>
    <w:rPr>
      <w:rFonts w:asciiTheme="majorHAnsi" w:eastAsiaTheme="majorEastAsia" w:hAnsiTheme="majorHAnsi" w:cstheme="majorBidi"/>
      <w:sz w:val="24"/>
      <w:szCs w:val="24"/>
    </w:rPr>
  </w:style>
  <w:style w:type="character" w:styleId="Strong">
    <w:name w:val="Strong"/>
    <w:basedOn w:val="DefaultParagraphFont"/>
    <w:uiPriority w:val="22"/>
    <w:qFormat/>
    <w:rsid w:val="00E66912"/>
    <w:rPr>
      <w:b/>
      <w:bCs/>
    </w:rPr>
  </w:style>
  <w:style w:type="character" w:styleId="Emphasis">
    <w:name w:val="Emphasis"/>
    <w:basedOn w:val="DefaultParagraphFont"/>
    <w:uiPriority w:val="20"/>
    <w:qFormat/>
    <w:rsid w:val="00E66912"/>
    <w:rPr>
      <w:i/>
      <w:iCs/>
    </w:rPr>
  </w:style>
  <w:style w:type="paragraph" w:styleId="NoSpacing">
    <w:name w:val="No Spacing"/>
    <w:link w:val="NoSpacingChar"/>
    <w:uiPriority w:val="1"/>
    <w:qFormat/>
    <w:rsid w:val="00E66912"/>
    <w:pPr>
      <w:spacing w:after="0" w:line="240" w:lineRule="auto"/>
    </w:pPr>
  </w:style>
  <w:style w:type="paragraph" w:styleId="Quote">
    <w:name w:val="Quote"/>
    <w:basedOn w:val="Normal"/>
    <w:next w:val="Normal"/>
    <w:link w:val="QuoteChar"/>
    <w:uiPriority w:val="29"/>
    <w:qFormat/>
    <w:rsid w:val="00E6691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66912"/>
    <w:rPr>
      <w:i/>
      <w:iCs/>
      <w:color w:val="404040" w:themeColor="text1" w:themeTint="BF"/>
    </w:rPr>
  </w:style>
  <w:style w:type="paragraph" w:styleId="IntenseQuote">
    <w:name w:val="Intense Quote"/>
    <w:basedOn w:val="Normal"/>
    <w:next w:val="Normal"/>
    <w:link w:val="IntenseQuoteChar"/>
    <w:uiPriority w:val="30"/>
    <w:qFormat/>
    <w:rsid w:val="00E6691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6691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66912"/>
    <w:rPr>
      <w:i/>
      <w:iCs/>
      <w:color w:val="404040" w:themeColor="text1" w:themeTint="BF"/>
    </w:rPr>
  </w:style>
  <w:style w:type="character" w:styleId="IntenseEmphasis">
    <w:name w:val="Intense Emphasis"/>
    <w:basedOn w:val="DefaultParagraphFont"/>
    <w:uiPriority w:val="21"/>
    <w:qFormat/>
    <w:rsid w:val="00E66912"/>
    <w:rPr>
      <w:b/>
      <w:bCs/>
      <w:i/>
      <w:iCs/>
    </w:rPr>
  </w:style>
  <w:style w:type="character" w:styleId="SubtleReference">
    <w:name w:val="Subtle Reference"/>
    <w:basedOn w:val="DefaultParagraphFont"/>
    <w:uiPriority w:val="31"/>
    <w:qFormat/>
    <w:rsid w:val="00E6691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66912"/>
    <w:rPr>
      <w:b/>
      <w:bCs/>
      <w:smallCaps/>
      <w:spacing w:val="5"/>
      <w:u w:val="single"/>
    </w:rPr>
  </w:style>
  <w:style w:type="character" w:styleId="BookTitle">
    <w:name w:val="Book Title"/>
    <w:basedOn w:val="DefaultParagraphFont"/>
    <w:uiPriority w:val="33"/>
    <w:qFormat/>
    <w:rsid w:val="00E66912"/>
    <w:rPr>
      <w:b/>
      <w:bCs/>
      <w:smallCaps/>
    </w:rPr>
  </w:style>
  <w:style w:type="paragraph" w:styleId="TOCHeading">
    <w:name w:val="TOC Heading"/>
    <w:basedOn w:val="Heading1"/>
    <w:next w:val="Normal"/>
    <w:uiPriority w:val="39"/>
    <w:semiHidden/>
    <w:unhideWhenUsed/>
    <w:qFormat/>
    <w:rsid w:val="00E66912"/>
    <w:pPr>
      <w:outlineLvl w:val="9"/>
    </w:pPr>
  </w:style>
  <w:style w:type="paragraph" w:styleId="ListParagraph">
    <w:name w:val="List Paragraph"/>
    <w:basedOn w:val="Normal"/>
    <w:uiPriority w:val="34"/>
    <w:qFormat/>
    <w:rsid w:val="005B2694"/>
    <w:pPr>
      <w:ind w:left="720"/>
      <w:contextualSpacing/>
    </w:pPr>
  </w:style>
  <w:style w:type="paragraph" w:styleId="Header">
    <w:name w:val="header"/>
    <w:basedOn w:val="Normal"/>
    <w:link w:val="HeaderChar"/>
    <w:uiPriority w:val="99"/>
    <w:unhideWhenUsed/>
    <w:rsid w:val="00AB67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671C"/>
  </w:style>
  <w:style w:type="paragraph" w:styleId="Footer">
    <w:name w:val="footer"/>
    <w:basedOn w:val="Normal"/>
    <w:link w:val="FooterChar"/>
    <w:uiPriority w:val="99"/>
    <w:unhideWhenUsed/>
    <w:rsid w:val="00AB67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671C"/>
  </w:style>
  <w:style w:type="character" w:customStyle="1" w:styleId="NoSpacingChar">
    <w:name w:val="No Spacing Char"/>
    <w:basedOn w:val="DefaultParagraphFont"/>
    <w:link w:val="NoSpacing"/>
    <w:uiPriority w:val="1"/>
    <w:rsid w:val="00E66912"/>
  </w:style>
  <w:style w:type="table" w:styleId="TableGrid">
    <w:name w:val="Table Grid"/>
    <w:basedOn w:val="TableNormal"/>
    <w:uiPriority w:val="39"/>
    <w:rsid w:val="00165AD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5ADA"/>
    <w:rPr>
      <w:sz w:val="16"/>
      <w:szCs w:val="16"/>
    </w:rPr>
  </w:style>
  <w:style w:type="paragraph" w:styleId="CommentText">
    <w:name w:val="annotation text"/>
    <w:basedOn w:val="Normal"/>
    <w:link w:val="CommentTextChar"/>
    <w:uiPriority w:val="99"/>
    <w:unhideWhenUsed/>
    <w:rsid w:val="00165ADA"/>
    <w:pPr>
      <w:spacing w:after="160" w:line="240" w:lineRule="auto"/>
    </w:pPr>
    <w:rPr>
      <w:rFonts w:ascii="Times New Roman" w:eastAsiaTheme="minorHAnsi" w:hAnsi="Times New Roman"/>
    </w:rPr>
  </w:style>
  <w:style w:type="character" w:customStyle="1" w:styleId="CommentTextChar">
    <w:name w:val="Comment Text Char"/>
    <w:basedOn w:val="DefaultParagraphFont"/>
    <w:link w:val="CommentText"/>
    <w:uiPriority w:val="99"/>
    <w:rsid w:val="00165ADA"/>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165ADA"/>
    <w:rPr>
      <w:b/>
      <w:bCs/>
    </w:rPr>
  </w:style>
  <w:style w:type="character" w:customStyle="1" w:styleId="CommentSubjectChar">
    <w:name w:val="Comment Subject Char"/>
    <w:basedOn w:val="CommentTextChar"/>
    <w:link w:val="CommentSubject"/>
    <w:uiPriority w:val="99"/>
    <w:semiHidden/>
    <w:rsid w:val="00165ADA"/>
    <w:rPr>
      <w:rFonts w:ascii="Times New Roman" w:eastAsiaTheme="minorHAnsi" w:hAnsi="Times New Roman"/>
      <w:b/>
      <w:bCs/>
    </w:rPr>
  </w:style>
  <w:style w:type="paragraph" w:styleId="BalloonText">
    <w:name w:val="Balloon Text"/>
    <w:basedOn w:val="Normal"/>
    <w:link w:val="BalloonTextChar"/>
    <w:uiPriority w:val="99"/>
    <w:semiHidden/>
    <w:unhideWhenUsed/>
    <w:rsid w:val="00165ADA"/>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65ADA"/>
    <w:rPr>
      <w:rFonts w:ascii="Segoe UI" w:eastAsiaTheme="minorHAnsi" w:hAnsi="Segoe UI" w:cs="Segoe UI"/>
      <w:sz w:val="18"/>
      <w:szCs w:val="18"/>
    </w:rPr>
  </w:style>
  <w:style w:type="paragraph" w:styleId="FootnoteText">
    <w:name w:val="footnote text"/>
    <w:basedOn w:val="Normal"/>
    <w:link w:val="FootnoteTextChar"/>
    <w:uiPriority w:val="99"/>
    <w:unhideWhenUsed/>
    <w:rsid w:val="00165ADA"/>
    <w:pPr>
      <w:spacing w:after="0" w:line="240" w:lineRule="auto"/>
    </w:pPr>
    <w:rPr>
      <w:rFonts w:ascii="Times New Roman" w:eastAsiaTheme="minorHAnsi" w:hAnsi="Times New Roman"/>
    </w:rPr>
  </w:style>
  <w:style w:type="character" w:customStyle="1" w:styleId="FootnoteTextChar">
    <w:name w:val="Footnote Text Char"/>
    <w:basedOn w:val="DefaultParagraphFont"/>
    <w:link w:val="FootnoteText"/>
    <w:uiPriority w:val="99"/>
    <w:rsid w:val="00165ADA"/>
    <w:rPr>
      <w:rFonts w:ascii="Times New Roman" w:eastAsiaTheme="minorHAnsi" w:hAnsi="Times New Roman"/>
    </w:rPr>
  </w:style>
  <w:style w:type="character" w:styleId="FootnoteReference">
    <w:name w:val="footnote reference"/>
    <w:basedOn w:val="DefaultParagraphFont"/>
    <w:uiPriority w:val="99"/>
    <w:semiHidden/>
    <w:unhideWhenUsed/>
    <w:rsid w:val="00165ADA"/>
    <w:rPr>
      <w:vertAlign w:val="superscript"/>
    </w:rPr>
  </w:style>
  <w:style w:type="table" w:styleId="GridTable4-Accent1">
    <w:name w:val="Grid Table 4 Accent 1"/>
    <w:basedOn w:val="TableNormal"/>
    <w:uiPriority w:val="49"/>
    <w:rsid w:val="0068244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68244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68244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74BF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6">
    <w:name w:val="Grid Table 1 Light Accent 6"/>
    <w:basedOn w:val="TableNormal"/>
    <w:uiPriority w:val="46"/>
    <w:rsid w:val="00774BF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F17022"/>
    <w:pPr>
      <w:spacing w:after="0" w:line="240" w:lineRule="auto"/>
    </w:pPr>
  </w:style>
  <w:style w:type="paragraph" w:styleId="HTMLPreformatted">
    <w:name w:val="HTML Preformatted"/>
    <w:basedOn w:val="Normal"/>
    <w:link w:val="HTMLPreformattedChar"/>
    <w:uiPriority w:val="99"/>
    <w:unhideWhenUsed/>
    <w:rsid w:val="00947AAF"/>
    <w:pPr>
      <w:suppressAutoHyphens/>
      <w:overflowPunct w:val="0"/>
      <w:autoSpaceDE w:val="0"/>
      <w:spacing w:after="0" w:line="240" w:lineRule="auto"/>
      <w:textAlignment w:val="baseline"/>
    </w:pPr>
    <w:rPr>
      <w:rFonts w:ascii="Courier New" w:eastAsia="Times New Roman" w:hAnsi="Courier New" w:cs="Courier New"/>
      <w:lang w:eastAsia="zh-CN"/>
    </w:rPr>
  </w:style>
  <w:style w:type="character" w:customStyle="1" w:styleId="HTMLPreformattedChar">
    <w:name w:val="HTML Preformatted Char"/>
    <w:basedOn w:val="DefaultParagraphFont"/>
    <w:link w:val="HTMLPreformatted"/>
    <w:uiPriority w:val="99"/>
    <w:rsid w:val="00947AAF"/>
    <w:rPr>
      <w:rFonts w:ascii="Courier New" w:eastAsia="Times New Roman" w:hAnsi="Courier New" w:cs="Courier New"/>
      <w:lang w:eastAsia="zh-CN"/>
    </w:rPr>
  </w:style>
  <w:style w:type="character" w:styleId="Hyperlink">
    <w:name w:val="Hyperlink"/>
    <w:basedOn w:val="DefaultParagraphFont"/>
    <w:uiPriority w:val="99"/>
    <w:unhideWhenUsed/>
    <w:rsid w:val="000F08C1"/>
    <w:rPr>
      <w:color w:val="0563C1" w:themeColor="hyperlink"/>
      <w:u w:val="single"/>
    </w:rPr>
  </w:style>
  <w:style w:type="table" w:customStyle="1" w:styleId="GridTable4-Accent51">
    <w:name w:val="Grid Table 4 - Accent 51"/>
    <w:basedOn w:val="TableNormal"/>
    <w:next w:val="GridTable4-Accent5"/>
    <w:uiPriority w:val="49"/>
    <w:rsid w:val="00007B7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3704">
      <w:bodyDiv w:val="1"/>
      <w:marLeft w:val="0"/>
      <w:marRight w:val="0"/>
      <w:marTop w:val="0"/>
      <w:marBottom w:val="0"/>
      <w:divBdr>
        <w:top w:val="none" w:sz="0" w:space="0" w:color="auto"/>
        <w:left w:val="none" w:sz="0" w:space="0" w:color="auto"/>
        <w:bottom w:val="none" w:sz="0" w:space="0" w:color="auto"/>
        <w:right w:val="none" w:sz="0" w:space="0" w:color="auto"/>
      </w:divBdr>
    </w:div>
    <w:div w:id="405957955">
      <w:bodyDiv w:val="1"/>
      <w:marLeft w:val="0"/>
      <w:marRight w:val="0"/>
      <w:marTop w:val="0"/>
      <w:marBottom w:val="0"/>
      <w:divBdr>
        <w:top w:val="none" w:sz="0" w:space="0" w:color="auto"/>
        <w:left w:val="none" w:sz="0" w:space="0" w:color="auto"/>
        <w:bottom w:val="none" w:sz="0" w:space="0" w:color="auto"/>
        <w:right w:val="none" w:sz="0" w:space="0" w:color="auto"/>
      </w:divBdr>
    </w:div>
    <w:div w:id="409276525">
      <w:bodyDiv w:val="1"/>
      <w:marLeft w:val="0"/>
      <w:marRight w:val="0"/>
      <w:marTop w:val="0"/>
      <w:marBottom w:val="0"/>
      <w:divBdr>
        <w:top w:val="none" w:sz="0" w:space="0" w:color="auto"/>
        <w:left w:val="none" w:sz="0" w:space="0" w:color="auto"/>
        <w:bottom w:val="none" w:sz="0" w:space="0" w:color="auto"/>
        <w:right w:val="none" w:sz="0" w:space="0" w:color="auto"/>
      </w:divBdr>
    </w:div>
    <w:div w:id="421072630">
      <w:bodyDiv w:val="1"/>
      <w:marLeft w:val="0"/>
      <w:marRight w:val="0"/>
      <w:marTop w:val="0"/>
      <w:marBottom w:val="0"/>
      <w:divBdr>
        <w:top w:val="none" w:sz="0" w:space="0" w:color="auto"/>
        <w:left w:val="none" w:sz="0" w:space="0" w:color="auto"/>
        <w:bottom w:val="none" w:sz="0" w:space="0" w:color="auto"/>
        <w:right w:val="none" w:sz="0" w:space="0" w:color="auto"/>
      </w:divBdr>
    </w:div>
    <w:div w:id="568226109">
      <w:bodyDiv w:val="1"/>
      <w:marLeft w:val="0"/>
      <w:marRight w:val="0"/>
      <w:marTop w:val="0"/>
      <w:marBottom w:val="0"/>
      <w:divBdr>
        <w:top w:val="none" w:sz="0" w:space="0" w:color="auto"/>
        <w:left w:val="none" w:sz="0" w:space="0" w:color="auto"/>
        <w:bottom w:val="none" w:sz="0" w:space="0" w:color="auto"/>
        <w:right w:val="none" w:sz="0" w:space="0" w:color="auto"/>
      </w:divBdr>
    </w:div>
    <w:div w:id="604583421">
      <w:bodyDiv w:val="1"/>
      <w:marLeft w:val="0"/>
      <w:marRight w:val="0"/>
      <w:marTop w:val="0"/>
      <w:marBottom w:val="0"/>
      <w:divBdr>
        <w:top w:val="none" w:sz="0" w:space="0" w:color="auto"/>
        <w:left w:val="none" w:sz="0" w:space="0" w:color="auto"/>
        <w:bottom w:val="none" w:sz="0" w:space="0" w:color="auto"/>
        <w:right w:val="none" w:sz="0" w:space="0" w:color="auto"/>
      </w:divBdr>
    </w:div>
    <w:div w:id="687870454">
      <w:bodyDiv w:val="1"/>
      <w:marLeft w:val="0"/>
      <w:marRight w:val="0"/>
      <w:marTop w:val="0"/>
      <w:marBottom w:val="0"/>
      <w:divBdr>
        <w:top w:val="none" w:sz="0" w:space="0" w:color="auto"/>
        <w:left w:val="none" w:sz="0" w:space="0" w:color="auto"/>
        <w:bottom w:val="none" w:sz="0" w:space="0" w:color="auto"/>
        <w:right w:val="none" w:sz="0" w:space="0" w:color="auto"/>
      </w:divBdr>
    </w:div>
    <w:div w:id="740564931">
      <w:bodyDiv w:val="1"/>
      <w:marLeft w:val="0"/>
      <w:marRight w:val="0"/>
      <w:marTop w:val="0"/>
      <w:marBottom w:val="0"/>
      <w:divBdr>
        <w:top w:val="none" w:sz="0" w:space="0" w:color="auto"/>
        <w:left w:val="none" w:sz="0" w:space="0" w:color="auto"/>
        <w:bottom w:val="none" w:sz="0" w:space="0" w:color="auto"/>
        <w:right w:val="none" w:sz="0" w:space="0" w:color="auto"/>
      </w:divBdr>
    </w:div>
    <w:div w:id="938174820">
      <w:bodyDiv w:val="1"/>
      <w:marLeft w:val="0"/>
      <w:marRight w:val="0"/>
      <w:marTop w:val="0"/>
      <w:marBottom w:val="0"/>
      <w:divBdr>
        <w:top w:val="none" w:sz="0" w:space="0" w:color="auto"/>
        <w:left w:val="none" w:sz="0" w:space="0" w:color="auto"/>
        <w:bottom w:val="none" w:sz="0" w:space="0" w:color="auto"/>
        <w:right w:val="none" w:sz="0" w:space="0" w:color="auto"/>
      </w:divBdr>
    </w:div>
    <w:div w:id="990060464">
      <w:bodyDiv w:val="1"/>
      <w:marLeft w:val="0"/>
      <w:marRight w:val="0"/>
      <w:marTop w:val="0"/>
      <w:marBottom w:val="0"/>
      <w:divBdr>
        <w:top w:val="none" w:sz="0" w:space="0" w:color="auto"/>
        <w:left w:val="none" w:sz="0" w:space="0" w:color="auto"/>
        <w:bottom w:val="none" w:sz="0" w:space="0" w:color="auto"/>
        <w:right w:val="none" w:sz="0" w:space="0" w:color="auto"/>
      </w:divBdr>
    </w:div>
    <w:div w:id="1202132994">
      <w:bodyDiv w:val="1"/>
      <w:marLeft w:val="0"/>
      <w:marRight w:val="0"/>
      <w:marTop w:val="0"/>
      <w:marBottom w:val="0"/>
      <w:divBdr>
        <w:top w:val="none" w:sz="0" w:space="0" w:color="auto"/>
        <w:left w:val="none" w:sz="0" w:space="0" w:color="auto"/>
        <w:bottom w:val="none" w:sz="0" w:space="0" w:color="auto"/>
        <w:right w:val="none" w:sz="0" w:space="0" w:color="auto"/>
      </w:divBdr>
    </w:div>
    <w:div w:id="1210262727">
      <w:bodyDiv w:val="1"/>
      <w:marLeft w:val="0"/>
      <w:marRight w:val="0"/>
      <w:marTop w:val="0"/>
      <w:marBottom w:val="0"/>
      <w:divBdr>
        <w:top w:val="none" w:sz="0" w:space="0" w:color="auto"/>
        <w:left w:val="none" w:sz="0" w:space="0" w:color="auto"/>
        <w:bottom w:val="none" w:sz="0" w:space="0" w:color="auto"/>
        <w:right w:val="none" w:sz="0" w:space="0" w:color="auto"/>
      </w:divBdr>
    </w:div>
    <w:div w:id="1255826379">
      <w:bodyDiv w:val="1"/>
      <w:marLeft w:val="0"/>
      <w:marRight w:val="0"/>
      <w:marTop w:val="0"/>
      <w:marBottom w:val="0"/>
      <w:divBdr>
        <w:top w:val="none" w:sz="0" w:space="0" w:color="auto"/>
        <w:left w:val="none" w:sz="0" w:space="0" w:color="auto"/>
        <w:bottom w:val="none" w:sz="0" w:space="0" w:color="auto"/>
        <w:right w:val="none" w:sz="0" w:space="0" w:color="auto"/>
      </w:divBdr>
    </w:div>
    <w:div w:id="1749620934">
      <w:bodyDiv w:val="1"/>
      <w:marLeft w:val="0"/>
      <w:marRight w:val="0"/>
      <w:marTop w:val="0"/>
      <w:marBottom w:val="0"/>
      <w:divBdr>
        <w:top w:val="none" w:sz="0" w:space="0" w:color="auto"/>
        <w:left w:val="none" w:sz="0" w:space="0" w:color="auto"/>
        <w:bottom w:val="none" w:sz="0" w:space="0" w:color="auto"/>
        <w:right w:val="none" w:sz="0" w:space="0" w:color="auto"/>
      </w:divBdr>
    </w:div>
    <w:div w:id="1867985360">
      <w:bodyDiv w:val="1"/>
      <w:marLeft w:val="0"/>
      <w:marRight w:val="0"/>
      <w:marTop w:val="0"/>
      <w:marBottom w:val="0"/>
      <w:divBdr>
        <w:top w:val="none" w:sz="0" w:space="0" w:color="auto"/>
        <w:left w:val="none" w:sz="0" w:space="0" w:color="auto"/>
        <w:bottom w:val="none" w:sz="0" w:space="0" w:color="auto"/>
        <w:right w:val="none" w:sz="0" w:space="0" w:color="auto"/>
      </w:divBdr>
    </w:div>
    <w:div w:id="1882278577">
      <w:bodyDiv w:val="1"/>
      <w:marLeft w:val="0"/>
      <w:marRight w:val="0"/>
      <w:marTop w:val="0"/>
      <w:marBottom w:val="0"/>
      <w:divBdr>
        <w:top w:val="none" w:sz="0" w:space="0" w:color="auto"/>
        <w:left w:val="none" w:sz="0" w:space="0" w:color="auto"/>
        <w:bottom w:val="none" w:sz="0" w:space="0" w:color="auto"/>
        <w:right w:val="none" w:sz="0" w:space="0" w:color="auto"/>
      </w:divBdr>
    </w:div>
    <w:div w:id="1894538770">
      <w:bodyDiv w:val="1"/>
      <w:marLeft w:val="0"/>
      <w:marRight w:val="0"/>
      <w:marTop w:val="0"/>
      <w:marBottom w:val="0"/>
      <w:divBdr>
        <w:top w:val="none" w:sz="0" w:space="0" w:color="auto"/>
        <w:left w:val="none" w:sz="0" w:space="0" w:color="auto"/>
        <w:bottom w:val="none" w:sz="0" w:space="0" w:color="auto"/>
        <w:right w:val="none" w:sz="0" w:space="0" w:color="auto"/>
      </w:divBdr>
    </w:div>
    <w:div w:id="21182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6BF9-F019-4093-87E0-9A32BD38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27331</Words>
  <Characters>15579</Characters>
  <Application>Microsoft Office Word</Application>
  <DocSecurity>4</DocSecurity>
  <Lines>129</Lines>
  <Paragraphs>85</Paragraphs>
  <ScaleCrop>false</ScaleCrop>
  <HeadingPairs>
    <vt:vector size="2" baseType="variant">
      <vt:variant>
        <vt:lpstr>Title</vt:lpstr>
      </vt:variant>
      <vt:variant>
        <vt:i4>1</vt:i4>
      </vt:variant>
    </vt:vector>
  </HeadingPairs>
  <TitlesOfParts>
    <vt:vector size="1" baseType="lpstr">
      <vt:lpstr>IEKŠLIETU NOZARES STRATĒĢIJA 2023.-2027. GADAM</vt:lpstr>
    </vt:vector>
  </TitlesOfParts>
  <Company/>
  <LinksUpToDate>false</LinksUpToDate>
  <CharactersWithSpaces>42825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IEKŠLIETU NOZARES STRATĒĢIJA 2023.-2027. GADAM</dc:title>
  <dc:subject/>
  <dc:creator>Marta Lārmane</dc:creator>
  <cp:keywords/>
  <dc:description/>
  <cp:lastModifiedBy>Gunita Kogane</cp:lastModifiedBy>
  <cp:revision>2</cp:revision>
  <cp:lastPrinted>2024-11-05T13:54:00Z</cp:lastPrinted>
  <dcterms:created xsi:type="dcterms:W3CDTF">2025-04-24T07:57:00Z</dcterms:created>
  <dcterms:modified xsi:type="dcterms:W3CDTF">2025-04-24T07:57:00Z</dcterms:modified>
</cp:coreProperties>
</file>